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00713758"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5769E6">
        <w:rPr>
          <w:rFonts w:cs="Calibri"/>
          <w:szCs w:val="36"/>
        </w:rPr>
        <w:t>xxxxx</w:t>
      </w:r>
      <w:proofErr w:type="spellEnd"/>
    </w:p>
    <w:p w14:paraId="34B8121B" w14:textId="48E62B50"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5769E6">
        <w:rPr>
          <w:rFonts w:asciiTheme="minorHAnsi" w:hAnsiTheme="minorHAnsi" w:cstheme="minorHAnsi"/>
        </w:rPr>
        <w:t>xxxxx</w:t>
      </w:r>
      <w:proofErr w:type="spellEnd"/>
    </w:p>
    <w:p w14:paraId="149B7858" w14:textId="33C5D2EA"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5769E6">
        <w:rPr>
          <w:rFonts w:asciiTheme="minorHAnsi" w:hAnsiTheme="minorHAnsi" w:cstheme="minorHAnsi"/>
        </w:rPr>
        <w:t>xxxxx</w:t>
      </w:r>
      <w:proofErr w:type="spellEnd"/>
    </w:p>
    <w:p w14:paraId="2B6475FA" w14:textId="77777777" w:rsidR="00C34EAD" w:rsidRPr="003B4EC3" w:rsidRDefault="00C34EAD" w:rsidP="00121678">
      <w:pPr>
        <w:spacing w:after="0" w:line="320" w:lineRule="atLeast"/>
        <w:rPr>
          <w:rFonts w:asciiTheme="minorHAnsi" w:hAnsiTheme="minorHAnsi" w:cstheme="minorHAnsi"/>
        </w:rPr>
      </w:pP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6383A597" w14:textId="77777777" w:rsidR="001E2407" w:rsidRPr="0059488C" w:rsidRDefault="001E2407" w:rsidP="001E2407">
      <w:pPr>
        <w:spacing w:after="0" w:line="320" w:lineRule="atLeast"/>
        <w:rPr>
          <w:rFonts w:asciiTheme="minorHAnsi" w:hAnsiTheme="minorHAnsi" w:cstheme="minorHAnsi"/>
          <w:b/>
        </w:rPr>
      </w:pPr>
      <w:r w:rsidRPr="0059488C">
        <w:rPr>
          <w:rFonts w:asciiTheme="minorHAnsi" w:hAnsiTheme="minorHAnsi" w:cstheme="minorHAnsi"/>
          <w:b/>
        </w:rPr>
        <w:t>Prodávající:</w:t>
      </w:r>
      <w:r w:rsidRPr="0059488C">
        <w:rPr>
          <w:b/>
          <w:bCs/>
        </w:rPr>
        <w:t xml:space="preserve"> Jan Kubr</w:t>
      </w:r>
    </w:p>
    <w:p w14:paraId="4C7478E2" w14:textId="77777777" w:rsidR="001E2407" w:rsidRPr="0059488C" w:rsidRDefault="001E2407" w:rsidP="001E2407">
      <w:pPr>
        <w:spacing w:after="0" w:line="320" w:lineRule="atLeast"/>
        <w:rPr>
          <w:rFonts w:asciiTheme="minorHAnsi" w:hAnsiTheme="minorHAnsi" w:cstheme="minorHAnsi"/>
        </w:rPr>
      </w:pPr>
      <w:r w:rsidRPr="0059488C">
        <w:rPr>
          <w:rFonts w:asciiTheme="minorHAnsi" w:hAnsiTheme="minorHAnsi" w:cstheme="minorHAnsi"/>
        </w:rPr>
        <w:t xml:space="preserve">Se sídlem: </w:t>
      </w:r>
      <w:r w:rsidRPr="0059488C">
        <w:t>Heinemannova 2695/2, 16000 Praha 6 Dejvice</w:t>
      </w:r>
    </w:p>
    <w:p w14:paraId="2B4E4693" w14:textId="77777777" w:rsidR="001E2407" w:rsidRPr="0059488C" w:rsidRDefault="001E2407" w:rsidP="001E2407">
      <w:pPr>
        <w:spacing w:after="0" w:line="320" w:lineRule="atLeast"/>
        <w:rPr>
          <w:rFonts w:asciiTheme="minorHAnsi" w:hAnsiTheme="minorHAnsi" w:cstheme="minorHAnsi"/>
        </w:rPr>
      </w:pPr>
      <w:r w:rsidRPr="0059488C">
        <w:rPr>
          <w:rFonts w:asciiTheme="minorHAnsi" w:hAnsiTheme="minorHAnsi" w:cstheme="minorHAnsi"/>
        </w:rPr>
        <w:t xml:space="preserve">IČ: </w:t>
      </w:r>
      <w:r w:rsidRPr="0059488C">
        <w:t>62615653</w:t>
      </w:r>
    </w:p>
    <w:p w14:paraId="74F65263" w14:textId="77777777" w:rsidR="001E2407" w:rsidRPr="0059488C" w:rsidRDefault="001E2407" w:rsidP="001E2407">
      <w:pPr>
        <w:spacing w:after="0" w:line="320" w:lineRule="atLeast"/>
        <w:rPr>
          <w:rFonts w:asciiTheme="minorHAnsi" w:hAnsiTheme="minorHAnsi" w:cstheme="minorHAnsi"/>
        </w:rPr>
      </w:pPr>
      <w:r w:rsidRPr="0059488C">
        <w:rPr>
          <w:rFonts w:asciiTheme="minorHAnsi" w:hAnsiTheme="minorHAnsi" w:cstheme="minorHAnsi"/>
        </w:rPr>
        <w:t xml:space="preserve">DIČ: </w:t>
      </w:r>
      <w:r w:rsidRPr="0059488C">
        <w:t>CZ7602271864</w:t>
      </w:r>
    </w:p>
    <w:p w14:paraId="7088E9F5" w14:textId="40A293AE" w:rsidR="001E2407" w:rsidRPr="0059488C" w:rsidRDefault="001E2407" w:rsidP="001E2407">
      <w:pPr>
        <w:spacing w:after="0" w:line="320" w:lineRule="atLeast"/>
        <w:rPr>
          <w:rFonts w:asciiTheme="minorHAnsi" w:hAnsiTheme="minorHAnsi" w:cstheme="minorHAnsi"/>
        </w:rPr>
      </w:pPr>
      <w:r w:rsidRPr="0059488C">
        <w:rPr>
          <w:rFonts w:asciiTheme="minorHAnsi" w:hAnsiTheme="minorHAnsi" w:cstheme="minorHAnsi"/>
        </w:rPr>
        <w:t xml:space="preserve">Bankovní spojení: </w:t>
      </w:r>
      <w:proofErr w:type="spellStart"/>
      <w:r w:rsidR="005769E6">
        <w:t>xxxxx</w:t>
      </w:r>
      <w:proofErr w:type="spellEnd"/>
    </w:p>
    <w:p w14:paraId="0038BEFD" w14:textId="6059C64F" w:rsidR="00C34EAD" w:rsidRPr="003B4EC3" w:rsidRDefault="001E2407" w:rsidP="001E2407">
      <w:pPr>
        <w:spacing w:after="0" w:line="320" w:lineRule="atLeast"/>
        <w:rPr>
          <w:rFonts w:asciiTheme="minorHAnsi" w:hAnsiTheme="minorHAnsi" w:cstheme="minorHAnsi"/>
        </w:rPr>
      </w:pPr>
      <w:r w:rsidRPr="0059488C">
        <w:rPr>
          <w:rFonts w:asciiTheme="minorHAnsi" w:hAnsiTheme="minorHAnsi" w:cstheme="minorHAnsi"/>
        </w:rPr>
        <w:t xml:space="preserve">Číslo účtu: </w:t>
      </w:r>
      <w:proofErr w:type="spellStart"/>
      <w:r w:rsidR="005769E6">
        <w:t>xxxxx</w:t>
      </w:r>
      <w:proofErr w:type="spellEnd"/>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23910DEE"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1D1367">
        <w:rPr>
          <w:rFonts w:asciiTheme="minorHAnsi" w:hAnsiTheme="minorHAnsi" w:cstheme="minorHAnsi"/>
          <w:b/>
          <w:bCs/>
          <w:iCs/>
        </w:rPr>
        <w:t>„</w:t>
      </w:r>
      <w:r w:rsidR="00611CB9">
        <w:rPr>
          <w:rFonts w:cs="Calibri"/>
          <w:b/>
          <w:bCs/>
        </w:rPr>
        <w:t xml:space="preserve">Mistrovské hudební nástroje pro orchestr </w:t>
      </w:r>
      <w:r w:rsidR="00180159">
        <w:rPr>
          <w:rFonts w:cs="Calibri"/>
          <w:b/>
          <w:bCs/>
        </w:rPr>
        <w:t>ND a pro orchestr SO na rok 2023</w:t>
      </w:r>
      <w:r w:rsidR="003C1E58" w:rsidRPr="001D1367">
        <w:rPr>
          <w:rFonts w:asciiTheme="minorHAnsi" w:hAnsiTheme="minorHAnsi" w:cstheme="minorHAnsi"/>
          <w:b/>
          <w:bCs/>
          <w:iCs/>
        </w:rPr>
        <w:t>“</w:t>
      </w:r>
      <w:bookmarkEnd w:id="0"/>
      <w:r w:rsidR="00611CB9">
        <w:rPr>
          <w:rFonts w:asciiTheme="minorHAnsi" w:hAnsiTheme="minorHAnsi" w:cstheme="minorHAnsi"/>
          <w:b/>
          <w:bCs/>
          <w:iCs/>
        </w:rPr>
        <w:t xml:space="preserve">, část </w:t>
      </w:r>
      <w:r w:rsidR="00180159">
        <w:rPr>
          <w:rFonts w:asciiTheme="minorHAnsi" w:hAnsiTheme="minorHAnsi" w:cstheme="minorHAnsi"/>
          <w:b/>
          <w:bCs/>
          <w:iCs/>
        </w:rPr>
        <w:t>3</w:t>
      </w:r>
      <w:r w:rsidR="00611CB9">
        <w:rPr>
          <w:rFonts w:asciiTheme="minorHAnsi" w:hAnsiTheme="minorHAnsi" w:cstheme="minorHAnsi"/>
          <w:b/>
          <w:bCs/>
          <w:iCs/>
        </w:rPr>
        <w:t xml:space="preserve"> </w:t>
      </w:r>
      <w:r w:rsidR="00611CB9" w:rsidRPr="00611CB9">
        <w:rPr>
          <w:rFonts w:cs="Calibri"/>
          <w:b/>
          <w:bCs/>
          <w:color w:val="000000"/>
          <w:lang w:eastAsia="cs-CZ"/>
        </w:rPr>
        <w:t>„</w:t>
      </w:r>
      <w:r w:rsidR="00EA3B11" w:rsidRPr="00EA3B11">
        <w:rPr>
          <w:rFonts w:cs="Calibri"/>
          <w:b/>
          <w:bCs/>
          <w:color w:val="000000"/>
          <w:lang w:eastAsia="cs-CZ"/>
        </w:rPr>
        <w:t xml:space="preserve">Anglický roh zn. </w:t>
      </w:r>
      <w:proofErr w:type="spellStart"/>
      <w:r w:rsidR="00EA3B11" w:rsidRPr="00EA3B11">
        <w:rPr>
          <w:rFonts w:cs="Calibri"/>
          <w:b/>
          <w:bCs/>
          <w:color w:val="000000"/>
          <w:lang w:eastAsia="cs-CZ"/>
        </w:rPr>
        <w:t>Lorée</w:t>
      </w:r>
      <w:proofErr w:type="spellEnd"/>
      <w:r w:rsidR="00EA3B11" w:rsidRPr="00EA3B11">
        <w:rPr>
          <w:rFonts w:cs="Calibri"/>
          <w:b/>
          <w:bCs/>
          <w:color w:val="000000"/>
          <w:lang w:eastAsia="cs-CZ"/>
        </w:rPr>
        <w:t xml:space="preserve"> ROYAL</w:t>
      </w:r>
      <w:r w:rsidR="00611CB9" w:rsidRPr="00611CB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r w:rsidR="00472723">
        <w:rPr>
          <w:rFonts w:asciiTheme="minorHAnsi" w:hAnsiTheme="minorHAnsi" w:cstheme="minorHAnsi"/>
        </w:rPr>
        <w:t>Mistrovské hudební nástroje složí pro účely orchestru Národního divadla (dále jen „ND“) a orchestru Státní opery (dále jen „SO“).</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2B1AF638" w14:textId="77777777" w:rsidR="00C34EAD" w:rsidRPr="003B4EC3" w:rsidRDefault="00C34EAD" w:rsidP="00121678">
      <w:pPr>
        <w:spacing w:after="0" w:line="320" w:lineRule="atLeast"/>
        <w:ind w:left="284" w:hanging="284"/>
        <w:rPr>
          <w:rFonts w:asciiTheme="minorHAnsi" w:hAnsiTheme="minorHAnsi" w:cstheme="minorHAnsi"/>
          <w:b/>
        </w:rPr>
      </w:pP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0EBC8899" w14:textId="77777777" w:rsidR="00C34EAD" w:rsidRPr="003B4EC3" w:rsidRDefault="00C34EAD" w:rsidP="00121678">
      <w:pPr>
        <w:spacing w:after="0" w:line="320" w:lineRule="atLeast"/>
        <w:ind w:left="284" w:hanging="284"/>
        <w:rPr>
          <w:rFonts w:asciiTheme="minorHAnsi" w:hAnsiTheme="minorHAnsi" w:cstheme="minorHAnsi"/>
          <w:b/>
        </w:rPr>
      </w:pP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21F7DDFC"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1E2407">
        <w:rPr>
          <w:rFonts w:asciiTheme="minorHAnsi" w:hAnsiTheme="minorHAnsi" w:cstheme="minorHAnsi"/>
          <w:b/>
        </w:rPr>
        <w:t>241.000</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1E2407">
        <w:rPr>
          <w:rFonts w:asciiTheme="minorHAnsi" w:hAnsiTheme="minorHAnsi" w:cstheme="minorHAnsi"/>
          <w:b/>
        </w:rPr>
        <w:t>291.</w:t>
      </w:r>
      <w:r w:rsidR="001E2407" w:rsidRPr="0059488C">
        <w:rPr>
          <w:rFonts w:asciiTheme="minorHAnsi" w:hAnsiTheme="minorHAnsi" w:cstheme="minorHAnsi"/>
          <w:b/>
        </w:rPr>
        <w:t>610</w:t>
      </w:r>
      <w:r w:rsidR="00121678" w:rsidRPr="0059488C">
        <w:rPr>
          <w:rFonts w:asciiTheme="minorHAnsi" w:hAnsiTheme="minorHAnsi" w:cstheme="minorHAnsi"/>
          <w:b/>
        </w:rPr>
        <w:t>,-</w:t>
      </w:r>
      <w:r w:rsidR="00121678" w:rsidRPr="003B4EC3">
        <w:rPr>
          <w:rFonts w:asciiTheme="minorHAnsi" w:hAnsiTheme="minorHAnsi" w:cstheme="minorHAnsi"/>
          <w:b/>
        </w:rPr>
        <w:t xml:space="preserve">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2193"/>
        <w:gridCol w:w="4748"/>
        <w:gridCol w:w="1701"/>
      </w:tblGrid>
      <w:tr w:rsidR="0069418E" w14:paraId="4F79AF52" w14:textId="77777777" w:rsidTr="00F91F75">
        <w:tc>
          <w:tcPr>
            <w:tcW w:w="2193" w:type="dxa"/>
          </w:tcPr>
          <w:p w14:paraId="51A5FF30" w14:textId="1E300221" w:rsidR="0069418E" w:rsidRDefault="00F91F75" w:rsidP="0062081B">
            <w:pPr>
              <w:spacing w:after="0" w:line="320" w:lineRule="atLeast"/>
              <w:jc w:val="both"/>
              <w:rPr>
                <w:rFonts w:asciiTheme="minorHAnsi" w:hAnsiTheme="minorHAnsi" w:cstheme="minorHAnsi"/>
              </w:rPr>
            </w:pPr>
            <w:r>
              <w:rPr>
                <w:rFonts w:asciiTheme="minorHAnsi" w:hAnsiTheme="minorHAnsi" w:cstheme="minorHAnsi"/>
              </w:rPr>
              <w:t xml:space="preserve">1 ks </w:t>
            </w:r>
            <w:r w:rsidR="0062081B">
              <w:rPr>
                <w:rFonts w:asciiTheme="minorHAnsi" w:hAnsiTheme="minorHAnsi" w:cstheme="minorHAnsi"/>
              </w:rPr>
              <w:t>anglický roh</w:t>
            </w:r>
            <w:r w:rsidR="0069418E" w:rsidRPr="0069418E">
              <w:rPr>
                <w:rFonts w:asciiTheme="minorHAnsi" w:hAnsiTheme="minorHAnsi" w:cstheme="minorHAnsi"/>
              </w:rPr>
              <w:t xml:space="preserve">                                      </w:t>
            </w:r>
          </w:p>
        </w:tc>
        <w:tc>
          <w:tcPr>
            <w:tcW w:w="4748" w:type="dxa"/>
          </w:tcPr>
          <w:p w14:paraId="683BC786" w14:textId="08E4652E" w:rsidR="0069418E" w:rsidRDefault="0062081B" w:rsidP="0069418E">
            <w:pPr>
              <w:spacing w:after="0" w:line="320" w:lineRule="atLeast"/>
              <w:jc w:val="both"/>
              <w:rPr>
                <w:rFonts w:asciiTheme="minorHAnsi" w:hAnsiTheme="minorHAnsi" w:cstheme="minorHAnsi"/>
              </w:rPr>
            </w:pPr>
            <w:r w:rsidRPr="0062081B">
              <w:rPr>
                <w:rFonts w:asciiTheme="minorHAnsi" w:hAnsiTheme="minorHAnsi" w:cstheme="minorHAnsi"/>
                <w:b/>
                <w:bCs/>
              </w:rPr>
              <w:t xml:space="preserve">anglický roh zn. </w:t>
            </w:r>
            <w:proofErr w:type="spellStart"/>
            <w:r w:rsidRPr="0062081B">
              <w:rPr>
                <w:rFonts w:asciiTheme="minorHAnsi" w:hAnsiTheme="minorHAnsi" w:cstheme="minorHAnsi"/>
                <w:b/>
                <w:bCs/>
              </w:rPr>
              <w:t>Lorée</w:t>
            </w:r>
            <w:proofErr w:type="spellEnd"/>
            <w:r w:rsidRPr="0062081B">
              <w:rPr>
                <w:rFonts w:asciiTheme="minorHAnsi" w:hAnsiTheme="minorHAnsi" w:cstheme="minorHAnsi"/>
                <w:b/>
                <w:bCs/>
              </w:rPr>
              <w:t xml:space="preserve"> ROYAL 125 </w:t>
            </w:r>
            <w:proofErr w:type="spellStart"/>
            <w:r w:rsidRPr="0062081B">
              <w:rPr>
                <w:rFonts w:asciiTheme="minorHAnsi" w:hAnsiTheme="minorHAnsi" w:cstheme="minorHAnsi"/>
                <w:b/>
                <w:bCs/>
              </w:rPr>
              <w:t>iR</w:t>
            </w:r>
            <w:proofErr w:type="spellEnd"/>
            <w:r w:rsidRPr="0062081B">
              <w:rPr>
                <w:rFonts w:asciiTheme="minorHAnsi" w:hAnsiTheme="minorHAnsi" w:cstheme="minorHAnsi"/>
                <w:b/>
                <w:bCs/>
              </w:rPr>
              <w:t xml:space="preserve"> +3-125 +pouzdro</w:t>
            </w:r>
          </w:p>
        </w:tc>
        <w:tc>
          <w:tcPr>
            <w:tcW w:w="1701" w:type="dxa"/>
          </w:tcPr>
          <w:p w14:paraId="510532C6" w14:textId="7B09E4FB" w:rsidR="0069418E" w:rsidRDefault="001E2407" w:rsidP="0069418E">
            <w:pPr>
              <w:spacing w:after="0" w:line="320" w:lineRule="atLeast"/>
              <w:jc w:val="both"/>
              <w:rPr>
                <w:rFonts w:asciiTheme="minorHAnsi" w:hAnsiTheme="minorHAnsi" w:cstheme="minorHAnsi"/>
              </w:rPr>
            </w:pPr>
            <w:r>
              <w:rPr>
                <w:rFonts w:asciiTheme="minorHAnsi" w:hAnsiTheme="minorHAnsi" w:cstheme="minorHAnsi"/>
                <w:b/>
              </w:rPr>
              <w:t>241.000</w:t>
            </w:r>
            <w:r w:rsidR="00F91F75" w:rsidRPr="003B4EC3">
              <w:rPr>
                <w:rFonts w:asciiTheme="minorHAnsi" w:hAnsiTheme="minorHAnsi" w:cstheme="minorHAnsi"/>
                <w:b/>
              </w:rPr>
              <w:t>,- Kč 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w:t>
      </w:r>
      <w:r w:rsidRPr="003B4EC3">
        <w:rPr>
          <w:rFonts w:asciiTheme="minorHAnsi" w:hAnsiTheme="minorHAnsi" w:cstheme="minorHAnsi"/>
        </w:rPr>
        <w:lastRenderedPageBreak/>
        <w:t>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3282F274" w14:textId="77777777" w:rsidR="00C34EAD" w:rsidRPr="003B4EC3" w:rsidRDefault="00C34EAD" w:rsidP="00121678">
      <w:pPr>
        <w:spacing w:after="0" w:line="320" w:lineRule="atLeast"/>
        <w:ind w:left="284" w:hanging="284"/>
        <w:rPr>
          <w:rFonts w:asciiTheme="minorHAnsi" w:hAnsiTheme="minorHAnsi" w:cstheme="minorHAnsi"/>
          <w:b/>
        </w:rPr>
      </w:pPr>
    </w:p>
    <w:p w14:paraId="65A089EB" w14:textId="0E6A503A" w:rsidR="00ED77CA" w:rsidRDefault="00C34EAD" w:rsidP="00121678">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Pr>
          <w:rFonts w:asciiTheme="minorHAnsi" w:hAnsiTheme="minorHAnsi" w:cstheme="minorHAnsi"/>
        </w:rPr>
        <w:t>v následujících sjednaných termínech:</w:t>
      </w:r>
      <w:r w:rsidR="00257F30">
        <w:rPr>
          <w:rFonts w:asciiTheme="minorHAnsi" w:hAnsiTheme="minorHAnsi" w:cstheme="minorHAnsi"/>
        </w:rPr>
        <w:t xml:space="preserve"> do 3</w:t>
      </w:r>
      <w:r w:rsidR="0059488C">
        <w:rPr>
          <w:rFonts w:asciiTheme="minorHAnsi" w:hAnsiTheme="minorHAnsi" w:cstheme="minorHAnsi"/>
        </w:rPr>
        <w:t>0</w:t>
      </w:r>
      <w:r w:rsidR="00257F30">
        <w:rPr>
          <w:rFonts w:asciiTheme="minorHAnsi" w:hAnsiTheme="minorHAnsi" w:cstheme="minorHAnsi"/>
        </w:rPr>
        <w:t>. 11. 2023</w:t>
      </w:r>
    </w:p>
    <w:p w14:paraId="1C152842" w14:textId="72B63B19" w:rsidR="00307104" w:rsidRDefault="00307104" w:rsidP="00ED77CA">
      <w:pPr>
        <w:spacing w:after="0" w:line="320" w:lineRule="atLeast"/>
        <w:ind w:left="284"/>
        <w:jc w:val="both"/>
        <w:rPr>
          <w:rFonts w:asciiTheme="minorHAnsi" w:hAnsiTheme="minorHAnsi" w:cstheme="minorHAnsi"/>
        </w:rPr>
      </w:pPr>
    </w:p>
    <w:p w14:paraId="54062717" w14:textId="4B09AB50" w:rsidR="00307104" w:rsidRPr="00307104" w:rsidRDefault="00307104" w:rsidP="00040FF2">
      <w:pPr>
        <w:pStyle w:val="Odstavecseseznamem"/>
        <w:numPr>
          <w:ilvl w:val="0"/>
          <w:numId w:val="12"/>
        </w:numPr>
        <w:spacing w:after="0" w:line="320" w:lineRule="atLeast"/>
        <w:ind w:left="284"/>
        <w:jc w:val="both"/>
        <w:rPr>
          <w:rFonts w:asciiTheme="minorHAnsi" w:hAnsiTheme="minorHAnsi" w:cstheme="minorHAnsi"/>
        </w:rPr>
      </w:pPr>
      <w:r>
        <w:rPr>
          <w:rFonts w:asciiTheme="minorHAnsi" w:hAnsiTheme="minorHAnsi" w:cstheme="minorHAnsi"/>
        </w:rPr>
        <w:t>Smluvní strany se dohodly, že prodávající umožní osobě, nebo osobám určených</w:t>
      </w:r>
      <w:r w:rsidR="00040FF2">
        <w:rPr>
          <w:rFonts w:asciiTheme="minorHAnsi" w:hAnsiTheme="minorHAnsi" w:cstheme="minorHAnsi"/>
        </w:rPr>
        <w:t xml:space="preserve"> </w:t>
      </w:r>
      <w:r>
        <w:rPr>
          <w:rFonts w:asciiTheme="minorHAnsi" w:hAnsiTheme="minorHAnsi" w:cstheme="minorHAnsi"/>
        </w:rPr>
        <w:t>kupujícím vyzkoušet veškeré hudební nástroje blíže specifikované v příloze č. 1 této smlouvy</w:t>
      </w:r>
      <w:r w:rsidR="00040FF2">
        <w:rPr>
          <w:rFonts w:asciiTheme="minorHAnsi" w:hAnsiTheme="minorHAnsi" w:cstheme="minorHAnsi"/>
        </w:rPr>
        <w:t xml:space="preserve"> a nabízené prodávajícím</w:t>
      </w:r>
      <w:r>
        <w:rPr>
          <w:rFonts w:asciiTheme="minorHAnsi" w:hAnsiTheme="minorHAnsi" w:cstheme="minorHAnsi"/>
        </w:rPr>
        <w:t xml:space="preserve">. Zkoušení </w:t>
      </w:r>
      <w:r w:rsidR="00040FF2">
        <w:rPr>
          <w:rFonts w:asciiTheme="minorHAnsi" w:hAnsiTheme="minorHAnsi" w:cstheme="minorHAnsi"/>
        </w:rPr>
        <w:t xml:space="preserve">hudebních nástrojů </w:t>
      </w:r>
      <w:r>
        <w:rPr>
          <w:rFonts w:asciiTheme="minorHAnsi" w:hAnsiTheme="minorHAnsi" w:cstheme="minorHAnsi"/>
        </w:rPr>
        <w:t xml:space="preserve">bude provedeno z více kusů hudebních nástrojů od každého typu hudebního nástroje. Místo </w:t>
      </w:r>
      <w:r w:rsidR="00040FF2">
        <w:rPr>
          <w:rFonts w:asciiTheme="minorHAnsi" w:hAnsiTheme="minorHAnsi" w:cstheme="minorHAnsi"/>
        </w:rPr>
        <w:t xml:space="preserve">a termín </w:t>
      </w:r>
      <w:r>
        <w:rPr>
          <w:rFonts w:asciiTheme="minorHAnsi" w:hAnsiTheme="minorHAnsi" w:cstheme="minorHAnsi"/>
        </w:rPr>
        <w:t>zkoušení bude dohodnut mezi smluvními stranami při uzavření této smlouvy</w:t>
      </w:r>
      <w:r w:rsidR="00040FF2">
        <w:rPr>
          <w:rFonts w:asciiTheme="minorHAnsi" w:hAnsiTheme="minorHAnsi" w:cstheme="minorHAnsi"/>
        </w:rPr>
        <w:t xml:space="preserve"> a to tak, aby mohlo dojít ke splnění dodací doby </w:t>
      </w:r>
      <w:r w:rsidR="00040FF2" w:rsidRPr="00040FF2">
        <w:rPr>
          <w:rFonts w:asciiTheme="minorHAnsi" w:hAnsiTheme="minorHAnsi" w:cstheme="minorHAnsi"/>
          <w:bCs/>
        </w:rPr>
        <w:t>uvedené v čl. IV odst. 1 této smlouvy</w:t>
      </w:r>
      <w:r w:rsidRPr="00040FF2">
        <w:rPr>
          <w:rFonts w:asciiTheme="minorHAnsi" w:hAnsiTheme="minorHAnsi" w:cstheme="minorHAnsi"/>
        </w:rPr>
        <w:t xml:space="preserve">. </w:t>
      </w:r>
    </w:p>
    <w:p w14:paraId="57988FAB" w14:textId="72683D34" w:rsidR="00C34EAD" w:rsidRDefault="00C34EAD" w:rsidP="00121678">
      <w:pPr>
        <w:spacing w:after="0" w:line="320" w:lineRule="atLeast"/>
        <w:ind w:left="284" w:hanging="284"/>
        <w:jc w:val="both"/>
        <w:rPr>
          <w:rFonts w:asciiTheme="minorHAnsi" w:hAnsiTheme="minorHAnsi" w:cstheme="minorHAnsi"/>
        </w:rPr>
      </w:pPr>
    </w:p>
    <w:p w14:paraId="2400E1E3" w14:textId="77777777" w:rsidR="00040FF2" w:rsidRPr="003B4EC3" w:rsidRDefault="00040FF2" w:rsidP="00121678">
      <w:pPr>
        <w:spacing w:after="0" w:line="320" w:lineRule="atLeast"/>
        <w:ind w:left="284" w:hanging="284"/>
        <w:jc w:val="both"/>
        <w:rPr>
          <w:rFonts w:asciiTheme="minorHAnsi" w:hAnsiTheme="minorHAnsi" w:cstheme="minorHAnsi"/>
        </w:rPr>
      </w:pPr>
    </w:p>
    <w:p w14:paraId="12CC849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14:paraId="4B06624D" w14:textId="77777777" w:rsidR="00C34EAD" w:rsidRPr="003B4EC3" w:rsidRDefault="00C34EAD" w:rsidP="00121678">
      <w:pPr>
        <w:spacing w:after="0" w:line="320" w:lineRule="atLeast"/>
        <w:ind w:left="284" w:hanging="284"/>
        <w:rPr>
          <w:rFonts w:asciiTheme="minorHAnsi" w:hAnsiTheme="minorHAnsi" w:cstheme="minorHAnsi"/>
          <w:b/>
        </w:rPr>
      </w:pPr>
    </w:p>
    <w:p w14:paraId="0FBC8B8F" w14:textId="71F8D844" w:rsidR="009E7809" w:rsidRPr="00171B5D" w:rsidRDefault="00C34EAD" w:rsidP="00171B5D">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bude </w:t>
      </w:r>
      <w:r w:rsidR="009E7809">
        <w:rPr>
          <w:rFonts w:asciiTheme="minorHAnsi" w:hAnsiTheme="minorHAnsi" w:cstheme="minorHAnsi"/>
        </w:rPr>
        <w:t>předáno</w:t>
      </w:r>
      <w:r w:rsidRPr="003B4EC3">
        <w:rPr>
          <w:rFonts w:asciiTheme="minorHAnsi" w:hAnsiTheme="minorHAnsi" w:cstheme="minorHAnsi"/>
        </w:rPr>
        <w:t xml:space="preserve"> na adrese: </w:t>
      </w:r>
      <w:r w:rsidR="009E7809">
        <w:rPr>
          <w:lang w:eastAsia="cs-CZ"/>
        </w:rPr>
        <w:t>Nástroje pro orchestr ND:</w:t>
      </w:r>
      <w:r w:rsidR="009E7809">
        <w:rPr>
          <w:rFonts w:asciiTheme="minorHAnsi" w:hAnsiTheme="minorHAnsi" w:cstheme="minorHAnsi"/>
        </w:rPr>
        <w:t xml:space="preserve"> </w:t>
      </w:r>
      <w:r w:rsidRPr="009E7809">
        <w:rPr>
          <w:rFonts w:asciiTheme="minorHAnsi" w:hAnsiTheme="minorHAnsi" w:cstheme="minorHAnsi"/>
        </w:rPr>
        <w:t>Provozní budova Národního divadla, Ostrovní 1, 112</w:t>
      </w:r>
      <w:r w:rsidR="003713F5" w:rsidRPr="009E7809">
        <w:rPr>
          <w:rFonts w:asciiTheme="minorHAnsi" w:hAnsiTheme="minorHAnsi" w:cstheme="minorHAnsi"/>
        </w:rPr>
        <w:t xml:space="preserve"> </w:t>
      </w:r>
      <w:r w:rsidRPr="009E7809">
        <w:rPr>
          <w:rFonts w:asciiTheme="minorHAnsi" w:hAnsiTheme="minorHAnsi" w:cstheme="minorHAnsi"/>
        </w:rPr>
        <w:t>30 Praha</w:t>
      </w:r>
      <w:r w:rsidR="003713F5" w:rsidRPr="009E7809">
        <w:rPr>
          <w:rFonts w:asciiTheme="minorHAnsi" w:hAnsiTheme="minorHAnsi" w:cstheme="minorHAnsi"/>
        </w:rPr>
        <w:t xml:space="preserve"> 1</w:t>
      </w:r>
      <w:r w:rsidRPr="009E7809">
        <w:rPr>
          <w:rFonts w:asciiTheme="minorHAnsi" w:hAnsiTheme="minorHAnsi" w:cstheme="minorHAnsi"/>
        </w:rPr>
        <w:t>, Nové Město</w:t>
      </w:r>
      <w:r w:rsidR="009E7809">
        <w:rPr>
          <w:rFonts w:asciiTheme="minorHAnsi" w:hAnsiTheme="minorHAnsi" w:cstheme="minorHAnsi"/>
        </w:rPr>
        <w:t>, n</w:t>
      </w:r>
      <w:r w:rsidR="009E7809">
        <w:rPr>
          <w:lang w:eastAsia="cs-CZ"/>
        </w:rPr>
        <w:t>ástroje pro orchestr SO: Provozní b</w:t>
      </w:r>
      <w:r w:rsidR="00171B5D">
        <w:rPr>
          <w:lang w:eastAsia="cs-CZ"/>
        </w:rPr>
        <w:t>u</w:t>
      </w:r>
      <w:r w:rsidR="009E7809">
        <w:rPr>
          <w:lang w:eastAsia="cs-CZ"/>
        </w:rPr>
        <w:t>dova Státní opery</w:t>
      </w:r>
      <w:r w:rsidR="00171B5D">
        <w:rPr>
          <w:rFonts w:asciiTheme="minorHAnsi" w:hAnsiTheme="minorHAnsi" w:cstheme="minorHAnsi"/>
        </w:rPr>
        <w:t xml:space="preserve">, </w:t>
      </w:r>
      <w:r w:rsidR="00171B5D" w:rsidRPr="00171B5D">
        <w:rPr>
          <w:rFonts w:asciiTheme="minorHAnsi" w:hAnsiTheme="minorHAnsi" w:cstheme="minorHAnsi"/>
          <w:bCs/>
        </w:rPr>
        <w:t>Legerova 75, 110 00 Praha 1</w:t>
      </w:r>
      <w:r w:rsidR="00171B5D">
        <w:rPr>
          <w:rFonts w:asciiTheme="minorHAnsi" w:hAnsiTheme="minorHAnsi" w:cstheme="minorHAnsi"/>
          <w:bCs/>
        </w:rPr>
        <w:t>.</w:t>
      </w:r>
    </w:p>
    <w:p w14:paraId="4EF43C47" w14:textId="17ECE19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bude předem informovat kupujícího o přesném termínu předání zboží nejméně 5 kalendářních dnů před </w:t>
      </w:r>
      <w:r w:rsidR="00171B5D">
        <w:rPr>
          <w:rFonts w:asciiTheme="minorHAnsi" w:hAnsiTheme="minorHAnsi" w:cstheme="minorHAnsi"/>
        </w:rPr>
        <w:t>předáním</w:t>
      </w:r>
      <w:r w:rsidRPr="003B4EC3">
        <w:rPr>
          <w:rFonts w:asciiTheme="minorHAnsi" w:hAnsiTheme="minorHAnsi" w:cstheme="minorHAnsi"/>
        </w:rPr>
        <w:t xml:space="preserve"> zboží.</w:t>
      </w:r>
    </w:p>
    <w:p w14:paraId="0AB93EC5" w14:textId="1FEBF79A"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171B5D">
        <w:rPr>
          <w:rFonts w:asciiTheme="minorHAnsi" w:hAnsiTheme="minorHAnsi" w:cstheme="minorHAnsi"/>
        </w:rPr>
        <w:t>a</w:t>
      </w:r>
      <w:r w:rsidR="00B357D7">
        <w:rPr>
          <w:rFonts w:asciiTheme="minorHAnsi" w:hAnsiTheme="minorHAnsi" w:cstheme="minorHAnsi"/>
        </w:rPr>
        <w:t xml:space="preserve"> oznámen kupujícím při podpisu této smlouvy.</w:t>
      </w:r>
    </w:p>
    <w:p w14:paraId="7FA9D046" w14:textId="6BD8C2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Kontaktní osobou prodávajícího je </w:t>
      </w:r>
      <w:r w:rsidRPr="00D8401B">
        <w:rPr>
          <w:rFonts w:asciiTheme="minorHAnsi" w:hAnsiTheme="minorHAnsi" w:cstheme="minorHAnsi"/>
        </w:rPr>
        <w:t xml:space="preserve">pro účely této smlouvy určen </w:t>
      </w:r>
      <w:proofErr w:type="spellStart"/>
      <w:r w:rsidR="005769E6">
        <w:rPr>
          <w:rFonts w:asciiTheme="minorHAnsi" w:hAnsiTheme="minorHAnsi" w:cstheme="minorHAnsi"/>
        </w:rPr>
        <w:t>xxxxx</w:t>
      </w:r>
      <w:proofErr w:type="spellEnd"/>
      <w:r w:rsidR="00D8401B" w:rsidRPr="00D8401B">
        <w:t xml:space="preserve">, </w:t>
      </w:r>
      <w:r w:rsidRPr="00D8401B">
        <w:rPr>
          <w:rFonts w:asciiTheme="minorHAnsi" w:hAnsiTheme="minorHAnsi" w:cstheme="minorHAnsi"/>
        </w:rPr>
        <w:t>tel.</w:t>
      </w:r>
      <w:r w:rsidR="00D8401B" w:rsidRPr="00D8401B">
        <w:rPr>
          <w:rFonts w:asciiTheme="minorHAnsi" w:hAnsiTheme="minorHAnsi" w:cstheme="minorHAnsi"/>
        </w:rPr>
        <w:t>:</w:t>
      </w:r>
      <w:r w:rsidR="00D8401B" w:rsidRPr="00D8401B">
        <w:t xml:space="preserve"> </w:t>
      </w:r>
      <w:proofErr w:type="spellStart"/>
      <w:r w:rsidR="005769E6">
        <w:t>xxxxx</w:t>
      </w:r>
      <w:proofErr w:type="spellEnd"/>
      <w:r w:rsidR="00D8401B" w:rsidRPr="00D8401B">
        <w:t xml:space="preserve">, </w:t>
      </w:r>
      <w:r w:rsidRPr="00D8401B">
        <w:rPr>
          <w:rFonts w:asciiTheme="minorHAnsi" w:hAnsiTheme="minorHAnsi" w:cstheme="minorHAnsi"/>
        </w:rPr>
        <w:t xml:space="preserve">e-mail: </w:t>
      </w:r>
      <w:hyperlink r:id="rId8" w:history="1">
        <w:r w:rsidR="005769E6" w:rsidRPr="005769E6">
          <w:rPr>
            <w:rStyle w:val="Hypertextovodkaz"/>
            <w:color w:val="auto"/>
          </w:rPr>
          <w:t>xxxxx</w:t>
        </w:r>
      </w:hyperlink>
      <w:r w:rsidR="00DD0E7D">
        <w:rPr>
          <w:rStyle w:val="Hypertextovodkaz"/>
          <w:color w:val="auto"/>
        </w:rPr>
        <w:t xml:space="preserve"> </w:t>
      </w:r>
      <w:r w:rsidR="00DD0E7D" w:rsidRPr="00DD0E7D">
        <w:rPr>
          <w:rStyle w:val="Hypertextovodkaz"/>
          <w:color w:val="auto"/>
          <w:u w:val="none"/>
        </w:rPr>
        <w:t xml:space="preserve">a </w:t>
      </w:r>
      <w:proofErr w:type="spellStart"/>
      <w:r w:rsidR="005769E6">
        <w:rPr>
          <w:rStyle w:val="Hypertextovodkaz"/>
          <w:color w:val="auto"/>
          <w:u w:val="none"/>
        </w:rPr>
        <w:t>xxxxx</w:t>
      </w:r>
      <w:proofErr w:type="spellEnd"/>
      <w:r w:rsidR="00DD0E7D" w:rsidRPr="00DD0E7D">
        <w:rPr>
          <w:rStyle w:val="Hypertextovodkaz"/>
          <w:color w:val="auto"/>
          <w:u w:val="none"/>
        </w:rPr>
        <w:t>,</w:t>
      </w:r>
      <w:r w:rsidR="00DD0E7D">
        <w:rPr>
          <w:rStyle w:val="Hypertextovodkaz"/>
          <w:color w:val="auto"/>
        </w:rPr>
        <w:t xml:space="preserve"> e-mail: </w:t>
      </w:r>
      <w:proofErr w:type="spellStart"/>
      <w:r w:rsidR="005769E6">
        <w:rPr>
          <w:rStyle w:val="Hypertextovodkaz"/>
          <w:color w:val="auto"/>
        </w:rPr>
        <w:t>xxxxx</w:t>
      </w:r>
      <w:proofErr w:type="spellEnd"/>
      <w:r w:rsidR="00DD0E7D">
        <w:rPr>
          <w:rStyle w:val="Hypertextovodkaz"/>
          <w:color w:val="auto"/>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77777777"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6D669A9F" w14:textId="77777777" w:rsidR="00C34EAD" w:rsidRPr="003B4EC3" w:rsidRDefault="00C34EAD" w:rsidP="00121678">
      <w:pPr>
        <w:spacing w:after="0" w:line="320" w:lineRule="atLeast"/>
        <w:ind w:left="284" w:hanging="284"/>
        <w:rPr>
          <w:rFonts w:asciiTheme="minorHAnsi" w:hAnsiTheme="minorHAnsi" w:cstheme="minorHAnsi"/>
          <w:b/>
        </w:rPr>
      </w:pP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2533F51D"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FB1155">
        <w:rPr>
          <w:rFonts w:asciiTheme="minorHAnsi" w:hAnsiTheme="minorHAnsi" w:cstheme="minorHAnsi"/>
          <w:bCs/>
          <w:i/>
          <w:iCs/>
        </w:rPr>
        <w:t>24</w:t>
      </w:r>
      <w:r w:rsidR="00040FF2" w:rsidRPr="003B4EC3">
        <w:rPr>
          <w:rFonts w:asciiTheme="minorHAnsi" w:hAnsiTheme="minorHAnsi" w:cstheme="minorHAnsi"/>
          <w:b/>
        </w:rPr>
        <w:t xml:space="preserve"> </w:t>
      </w:r>
      <w:r w:rsidRPr="003B4EC3">
        <w:rPr>
          <w:rFonts w:asciiTheme="minorHAnsi" w:hAnsiTheme="minorHAnsi" w:cstheme="minorHAnsi"/>
        </w:rPr>
        <w:t>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5D4A74F7" w14:textId="77777777" w:rsidR="00C34EAD" w:rsidRPr="003B4EC3" w:rsidRDefault="00C34EAD" w:rsidP="00121678">
      <w:pPr>
        <w:spacing w:after="0" w:line="320" w:lineRule="atLeast"/>
        <w:ind w:left="426"/>
        <w:rPr>
          <w:rFonts w:asciiTheme="minorHAnsi" w:hAnsiTheme="minorHAnsi" w:cstheme="minorHAnsi"/>
          <w:b/>
        </w:rPr>
      </w:pP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CC89BC3" w14:textId="77777777" w:rsidR="00C34EAD" w:rsidRPr="003B4EC3" w:rsidRDefault="00C34EAD" w:rsidP="00121678">
      <w:pPr>
        <w:spacing w:after="0" w:line="320" w:lineRule="atLeast"/>
        <w:jc w:val="both"/>
        <w:rPr>
          <w:rFonts w:asciiTheme="minorHAnsi" w:hAnsiTheme="minorHAnsi" w:cstheme="minorHAnsi"/>
        </w:rPr>
      </w:pP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3EB0942B" w14:textId="77777777" w:rsidR="00C34EAD" w:rsidRPr="003B4EC3" w:rsidRDefault="00C34EAD" w:rsidP="00121678">
      <w:pPr>
        <w:spacing w:after="0" w:line="320" w:lineRule="atLeast"/>
        <w:rPr>
          <w:rFonts w:asciiTheme="minorHAnsi" w:hAnsiTheme="minorHAnsi" w:cstheme="minorHAnsi"/>
          <w:b/>
        </w:rPr>
      </w:pP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22961BD" w14:textId="77777777" w:rsidR="00C34EAD" w:rsidRPr="003B4EC3" w:rsidRDefault="00C34EAD" w:rsidP="00121678">
      <w:pPr>
        <w:spacing w:after="0" w:line="320" w:lineRule="atLeast"/>
        <w:ind w:left="1004"/>
        <w:rPr>
          <w:rFonts w:asciiTheme="minorHAnsi" w:hAnsiTheme="minorHAnsi" w:cstheme="minorHAnsi"/>
          <w:b/>
        </w:rPr>
      </w:pP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3035C55E" w14:textId="77777777" w:rsidR="00C34EAD" w:rsidRPr="003B4EC3" w:rsidRDefault="00C34EAD" w:rsidP="00121678">
      <w:pPr>
        <w:spacing w:after="0" w:line="320" w:lineRule="atLeast"/>
        <w:rPr>
          <w:rFonts w:asciiTheme="minorHAnsi" w:hAnsiTheme="minorHAnsi" w:cstheme="minorHAnsi"/>
        </w:rPr>
      </w:pP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89FCFE7" w:rsidR="00C34EAD" w:rsidRPr="0059488C"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59488C">
        <w:rPr>
          <w:rFonts w:asciiTheme="minorHAnsi" w:hAnsiTheme="minorHAnsi" w:cstheme="minorHAnsi"/>
          <w:sz w:val="22"/>
          <w:szCs w:val="22"/>
        </w:rPr>
        <w:t xml:space="preserve">Příloha č. 1 – </w:t>
      </w:r>
      <w:r w:rsidR="00C34EAD" w:rsidRPr="0059488C">
        <w:rPr>
          <w:rFonts w:asciiTheme="minorHAnsi" w:hAnsiTheme="minorHAnsi" w:cstheme="minorHAnsi"/>
          <w:sz w:val="22"/>
          <w:szCs w:val="22"/>
        </w:rPr>
        <w:t xml:space="preserve">Základní specifikace předmětu plnění kupujícím </w:t>
      </w:r>
      <w:r w:rsidR="00C34EAD" w:rsidRPr="0059488C">
        <w:rPr>
          <w:rFonts w:asciiTheme="minorHAnsi" w:hAnsiTheme="minorHAnsi" w:cstheme="minorHAnsi"/>
          <w:i/>
          <w:iCs/>
          <w:sz w:val="22"/>
          <w:szCs w:val="22"/>
        </w:rPr>
        <w:t>/</w:t>
      </w:r>
      <w:r w:rsidR="00F93B0D" w:rsidRPr="0059488C">
        <w:rPr>
          <w:rFonts w:asciiTheme="minorHAnsi" w:hAnsiTheme="minorHAnsi" w:cstheme="minorHAnsi"/>
          <w:i/>
          <w:iCs/>
          <w:sz w:val="22"/>
          <w:szCs w:val="22"/>
        </w:rPr>
        <w:t>dodavatel předloží přílohu do nabídky/</w:t>
      </w:r>
    </w:p>
    <w:p w14:paraId="3A355D50" w14:textId="4C201D4B" w:rsidR="00C34EAD" w:rsidRPr="0059488C"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59488C">
        <w:rPr>
          <w:rFonts w:asciiTheme="minorHAnsi" w:hAnsiTheme="minorHAnsi" w:cstheme="minorHAnsi"/>
          <w:sz w:val="22"/>
          <w:szCs w:val="22"/>
        </w:rPr>
        <w:t xml:space="preserve">Příloha č. </w:t>
      </w:r>
      <w:r w:rsidR="00B357D7" w:rsidRPr="0059488C">
        <w:rPr>
          <w:rFonts w:asciiTheme="minorHAnsi" w:hAnsiTheme="minorHAnsi" w:cstheme="minorHAnsi"/>
          <w:sz w:val="22"/>
          <w:szCs w:val="22"/>
        </w:rPr>
        <w:t>2</w:t>
      </w:r>
      <w:r w:rsidRPr="0059488C">
        <w:rPr>
          <w:rFonts w:asciiTheme="minorHAnsi" w:hAnsiTheme="minorHAnsi" w:cstheme="minorHAnsi"/>
          <w:sz w:val="22"/>
          <w:szCs w:val="22"/>
        </w:rPr>
        <w:t xml:space="preserve"> – Vzor předávacího protokolu </w:t>
      </w:r>
      <w:r w:rsidRPr="0059488C">
        <w:rPr>
          <w:rFonts w:asciiTheme="minorHAnsi" w:hAnsiTheme="minorHAnsi" w:cstheme="minorHAnsi"/>
          <w:i/>
          <w:iCs/>
          <w:sz w:val="22"/>
          <w:szCs w:val="22"/>
        </w:rPr>
        <w:t xml:space="preserve">/bude přiloženo při podpisu smlouvy s vybraným </w:t>
      </w:r>
      <w:r w:rsidR="00F93B0D" w:rsidRPr="0059488C">
        <w:rPr>
          <w:rFonts w:asciiTheme="minorHAnsi" w:hAnsiTheme="minorHAnsi" w:cstheme="minorHAnsi"/>
          <w:i/>
          <w:iCs/>
          <w:sz w:val="22"/>
          <w:szCs w:val="22"/>
        </w:rPr>
        <w:t>dodavatelem</w:t>
      </w:r>
      <w:r w:rsidRPr="0059488C">
        <w:rPr>
          <w:rFonts w:asciiTheme="minorHAnsi" w:hAnsiTheme="minorHAnsi" w:cstheme="minorHAnsi"/>
          <w:i/>
          <w:iCs/>
          <w:sz w:val="22"/>
          <w:szCs w:val="22"/>
        </w:rPr>
        <w:t>/</w:t>
      </w:r>
    </w:p>
    <w:p w14:paraId="2C49929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115E00E9" w14:textId="391F4741" w:rsidR="005769E6" w:rsidRPr="003B4EC3" w:rsidRDefault="0059488C" w:rsidP="005769E6">
            <w:pPr>
              <w:keepNext/>
              <w:suppressAutoHyphens/>
              <w:spacing w:after="0" w:line="320" w:lineRule="atLeast"/>
              <w:rPr>
                <w:rFonts w:asciiTheme="minorHAnsi" w:hAnsiTheme="minorHAnsi" w:cstheme="minorHAnsi"/>
              </w:rPr>
            </w:pPr>
            <w:bookmarkStart w:id="1" w:name="_Hlk106194491"/>
            <w:r>
              <w:rPr>
                <w:rFonts w:cs="Calibri"/>
                <w:szCs w:val="36"/>
              </w:rPr>
              <w:t xml:space="preserve">              </w:t>
            </w:r>
            <w:bookmarkEnd w:id="1"/>
          </w:p>
          <w:p w14:paraId="3D64526F" w14:textId="4619B8CC" w:rsidR="00C34EAD" w:rsidRPr="003B4EC3" w:rsidRDefault="00C34EAD" w:rsidP="0059488C">
            <w:pPr>
              <w:keepNext/>
              <w:suppressAutoHyphens/>
              <w:spacing w:after="0" w:line="320" w:lineRule="atLeast"/>
              <w:rPr>
                <w:rFonts w:asciiTheme="minorHAnsi" w:hAnsiTheme="minorHAnsi" w:cstheme="minorHAnsi"/>
              </w:rPr>
            </w:pPr>
          </w:p>
        </w:tc>
        <w:tc>
          <w:tcPr>
            <w:tcW w:w="4527" w:type="dxa"/>
          </w:tcPr>
          <w:p w14:paraId="4CBB456A" w14:textId="071D6531"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w:t>
            </w:r>
            <w:r w:rsidR="0059488C">
              <w:rPr>
                <w:rFonts w:asciiTheme="minorHAnsi" w:hAnsiTheme="minorHAnsi" w:cstheme="minorHAnsi"/>
              </w:rPr>
              <w:t>………………</w:t>
            </w:r>
            <w:r w:rsidR="00F93B0D">
              <w:rPr>
                <w:rFonts w:asciiTheme="minorHAnsi" w:hAnsiTheme="minorHAnsi" w:cstheme="minorHAnsi"/>
              </w:rPr>
              <w:t>….</w:t>
            </w:r>
            <w:r w:rsidRPr="003B4EC3">
              <w:rPr>
                <w:rFonts w:asciiTheme="minorHAnsi" w:hAnsiTheme="minorHAnsi" w:cstheme="minorHAnsi"/>
              </w:rPr>
              <w:t xml:space="preserve"> dne </w:t>
            </w:r>
            <w:r w:rsidR="00C34EAD" w:rsidRPr="003B4EC3">
              <w:rPr>
                <w:rFonts w:asciiTheme="minorHAnsi" w:hAnsiTheme="minorHAnsi" w:cstheme="minorHAnsi"/>
              </w:rPr>
              <w:t>……………………….</w:t>
            </w:r>
          </w:p>
          <w:p w14:paraId="4762CC39" w14:textId="77777777" w:rsidR="00C34EAD" w:rsidRPr="003B4EC3" w:rsidRDefault="00C34EAD" w:rsidP="00121678">
            <w:pPr>
              <w:keepNext/>
              <w:suppressAutoHyphens/>
              <w:spacing w:after="0" w:line="320" w:lineRule="atLeast"/>
              <w:rPr>
                <w:rFonts w:asciiTheme="minorHAnsi" w:hAnsiTheme="minorHAnsi" w:cstheme="minorHAnsi"/>
              </w:rPr>
            </w:pPr>
          </w:p>
          <w:p w14:paraId="344182F2"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6456944B" w:rsidR="00C34EAD" w:rsidRPr="003B4EC3" w:rsidRDefault="00C34EAD" w:rsidP="00121678">
            <w:pPr>
              <w:keepNext/>
              <w:suppressAutoHyphens/>
              <w:spacing w:after="0" w:line="320" w:lineRule="atLeast"/>
              <w:rPr>
                <w:rFonts w:asciiTheme="minorHAnsi" w:hAnsiTheme="minorHAnsi" w:cstheme="minorHAnsi"/>
              </w:rPr>
            </w:pPr>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18E301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p w14:paraId="5839AA7F" w14:textId="122EBE60" w:rsidR="0048061F" w:rsidRDefault="0048061F" w:rsidP="0048061F">
      <w:pPr>
        <w:pStyle w:val="Bezmezer"/>
        <w:rPr>
          <w:lang w:eastAsia="cs-CZ"/>
        </w:rPr>
      </w:pPr>
      <w:r>
        <w:rPr>
          <w:lang w:eastAsia="cs-CZ"/>
        </w:rPr>
        <w:t>Nástroje pro orchestr ND:</w:t>
      </w:r>
    </w:p>
    <w:p w14:paraId="264A3408" w14:textId="77777777" w:rsidR="0048061F" w:rsidRDefault="0048061F" w:rsidP="0048061F">
      <w:pPr>
        <w:pStyle w:val="Bezmezer"/>
        <w:rPr>
          <w:lang w:eastAsia="cs-CZ"/>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65ACC2BE" w:rsidR="0048061F" w:rsidRPr="00CB321F" w:rsidRDefault="00E7421F" w:rsidP="007465C5">
            <w:pPr>
              <w:pStyle w:val="Bezmezer"/>
              <w:rPr>
                <w:lang w:eastAsia="cs-CZ"/>
              </w:rPr>
            </w:pPr>
            <w:r w:rsidRPr="00E7421F">
              <w:rPr>
                <w:lang w:eastAsia="cs-CZ"/>
              </w:rPr>
              <w:t xml:space="preserve">Anglický roh zn. </w:t>
            </w:r>
            <w:proofErr w:type="spellStart"/>
            <w:r w:rsidRPr="00E7421F">
              <w:rPr>
                <w:lang w:eastAsia="cs-CZ"/>
              </w:rPr>
              <w:t>Lorée</w:t>
            </w:r>
            <w:proofErr w:type="spellEnd"/>
            <w:r w:rsidRPr="00E7421F">
              <w:rPr>
                <w:lang w:eastAsia="cs-CZ"/>
              </w:rPr>
              <w:t xml:space="preserve"> ROYAL 125 </w:t>
            </w:r>
            <w:proofErr w:type="spellStart"/>
            <w:r w:rsidRPr="00E7421F">
              <w:rPr>
                <w:lang w:eastAsia="cs-CZ"/>
              </w:rPr>
              <w:t>iR</w:t>
            </w:r>
            <w:proofErr w:type="spellEnd"/>
            <w:r w:rsidRPr="00E7421F">
              <w:rPr>
                <w:lang w:eastAsia="cs-CZ"/>
              </w:rPr>
              <w:t xml:space="preserve"> +3-125</w:t>
            </w:r>
          </w:p>
        </w:tc>
        <w:tc>
          <w:tcPr>
            <w:tcW w:w="6202" w:type="dxa"/>
            <w:shd w:val="clear" w:color="auto" w:fill="auto"/>
          </w:tcPr>
          <w:p w14:paraId="1F03BEA5" w14:textId="6C775C31" w:rsidR="00E7421F" w:rsidRDefault="00E7421F" w:rsidP="00E7421F">
            <w:pPr>
              <w:pStyle w:val="Bezmezer"/>
              <w:numPr>
                <w:ilvl w:val="0"/>
                <w:numId w:val="18"/>
              </w:numPr>
              <w:rPr>
                <w:lang w:eastAsia="cs-CZ"/>
              </w:rPr>
            </w:pPr>
            <w:proofErr w:type="spellStart"/>
            <w:r>
              <w:rPr>
                <w:lang w:eastAsia="cs-CZ"/>
              </w:rPr>
              <w:t>Conservatory</w:t>
            </w:r>
            <w:proofErr w:type="spellEnd"/>
            <w:r>
              <w:rPr>
                <w:lang w:eastAsia="cs-CZ"/>
              </w:rPr>
              <w:t xml:space="preserve"> model - </w:t>
            </w:r>
            <w:proofErr w:type="spellStart"/>
            <w:r>
              <w:rPr>
                <w:lang w:eastAsia="cs-CZ"/>
              </w:rPr>
              <w:t>Grenadilla</w:t>
            </w:r>
            <w:proofErr w:type="spellEnd"/>
            <w:r>
              <w:rPr>
                <w:lang w:eastAsia="cs-CZ"/>
              </w:rPr>
              <w:t xml:space="preserve"> </w:t>
            </w:r>
            <w:proofErr w:type="spellStart"/>
            <w:r>
              <w:rPr>
                <w:lang w:eastAsia="cs-CZ"/>
              </w:rPr>
              <w:t>wood</w:t>
            </w:r>
            <w:proofErr w:type="spellEnd"/>
            <w:r>
              <w:rPr>
                <w:lang w:eastAsia="cs-CZ"/>
              </w:rPr>
              <w:t xml:space="preserve"> - </w:t>
            </w:r>
            <w:proofErr w:type="spellStart"/>
            <w:r>
              <w:rPr>
                <w:lang w:eastAsia="cs-CZ"/>
              </w:rPr>
              <w:t>silver-plated</w:t>
            </w:r>
            <w:proofErr w:type="spellEnd"/>
            <w:r>
              <w:rPr>
                <w:lang w:eastAsia="cs-CZ"/>
              </w:rPr>
              <w:t xml:space="preserve"> </w:t>
            </w:r>
            <w:proofErr w:type="spellStart"/>
            <w:r>
              <w:rPr>
                <w:lang w:eastAsia="cs-CZ"/>
              </w:rPr>
              <w:t>keys</w:t>
            </w:r>
            <w:proofErr w:type="spellEnd"/>
            <w:r>
              <w:rPr>
                <w:lang w:eastAsia="cs-CZ"/>
              </w:rPr>
              <w:t>, Gold-</w:t>
            </w:r>
            <w:proofErr w:type="spellStart"/>
            <w:r>
              <w:rPr>
                <w:lang w:eastAsia="cs-CZ"/>
              </w:rPr>
              <w:t>plated</w:t>
            </w:r>
            <w:proofErr w:type="spellEnd"/>
            <w:r>
              <w:rPr>
                <w:lang w:eastAsia="cs-CZ"/>
              </w:rPr>
              <w:t xml:space="preserve"> </w:t>
            </w:r>
            <w:proofErr w:type="spellStart"/>
            <w:r>
              <w:rPr>
                <w:lang w:eastAsia="cs-CZ"/>
              </w:rPr>
              <w:t>rings</w:t>
            </w:r>
            <w:proofErr w:type="spellEnd"/>
            <w:r>
              <w:rPr>
                <w:lang w:eastAsia="cs-CZ"/>
              </w:rPr>
              <w:t xml:space="preserve">, </w:t>
            </w:r>
            <w:proofErr w:type="spellStart"/>
            <w:r>
              <w:rPr>
                <w:lang w:eastAsia="cs-CZ"/>
              </w:rPr>
              <w:t>reed</w:t>
            </w:r>
            <w:proofErr w:type="spellEnd"/>
            <w:r>
              <w:rPr>
                <w:lang w:eastAsia="cs-CZ"/>
              </w:rPr>
              <w:t xml:space="preserve"> </w:t>
            </w:r>
            <w:proofErr w:type="spellStart"/>
            <w:r>
              <w:rPr>
                <w:lang w:eastAsia="cs-CZ"/>
              </w:rPr>
              <w:t>well</w:t>
            </w:r>
            <w:proofErr w:type="spellEnd"/>
            <w:r>
              <w:rPr>
                <w:lang w:eastAsia="cs-CZ"/>
              </w:rPr>
              <w:t xml:space="preserve"> and </w:t>
            </w:r>
            <w:proofErr w:type="spellStart"/>
            <w:r>
              <w:rPr>
                <w:lang w:eastAsia="cs-CZ"/>
              </w:rPr>
              <w:t>posts</w:t>
            </w:r>
            <w:proofErr w:type="spellEnd"/>
            <w:r>
              <w:rPr>
                <w:lang w:eastAsia="cs-CZ"/>
              </w:rPr>
              <w:t xml:space="preserve"> (Gold-</w:t>
            </w:r>
            <w:proofErr w:type="spellStart"/>
            <w:r>
              <w:rPr>
                <w:lang w:eastAsia="cs-CZ"/>
              </w:rPr>
              <w:t>plated</w:t>
            </w:r>
            <w:proofErr w:type="spellEnd"/>
            <w:r>
              <w:rPr>
                <w:lang w:eastAsia="cs-CZ"/>
              </w:rPr>
              <w:t xml:space="preserve"> </w:t>
            </w:r>
            <w:proofErr w:type="spellStart"/>
            <w:r>
              <w:rPr>
                <w:lang w:eastAsia="cs-CZ"/>
              </w:rPr>
              <w:t>bocals</w:t>
            </w:r>
            <w:proofErr w:type="spellEnd"/>
            <w:r>
              <w:rPr>
                <w:lang w:eastAsia="cs-CZ"/>
              </w:rPr>
              <w:t>)</w:t>
            </w:r>
          </w:p>
          <w:p w14:paraId="6DB58E3D" w14:textId="77777777" w:rsidR="00E7421F" w:rsidRDefault="00E7421F" w:rsidP="00E7421F">
            <w:pPr>
              <w:pStyle w:val="Bezmezer"/>
              <w:numPr>
                <w:ilvl w:val="0"/>
                <w:numId w:val="18"/>
              </w:numPr>
              <w:rPr>
                <w:lang w:eastAsia="cs-CZ"/>
              </w:rPr>
            </w:pPr>
            <w:proofErr w:type="spellStart"/>
            <w:r>
              <w:rPr>
                <w:lang w:eastAsia="cs-CZ"/>
              </w:rPr>
              <w:t>Grenadilové</w:t>
            </w:r>
            <w:proofErr w:type="spellEnd"/>
            <w:r>
              <w:rPr>
                <w:lang w:eastAsia="cs-CZ"/>
              </w:rPr>
              <w:t xml:space="preserve"> dřevo, postříbřené klapky, pozlacené kroužky, včetně pouzdra, přetahu a příslušenství (vytěrák)</w:t>
            </w:r>
          </w:p>
          <w:p w14:paraId="14381640" w14:textId="691EB33E" w:rsidR="0048061F" w:rsidRDefault="00E7421F" w:rsidP="00E7421F">
            <w:pPr>
              <w:pStyle w:val="Bezmezer"/>
              <w:numPr>
                <w:ilvl w:val="0"/>
                <w:numId w:val="18"/>
              </w:numPr>
              <w:rPr>
                <w:lang w:eastAsia="cs-CZ"/>
              </w:rPr>
            </w:pPr>
            <w:r>
              <w:rPr>
                <w:lang w:eastAsia="cs-CZ"/>
              </w:rPr>
              <w:t>Záruka 24 měsíců + bezplatný servis po dobu záruky (dva roky)</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14:paraId="675A3AFA" w14:textId="77777777">
        <w:tc>
          <w:tcPr>
            <w:tcW w:w="4606" w:type="dxa"/>
          </w:tcPr>
          <w:p w14:paraId="544DC5A1" w14:textId="77777777" w:rsidR="001E2407" w:rsidRDefault="001E2407" w:rsidP="00121678">
            <w:pPr>
              <w:tabs>
                <w:tab w:val="left" w:pos="1120"/>
              </w:tabs>
              <w:spacing w:after="0" w:line="320" w:lineRule="atLeast"/>
              <w:rPr>
                <w:b/>
                <w:bCs/>
              </w:rPr>
            </w:pPr>
            <w:r>
              <w:rPr>
                <w:b/>
                <w:bCs/>
              </w:rPr>
              <w:t xml:space="preserve">Prodávající: Jan Kubr </w:t>
            </w:r>
          </w:p>
          <w:p w14:paraId="42B63EAF" w14:textId="77777777" w:rsidR="001E2407" w:rsidRDefault="001E2407" w:rsidP="00121678">
            <w:pPr>
              <w:tabs>
                <w:tab w:val="left" w:pos="1120"/>
              </w:tabs>
              <w:spacing w:after="0" w:line="320" w:lineRule="atLeast"/>
              <w:rPr>
                <w:rFonts w:ascii="RYQAMZ+Calibri" w:hAnsi="RYQAMZ+Calibri" w:cs="RYQAMZ+Calibri"/>
              </w:rPr>
            </w:pPr>
            <w:r>
              <w:rPr>
                <w:rFonts w:ascii="RYQAMZ+Calibri" w:hAnsi="RYQAMZ+Calibri" w:cs="RYQAMZ+Calibri"/>
              </w:rPr>
              <w:t xml:space="preserve">IČO: 62615653 </w:t>
            </w:r>
          </w:p>
          <w:p w14:paraId="2BB481A5" w14:textId="77777777" w:rsidR="001E2407" w:rsidRDefault="001E2407" w:rsidP="00121678">
            <w:pPr>
              <w:tabs>
                <w:tab w:val="left" w:pos="1120"/>
              </w:tabs>
              <w:spacing w:after="0" w:line="320" w:lineRule="atLeast"/>
              <w:rPr>
                <w:rFonts w:ascii="RYQAMZ+Calibri" w:hAnsi="RYQAMZ+Calibri" w:cs="RYQAMZ+Calibri"/>
              </w:rPr>
            </w:pPr>
            <w:r>
              <w:rPr>
                <w:rFonts w:ascii="RYQAMZ+Calibri" w:hAnsi="RYQAMZ+Calibri" w:cs="RYQAMZ+Calibri"/>
              </w:rPr>
              <w:t xml:space="preserve">DIČ: CZ7602271864 </w:t>
            </w:r>
          </w:p>
          <w:p w14:paraId="17D76509" w14:textId="77777777" w:rsidR="001E2407" w:rsidRDefault="001E2407" w:rsidP="00121678">
            <w:pPr>
              <w:tabs>
                <w:tab w:val="left" w:pos="1120"/>
              </w:tabs>
              <w:spacing w:after="0" w:line="320" w:lineRule="atLeast"/>
              <w:rPr>
                <w:rFonts w:ascii="RYQAMZ+Calibri" w:hAnsi="RYQAMZ+Calibri" w:cs="RYQAMZ+Calibri"/>
              </w:rPr>
            </w:pPr>
            <w:r>
              <w:rPr>
                <w:rFonts w:ascii="RYQAMZ+Calibri" w:hAnsi="RYQAMZ+Calibri" w:cs="RYQAMZ+Calibri"/>
              </w:rPr>
              <w:t xml:space="preserve">Adresa: Heinemannova 2695/2, 16000 Praha 6 Dejvice </w:t>
            </w:r>
          </w:p>
          <w:p w14:paraId="314D6F34" w14:textId="7CFC06F9" w:rsidR="001E2407" w:rsidRDefault="005769E6" w:rsidP="00121678">
            <w:pPr>
              <w:tabs>
                <w:tab w:val="left" w:pos="1120"/>
              </w:tabs>
              <w:spacing w:after="0" w:line="320" w:lineRule="atLeast"/>
              <w:rPr>
                <w:rFonts w:ascii="RYQAMZ+Calibri" w:hAnsi="RYQAMZ+Calibri" w:cs="RYQAMZ+Calibri"/>
              </w:rPr>
            </w:pPr>
            <w:r>
              <w:rPr>
                <w:rFonts w:ascii="RYQAMZ+Calibri" w:hAnsi="RYQAMZ+Calibri" w:cs="RYQAMZ+Calibri"/>
              </w:rPr>
              <w:t>T</w:t>
            </w:r>
            <w:r w:rsidR="001E2407">
              <w:rPr>
                <w:rFonts w:ascii="RYQAMZ+Calibri" w:hAnsi="RYQAMZ+Calibri" w:cs="RYQAMZ+Calibri"/>
              </w:rPr>
              <w:t>el</w:t>
            </w:r>
            <w:r>
              <w:rPr>
                <w:rFonts w:ascii="RYQAMZ+Calibri" w:hAnsi="RYQAMZ+Calibri" w:cs="RYQAMZ+Calibri"/>
              </w:rPr>
              <w:t xml:space="preserve">: </w:t>
            </w:r>
            <w:proofErr w:type="spellStart"/>
            <w:r>
              <w:rPr>
                <w:rFonts w:ascii="RYQAMZ+Calibri" w:hAnsi="RYQAMZ+Calibri" w:cs="RYQAMZ+Calibri"/>
              </w:rPr>
              <w:t>xxxxx</w:t>
            </w:r>
            <w:proofErr w:type="spellEnd"/>
            <w:r w:rsidR="001E2407">
              <w:rPr>
                <w:rFonts w:ascii="RYQAMZ+Calibri" w:hAnsi="RYQAMZ+Calibri" w:cs="RYQAMZ+Calibri"/>
              </w:rPr>
              <w:t xml:space="preserve"> </w:t>
            </w:r>
          </w:p>
          <w:p w14:paraId="08F105FD" w14:textId="46176C56" w:rsidR="00C34EAD" w:rsidRPr="003B4EC3" w:rsidRDefault="001E2407" w:rsidP="005769E6">
            <w:pPr>
              <w:tabs>
                <w:tab w:val="left" w:pos="1120"/>
              </w:tabs>
              <w:spacing w:after="0" w:line="320" w:lineRule="atLeast"/>
              <w:rPr>
                <w:rFonts w:asciiTheme="minorHAnsi" w:hAnsiTheme="minorHAnsi" w:cstheme="minorHAnsi"/>
                <w:b/>
              </w:rPr>
            </w:pPr>
            <w:r>
              <w:rPr>
                <w:rFonts w:ascii="RYQAMZ+Calibri" w:hAnsi="RYQAMZ+Calibri" w:cs="RYQAMZ+Calibri"/>
              </w:rPr>
              <w:t xml:space="preserve">email: </w:t>
            </w:r>
            <w:bookmarkStart w:id="2" w:name="_GoBack"/>
            <w:proofErr w:type="spellStart"/>
            <w:r w:rsidR="005769E6" w:rsidRPr="005769E6">
              <w:rPr>
                <w:b/>
                <w:bCs/>
              </w:rPr>
              <w:t>xxxxx</w:t>
            </w:r>
            <w:bookmarkEnd w:id="2"/>
            <w:proofErr w:type="spellEnd"/>
          </w:p>
        </w:tc>
        <w:tc>
          <w:tcPr>
            <w:tcW w:w="4862" w:type="dxa"/>
          </w:tcPr>
          <w:p w14:paraId="217F655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2F5ECD4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14:paraId="62F642D5"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14:paraId="1C6ED300"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14:paraId="62A176DF"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35CB4D50" w14:textId="77777777">
        <w:tc>
          <w:tcPr>
            <w:tcW w:w="4606" w:type="dxa"/>
          </w:tcPr>
          <w:p w14:paraId="0B956D3A"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Smlouva/objednávka č.:</w:t>
            </w:r>
          </w:p>
          <w:p w14:paraId="7E8C0CD4"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Dodací list č.:</w:t>
            </w:r>
          </w:p>
          <w:p w14:paraId="5DD51B26"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Datum dodání:</w:t>
            </w:r>
          </w:p>
          <w:p w14:paraId="537F5DA4"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Datum instalace:</w:t>
            </w:r>
          </w:p>
          <w:p w14:paraId="58383870"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Datum vyzkoušení/</w:t>
            </w:r>
          </w:p>
          <w:p w14:paraId="7FDA150C"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Faktura č.:</w:t>
            </w:r>
          </w:p>
          <w:p w14:paraId="6C6670EE" w14:textId="77777777" w:rsidR="00C34EAD" w:rsidRPr="0059488C"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 xml:space="preserve">Datum vystavení </w:t>
            </w:r>
          </w:p>
          <w:p w14:paraId="3107592A" w14:textId="77777777" w:rsidR="00C34EAD" w:rsidRPr="003B4EC3" w:rsidRDefault="00C34EAD" w:rsidP="00121678">
            <w:pPr>
              <w:spacing w:after="0" w:line="320" w:lineRule="atLeast"/>
              <w:rPr>
                <w:rFonts w:asciiTheme="minorHAnsi" w:hAnsiTheme="minorHAnsi" w:cstheme="minorHAnsi"/>
                <w:b/>
              </w:rPr>
            </w:pPr>
            <w:r w:rsidRPr="0059488C">
              <w:rPr>
                <w:rFonts w:asciiTheme="minorHAnsi" w:hAnsiTheme="minorHAnsi" w:cstheme="minorHAnsi"/>
                <w:b/>
              </w:rPr>
              <w:t>předávacího protokolu:</w:t>
            </w:r>
          </w:p>
        </w:tc>
        <w:tc>
          <w:tcPr>
            <w:tcW w:w="4862" w:type="dxa"/>
          </w:tcPr>
          <w:p w14:paraId="01F48018" w14:textId="77777777" w:rsidR="00C34EAD" w:rsidRPr="003B4EC3" w:rsidRDefault="00C34EAD" w:rsidP="00121678">
            <w:pPr>
              <w:spacing w:after="0" w:line="320" w:lineRule="atLeast"/>
              <w:rPr>
                <w:rFonts w:asciiTheme="minorHAnsi" w:hAnsiTheme="minorHAnsi" w:cstheme="minorHAnsi"/>
                <w:b/>
              </w:rPr>
            </w:pPr>
          </w:p>
          <w:p w14:paraId="1BE2D86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14:paraId="6894F6C2" w14:textId="48EC19A2" w:rsidR="00C34EAD" w:rsidRPr="003B4EC3" w:rsidRDefault="0048061F" w:rsidP="00121678">
            <w:pPr>
              <w:spacing w:after="0" w:line="320" w:lineRule="atLeast"/>
              <w:rPr>
                <w:rFonts w:asciiTheme="minorHAnsi" w:hAnsiTheme="minorHAnsi" w:cstheme="minorHAnsi"/>
                <w:b/>
              </w:rPr>
            </w:pPr>
            <w:r>
              <w:rPr>
                <w:rFonts w:asciiTheme="minorHAnsi" w:hAnsiTheme="minorHAnsi" w:cstheme="minorHAnsi"/>
              </w:rPr>
              <w:t>n</w:t>
            </w:r>
            <w:r>
              <w:rPr>
                <w:lang w:eastAsia="cs-CZ"/>
              </w:rPr>
              <w:t xml:space="preserve">ástroje pro orchestr ND: </w:t>
            </w:r>
            <w:r w:rsidR="00933C8A" w:rsidRPr="003B4EC3">
              <w:rPr>
                <w:rFonts w:asciiTheme="minorHAnsi" w:hAnsiTheme="minorHAnsi" w:cstheme="minorHAnsi"/>
              </w:rPr>
              <w:t>Provozní budova Národního divadla, Ostrovní 1, 112 30 Praha 1, Nové Město</w:t>
            </w:r>
            <w:r>
              <w:rPr>
                <w:rFonts w:asciiTheme="minorHAnsi" w:hAnsiTheme="minorHAnsi" w:cstheme="minorHAnsi"/>
              </w:rPr>
              <w:t>/ n</w:t>
            </w:r>
            <w:r>
              <w:rPr>
                <w:lang w:eastAsia="cs-CZ"/>
              </w:rPr>
              <w:t>ástroje pro orchestr SO: Provozní budova Státní opery</w:t>
            </w:r>
            <w:r>
              <w:rPr>
                <w:rFonts w:asciiTheme="minorHAnsi" w:hAnsiTheme="minorHAnsi" w:cstheme="minorHAnsi"/>
              </w:rPr>
              <w:t xml:space="preserve">, </w:t>
            </w:r>
            <w:r w:rsidRPr="00171B5D">
              <w:rPr>
                <w:rFonts w:asciiTheme="minorHAnsi" w:hAnsiTheme="minorHAnsi" w:cstheme="minorHAnsi"/>
                <w:bCs/>
              </w:rPr>
              <w:t>Legerova 75, 110 00 Praha 1</w:t>
            </w:r>
            <w:r>
              <w:rPr>
                <w:rFonts w:asciiTheme="minorHAnsi" w:hAnsiTheme="minorHAnsi" w:cstheme="minorHAnsi"/>
                <w:bCs/>
              </w:rPr>
              <w:t>.</w:t>
            </w:r>
          </w:p>
        </w:tc>
      </w:tr>
    </w:tbl>
    <w:p w14:paraId="5361D1EC" w14:textId="77777777" w:rsidR="00C34EAD" w:rsidRPr="003B4EC3" w:rsidRDefault="00C34EAD" w:rsidP="00121678">
      <w:pPr>
        <w:spacing w:after="0" w:line="320" w:lineRule="atLeast"/>
        <w:rPr>
          <w:rFonts w:asciiTheme="minorHAnsi" w:hAnsiTheme="minorHAnsi" w:cstheme="minorHAnsi"/>
          <w:b/>
        </w:rPr>
      </w:pPr>
    </w:p>
    <w:p w14:paraId="6ABF3F19" w14:textId="64119B56"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0059488C">
        <w:rPr>
          <w:rFonts w:asciiTheme="minorHAnsi" w:hAnsiTheme="minorHAnsi" w:cstheme="minorHAnsi"/>
          <w:b/>
        </w:rPr>
        <w:t xml:space="preserve">200/745/23 </w:t>
      </w:r>
      <w:r w:rsidRPr="003B4EC3">
        <w:rPr>
          <w:rFonts w:asciiTheme="minorHAnsi" w:hAnsiTheme="minorHAnsi" w:cstheme="minorHAnsi"/>
          <w:b/>
        </w:rPr>
        <w:t>ze dne…</w:t>
      </w:r>
      <w:r w:rsidR="0048061F">
        <w:rPr>
          <w:rFonts w:asciiTheme="minorHAnsi" w:hAnsiTheme="minorHAnsi" w:cstheme="minorHAnsi"/>
          <w:b/>
        </w:rPr>
        <w:t>…</w:t>
      </w:r>
      <w:r w:rsidR="0059488C">
        <w:rPr>
          <w:rFonts w:asciiTheme="minorHAnsi" w:hAnsiTheme="minorHAnsi" w:cstheme="minorHAnsi"/>
          <w:b/>
        </w:rPr>
        <w:t>…</w:t>
      </w:r>
      <w:r w:rsidR="0048061F">
        <w:rPr>
          <w:rFonts w:asciiTheme="minorHAnsi" w:hAnsiTheme="minorHAnsi" w:cstheme="minorHAnsi"/>
          <w:b/>
        </w:rPr>
        <w:t>..2022</w:t>
      </w:r>
    </w:p>
    <w:p w14:paraId="45E47F4B" w14:textId="77777777" w:rsidR="00686CEF" w:rsidRPr="003B4EC3" w:rsidRDefault="00686CEF" w:rsidP="00686CEF">
      <w:pPr>
        <w:spacing w:after="0" w:line="320" w:lineRule="atLeast"/>
        <w:jc w:val="both"/>
        <w:rPr>
          <w:rFonts w:asciiTheme="minorHAnsi" w:hAnsiTheme="minorHAnsi" w:cstheme="minorHAnsi"/>
          <w:b/>
        </w:rPr>
      </w:pPr>
    </w:p>
    <w:p w14:paraId="69F43896"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Zboží: </w:t>
      </w:r>
      <w:r w:rsidRPr="0059488C">
        <w:rPr>
          <w:rFonts w:asciiTheme="minorHAnsi" w:hAnsiTheme="minorHAnsi" w:cstheme="minorHAnsi"/>
          <w:b/>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14:paraId="7C62205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14:paraId="5B7F49F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9402" w14:textId="77777777" w:rsidR="00493585" w:rsidRDefault="00493585">
      <w:pPr>
        <w:spacing w:after="0" w:line="240" w:lineRule="auto"/>
      </w:pPr>
      <w:r>
        <w:separator/>
      </w:r>
    </w:p>
  </w:endnote>
  <w:endnote w:type="continuationSeparator" w:id="0">
    <w:p w14:paraId="6CB34C13" w14:textId="77777777" w:rsidR="00493585" w:rsidRDefault="0049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YQAMZ+Calibri">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41C4CC44"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5769E6">
      <w:rPr>
        <w:rFonts w:ascii="Arial" w:hAnsi="Arial" w:cs="Arial"/>
        <w:i/>
        <w:noProof/>
        <w:sz w:val="16"/>
        <w:szCs w:val="16"/>
      </w:rPr>
      <w:t>9</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5769E6">
      <w:rPr>
        <w:rFonts w:ascii="Arial" w:hAnsi="Arial" w:cs="Arial"/>
        <w:i/>
        <w:noProof/>
        <w:sz w:val="16"/>
        <w:szCs w:val="16"/>
      </w:rPr>
      <w:t>9</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2D7A" w14:textId="77777777" w:rsidR="00493585" w:rsidRDefault="00493585">
      <w:pPr>
        <w:spacing w:after="0" w:line="240" w:lineRule="auto"/>
      </w:pPr>
      <w:r>
        <w:separator/>
      </w:r>
    </w:p>
  </w:footnote>
  <w:footnote w:type="continuationSeparator" w:id="0">
    <w:p w14:paraId="175ECD0E" w14:textId="77777777" w:rsidR="00493585" w:rsidRDefault="00493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99BC" w14:textId="1F2D25B8" w:rsidR="0059488C" w:rsidRDefault="0059488C" w:rsidP="0059488C">
    <w:pPr>
      <w:pStyle w:val="Zhlav"/>
      <w:contextualSpacing/>
      <w:jc w:val="right"/>
    </w:pPr>
    <w:r>
      <w:t>200/745/23    200-ADM</w:t>
    </w:r>
  </w:p>
  <w:p w14:paraId="220CB3E0" w14:textId="73BDDCEE" w:rsidR="0059488C" w:rsidRDefault="0059488C" w:rsidP="0059488C">
    <w:pPr>
      <w:pStyle w:val="Zhlav"/>
      <w:contextualSpacing/>
      <w:jc w:val="right"/>
    </w:pPr>
    <w:r>
      <w:t>Č. j. ND/7086/201410/2023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3"/>
  </w:num>
  <w:num w:numId="4">
    <w:abstractNumId w:val="2"/>
  </w:num>
  <w:num w:numId="5">
    <w:abstractNumId w:val="0"/>
  </w:num>
  <w:num w:numId="6">
    <w:abstractNumId w:val="1"/>
  </w:num>
  <w:num w:numId="7">
    <w:abstractNumId w:val="11"/>
  </w:num>
  <w:num w:numId="8">
    <w:abstractNumId w:val="8"/>
  </w:num>
  <w:num w:numId="9">
    <w:abstractNumId w:val="14"/>
  </w:num>
  <w:num w:numId="10">
    <w:abstractNumId w:val="7"/>
  </w:num>
  <w:num w:numId="11">
    <w:abstractNumId w:val="17"/>
  </w:num>
  <w:num w:numId="12">
    <w:abstractNumId w:val="10"/>
  </w:num>
  <w:num w:numId="13">
    <w:abstractNumId w:val="6"/>
  </w:num>
  <w:num w:numId="14">
    <w:abstractNumId w:val="9"/>
  </w:num>
  <w:num w:numId="15">
    <w:abstractNumId w:val="4"/>
  </w:num>
  <w:num w:numId="16">
    <w:abstractNumId w:val="16"/>
  </w:num>
  <w:num w:numId="17">
    <w:abstractNumId w:val="15"/>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7D5B"/>
    <w:rsid w:val="00040FF2"/>
    <w:rsid w:val="00063CE4"/>
    <w:rsid w:val="000A0E57"/>
    <w:rsid w:val="000B3CB7"/>
    <w:rsid w:val="000F0E80"/>
    <w:rsid w:val="00121678"/>
    <w:rsid w:val="001423D3"/>
    <w:rsid w:val="00171B5D"/>
    <w:rsid w:val="00180159"/>
    <w:rsid w:val="00196321"/>
    <w:rsid w:val="001A273B"/>
    <w:rsid w:val="001D69E7"/>
    <w:rsid w:val="001E2407"/>
    <w:rsid w:val="00221194"/>
    <w:rsid w:val="002353CE"/>
    <w:rsid w:val="0025738B"/>
    <w:rsid w:val="00257F30"/>
    <w:rsid w:val="0027286E"/>
    <w:rsid w:val="00307104"/>
    <w:rsid w:val="003713F5"/>
    <w:rsid w:val="003A417E"/>
    <w:rsid w:val="003B4EC3"/>
    <w:rsid w:val="003C1E58"/>
    <w:rsid w:val="003C1FEF"/>
    <w:rsid w:val="003C7D10"/>
    <w:rsid w:val="00407658"/>
    <w:rsid w:val="0042160B"/>
    <w:rsid w:val="00434711"/>
    <w:rsid w:val="00472723"/>
    <w:rsid w:val="0048061F"/>
    <w:rsid w:val="00493585"/>
    <w:rsid w:val="004C430F"/>
    <w:rsid w:val="004D5A44"/>
    <w:rsid w:val="004E5A36"/>
    <w:rsid w:val="004F454A"/>
    <w:rsid w:val="005046DE"/>
    <w:rsid w:val="00515058"/>
    <w:rsid w:val="00521D09"/>
    <w:rsid w:val="005769E6"/>
    <w:rsid w:val="0059488C"/>
    <w:rsid w:val="005B190C"/>
    <w:rsid w:val="005D0CE6"/>
    <w:rsid w:val="005D75F9"/>
    <w:rsid w:val="00604478"/>
    <w:rsid w:val="00611CB9"/>
    <w:rsid w:val="0062081B"/>
    <w:rsid w:val="0066078C"/>
    <w:rsid w:val="006728BC"/>
    <w:rsid w:val="00686CEF"/>
    <w:rsid w:val="00692B5D"/>
    <w:rsid w:val="0069418E"/>
    <w:rsid w:val="006C2B93"/>
    <w:rsid w:val="007A3B0E"/>
    <w:rsid w:val="00883C4A"/>
    <w:rsid w:val="008F081D"/>
    <w:rsid w:val="00933C8A"/>
    <w:rsid w:val="009457D4"/>
    <w:rsid w:val="00971510"/>
    <w:rsid w:val="009736D2"/>
    <w:rsid w:val="009E7809"/>
    <w:rsid w:val="00A03AD8"/>
    <w:rsid w:val="00A32DDB"/>
    <w:rsid w:val="00A84B81"/>
    <w:rsid w:val="00AB7DCF"/>
    <w:rsid w:val="00AB7E9D"/>
    <w:rsid w:val="00B357D7"/>
    <w:rsid w:val="00B46982"/>
    <w:rsid w:val="00B9216D"/>
    <w:rsid w:val="00BA3DF6"/>
    <w:rsid w:val="00BF016B"/>
    <w:rsid w:val="00C34EAD"/>
    <w:rsid w:val="00C433AA"/>
    <w:rsid w:val="00C56147"/>
    <w:rsid w:val="00C7141C"/>
    <w:rsid w:val="00C730F8"/>
    <w:rsid w:val="00CD15A7"/>
    <w:rsid w:val="00CD7106"/>
    <w:rsid w:val="00D57BBF"/>
    <w:rsid w:val="00D73449"/>
    <w:rsid w:val="00D8401B"/>
    <w:rsid w:val="00DA4225"/>
    <w:rsid w:val="00DA58C7"/>
    <w:rsid w:val="00DB51FE"/>
    <w:rsid w:val="00DD0E7D"/>
    <w:rsid w:val="00E026DC"/>
    <w:rsid w:val="00E02A87"/>
    <w:rsid w:val="00E04FA4"/>
    <w:rsid w:val="00E45EFC"/>
    <w:rsid w:val="00E7421F"/>
    <w:rsid w:val="00EA3B11"/>
    <w:rsid w:val="00EC126C"/>
    <w:rsid w:val="00ED77CA"/>
    <w:rsid w:val="00EE1C8A"/>
    <w:rsid w:val="00EE56FD"/>
    <w:rsid w:val="00F430F0"/>
    <w:rsid w:val="00F80837"/>
    <w:rsid w:val="00F91F75"/>
    <w:rsid w:val="00F93B0D"/>
    <w:rsid w:val="00FA15F3"/>
    <w:rsid w:val="00FB1155"/>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4242-E574-4928-979E-9EEBF529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2491</Words>
  <Characters>14389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cp:lastPrinted>2023-10-23T06:33:00Z</cp:lastPrinted>
  <dcterms:created xsi:type="dcterms:W3CDTF">2023-11-27T10:29:00Z</dcterms:created>
  <dcterms:modified xsi:type="dcterms:W3CDTF">2023-11-27T10:34:00Z</dcterms:modified>
</cp:coreProperties>
</file>