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5654" w14:textId="6B49D31A" w:rsidR="00F12256" w:rsidRDefault="00F12256" w:rsidP="007A5FC5">
      <w:pPr>
        <w:pStyle w:val="Nadpis5"/>
      </w:pPr>
      <w:r>
        <w:t xml:space="preserve">Příloha č. </w:t>
      </w:r>
      <w:r w:rsidR="007A5FC5">
        <w:t>1</w:t>
      </w:r>
      <w:r>
        <w:t xml:space="preserve"> – Technická specifikace</w:t>
      </w:r>
    </w:p>
    <w:p w14:paraId="11E0A943" w14:textId="77777777" w:rsidR="00F12256" w:rsidRDefault="00F12256" w:rsidP="00F12256">
      <w:pPr>
        <w:pStyle w:val="Default"/>
        <w:rPr>
          <w:sz w:val="20"/>
          <w:szCs w:val="20"/>
        </w:rPr>
      </w:pPr>
    </w:p>
    <w:p w14:paraId="72CA3386" w14:textId="77777777" w:rsidR="00F12256" w:rsidRPr="007324F3" w:rsidRDefault="00F12256" w:rsidP="00866545">
      <w:r w:rsidRPr="007324F3">
        <w:t>Pokud není uvedeno výslovně v textu specifikace jinak, jedná se o minimální technické parametry a je možno nabídnout zboží s parametry lepšími.</w:t>
      </w:r>
    </w:p>
    <w:p w14:paraId="522780C2" w14:textId="77777777" w:rsidR="00F12256" w:rsidRDefault="00F12256" w:rsidP="00F12256">
      <w:pPr>
        <w:pStyle w:val="Default"/>
        <w:rPr>
          <w:sz w:val="22"/>
          <w:szCs w:val="22"/>
        </w:rPr>
      </w:pPr>
    </w:p>
    <w:p w14:paraId="5D12EEC5" w14:textId="7436205D" w:rsidR="000544C8" w:rsidRDefault="007324F3" w:rsidP="00B52B3D">
      <w:pPr>
        <w:pStyle w:val="Nadpis2"/>
      </w:pPr>
      <w:r>
        <w:t>Přehled položek</w:t>
      </w:r>
    </w:p>
    <w:p w14:paraId="063E9DFA" w14:textId="77777777" w:rsidR="00B52B3D" w:rsidRDefault="00B52B3D" w:rsidP="00B52B3D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6862"/>
        <w:gridCol w:w="1070"/>
      </w:tblGrid>
      <w:tr w:rsidR="00025D71" w:rsidRPr="00025D71" w14:paraId="45F9CDD3" w14:textId="77777777" w:rsidTr="005045BC">
        <w:trPr>
          <w:trHeight w:val="47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5DAA19" w14:textId="5F6DE688" w:rsidR="00025D71" w:rsidRPr="00025D71" w:rsidRDefault="00025D71" w:rsidP="00025D7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537692" w14:textId="77777777" w:rsidR="00025D71" w:rsidRPr="00025D71" w:rsidRDefault="00025D71" w:rsidP="005045B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25D7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F891AF" w14:textId="5DAA8308" w:rsidR="00025D71" w:rsidRPr="00025D71" w:rsidRDefault="00025D71" w:rsidP="005045B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</w:t>
            </w:r>
            <w:r w:rsidRPr="00025D7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očet</w:t>
            </w:r>
          </w:p>
        </w:tc>
      </w:tr>
      <w:tr w:rsidR="00025D71" w14:paraId="6E44E4F9" w14:textId="77777777" w:rsidTr="005045BC">
        <w:trPr>
          <w:trHeight w:val="48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DB764" w14:textId="77777777" w:rsidR="00025D71" w:rsidRPr="00025D71" w:rsidRDefault="00025D71" w:rsidP="00866545">
            <w:r w:rsidRPr="00025D71">
              <w:t>1.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14E3E" w14:textId="54581502" w:rsidR="00025D71" w:rsidRPr="00025D71" w:rsidRDefault="00025D71" w:rsidP="00866545">
            <w:r w:rsidRPr="00025D71">
              <w:t xml:space="preserve">Hardwarový </w:t>
            </w:r>
            <w:proofErr w:type="spellStart"/>
            <w:r w:rsidR="00ED176F">
              <w:t>next</w:t>
            </w:r>
            <w:proofErr w:type="spellEnd"/>
            <w:r w:rsidR="00ED176F">
              <w:t xml:space="preserve"> </w:t>
            </w:r>
            <w:proofErr w:type="spellStart"/>
            <w:r w:rsidR="00ED176F">
              <w:t>generation</w:t>
            </w:r>
            <w:proofErr w:type="spellEnd"/>
            <w:r w:rsidR="00ED176F">
              <w:t xml:space="preserve"> </w:t>
            </w:r>
            <w:r w:rsidRPr="00025D71">
              <w:t>firewall+5y podpora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9556" w14:textId="00AA3F48" w:rsidR="00025D71" w:rsidRPr="00025D71" w:rsidRDefault="00025D71" w:rsidP="00866545">
            <w:r w:rsidRPr="00025D71">
              <w:t>1</w:t>
            </w:r>
            <w:r w:rsidR="005045BC">
              <w:t>x</w:t>
            </w:r>
          </w:p>
        </w:tc>
      </w:tr>
      <w:tr w:rsidR="00025D71" w14:paraId="5F624AB8" w14:textId="77777777" w:rsidTr="005045BC">
        <w:trPr>
          <w:trHeight w:val="48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11167" w14:textId="77777777" w:rsidR="00025D71" w:rsidRPr="00025D71" w:rsidRDefault="00025D71" w:rsidP="00866545">
            <w:r w:rsidRPr="00025D71">
              <w:t>2.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7A73" w14:textId="77777777" w:rsidR="00025D71" w:rsidRPr="00025D71" w:rsidRDefault="00025D71" w:rsidP="00866545">
            <w:r w:rsidRPr="00025D71">
              <w:t>Agregační switch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8C69" w14:textId="1E4A704B" w:rsidR="00025D71" w:rsidRPr="00025D71" w:rsidRDefault="00025D71" w:rsidP="00866545">
            <w:r w:rsidRPr="00025D71">
              <w:t>1</w:t>
            </w:r>
            <w:r w:rsidR="005045BC">
              <w:t>x</w:t>
            </w:r>
          </w:p>
        </w:tc>
      </w:tr>
      <w:tr w:rsidR="00025D71" w14:paraId="2647E884" w14:textId="77777777" w:rsidTr="005045BC">
        <w:trPr>
          <w:trHeight w:val="48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65FD" w14:textId="77777777" w:rsidR="00025D71" w:rsidRPr="00025D71" w:rsidRDefault="00025D71" w:rsidP="00866545">
            <w:r w:rsidRPr="00025D71">
              <w:t>3.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A7008" w14:textId="77777777" w:rsidR="00025D71" w:rsidRPr="00025D71" w:rsidRDefault="00025D71" w:rsidP="00866545">
            <w:proofErr w:type="spellStart"/>
            <w:r w:rsidRPr="00025D71">
              <w:t>Switch</w:t>
            </w:r>
            <w:proofErr w:type="spellEnd"/>
            <w:r w:rsidRPr="00025D71">
              <w:t xml:space="preserve"> 48 </w:t>
            </w:r>
            <w:proofErr w:type="spellStart"/>
            <w:r w:rsidRPr="00025D71">
              <w:t>ports</w:t>
            </w:r>
            <w:proofErr w:type="spellEnd"/>
            <w:r w:rsidRPr="00025D71">
              <w:t xml:space="preserve">, </w:t>
            </w:r>
            <w:proofErr w:type="spellStart"/>
            <w:r w:rsidRPr="00025D71">
              <w:t>PoE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A392" w14:textId="28C2BD7F" w:rsidR="00025D71" w:rsidRPr="00025D71" w:rsidRDefault="00025D71" w:rsidP="00866545">
            <w:r w:rsidRPr="00025D71">
              <w:t>5</w:t>
            </w:r>
            <w:r w:rsidR="005045BC">
              <w:t>x</w:t>
            </w:r>
          </w:p>
        </w:tc>
      </w:tr>
      <w:tr w:rsidR="00025D71" w14:paraId="5B792543" w14:textId="77777777" w:rsidTr="005045BC">
        <w:trPr>
          <w:trHeight w:val="48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C694" w14:textId="77777777" w:rsidR="00025D71" w:rsidRPr="00025D71" w:rsidRDefault="00025D71" w:rsidP="00866545">
            <w:r w:rsidRPr="00025D71">
              <w:t>4.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1DF34" w14:textId="77777777" w:rsidR="00025D71" w:rsidRPr="00025D71" w:rsidRDefault="00025D71" w:rsidP="00866545">
            <w:proofErr w:type="spellStart"/>
            <w:r w:rsidRPr="00025D71">
              <w:t>Switch</w:t>
            </w:r>
            <w:proofErr w:type="spellEnd"/>
            <w:r w:rsidRPr="00025D71">
              <w:t xml:space="preserve"> 48 </w:t>
            </w:r>
            <w:proofErr w:type="spellStart"/>
            <w:r w:rsidRPr="00025D71">
              <w:t>ports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C93A7" w14:textId="51EC84B8" w:rsidR="00025D71" w:rsidRPr="00025D71" w:rsidRDefault="00025D71" w:rsidP="00866545">
            <w:r w:rsidRPr="00025D71">
              <w:t>2</w:t>
            </w:r>
            <w:r w:rsidR="005045BC">
              <w:t>x</w:t>
            </w:r>
          </w:p>
        </w:tc>
      </w:tr>
      <w:tr w:rsidR="00025D71" w14:paraId="263C8634" w14:textId="77777777" w:rsidTr="005045BC">
        <w:trPr>
          <w:trHeight w:val="48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7300" w14:textId="77777777" w:rsidR="00025D71" w:rsidRPr="00025D71" w:rsidRDefault="00025D71" w:rsidP="00866545">
            <w:r w:rsidRPr="00025D71">
              <w:t>5.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3A3E9" w14:textId="77777777" w:rsidR="00025D71" w:rsidRPr="00025D71" w:rsidRDefault="00025D71" w:rsidP="00866545">
            <w:r w:rsidRPr="00025D71">
              <w:t>SFP modul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047B" w14:textId="19DA41ED" w:rsidR="00025D71" w:rsidRPr="00025D71" w:rsidRDefault="00025D71" w:rsidP="00866545">
            <w:r w:rsidRPr="00025D71">
              <w:t>1</w:t>
            </w:r>
            <w:r w:rsidR="00530C97">
              <w:t>8</w:t>
            </w:r>
            <w:r w:rsidR="005045BC">
              <w:t>x</w:t>
            </w:r>
          </w:p>
        </w:tc>
      </w:tr>
      <w:tr w:rsidR="00025D71" w14:paraId="66023393" w14:textId="77777777" w:rsidTr="005045BC">
        <w:trPr>
          <w:trHeight w:val="48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5301C" w14:textId="77777777" w:rsidR="00025D71" w:rsidRPr="00025D71" w:rsidRDefault="00025D71" w:rsidP="00866545">
            <w:r w:rsidRPr="00025D71">
              <w:t>6.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39D5B" w14:textId="1A8C03C5" w:rsidR="00025D71" w:rsidRPr="00025D71" w:rsidRDefault="00025D71" w:rsidP="00866545">
            <w:r w:rsidRPr="00025D71">
              <w:t>NAS uložiště</w:t>
            </w:r>
            <w:r w:rsidR="00D3695D">
              <w:t xml:space="preserve"> s 10 </w:t>
            </w:r>
            <w:proofErr w:type="spellStart"/>
            <w:r w:rsidR="00D3695D">
              <w:t>Gb</w:t>
            </w:r>
            <w:proofErr w:type="spellEnd"/>
            <w:r w:rsidR="00D3695D">
              <w:t xml:space="preserve"> síťovou kartou</w:t>
            </w:r>
            <w:r w:rsidR="00ED176F">
              <w:t xml:space="preserve"> a disky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7736" w14:textId="65B6B354" w:rsidR="00025D71" w:rsidRPr="00025D71" w:rsidRDefault="00025D71" w:rsidP="00866545">
            <w:r w:rsidRPr="00025D71">
              <w:t>1</w:t>
            </w:r>
            <w:r w:rsidR="005045BC">
              <w:t>x</w:t>
            </w:r>
          </w:p>
        </w:tc>
      </w:tr>
      <w:tr w:rsidR="00025D71" w14:paraId="035822B2" w14:textId="77777777" w:rsidTr="005045BC">
        <w:trPr>
          <w:trHeight w:val="48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DD6F" w14:textId="7174A266" w:rsidR="00025D71" w:rsidRPr="00025D71" w:rsidRDefault="00ED176F" w:rsidP="00866545">
            <w:r>
              <w:t>7</w:t>
            </w:r>
            <w:r w:rsidR="00025D71" w:rsidRPr="00025D71">
              <w:t>.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BE6B" w14:textId="77777777" w:rsidR="00025D71" w:rsidRPr="00025D71" w:rsidRDefault="00025D71" w:rsidP="00866545">
            <w:r w:rsidRPr="00025D71">
              <w:t>Balík kabeláže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F992" w14:textId="084F102E" w:rsidR="00025D71" w:rsidRPr="00025D71" w:rsidRDefault="00025D71" w:rsidP="00866545">
            <w:r w:rsidRPr="00025D71">
              <w:t>1</w:t>
            </w:r>
            <w:r w:rsidR="005045BC">
              <w:t>x</w:t>
            </w:r>
          </w:p>
        </w:tc>
      </w:tr>
    </w:tbl>
    <w:p w14:paraId="314F6B6A" w14:textId="77777777" w:rsidR="00B52B3D" w:rsidRDefault="00B52B3D" w:rsidP="00B52B3D"/>
    <w:p w14:paraId="16BCAC30" w14:textId="5413438A" w:rsidR="00532A0A" w:rsidRDefault="00EA77D4" w:rsidP="00B52B3D">
      <w:r w:rsidRPr="00EA77D4">
        <w:rPr>
          <w:b/>
          <w:bCs/>
        </w:rPr>
        <w:t>Důležité</w:t>
      </w:r>
      <w:r>
        <w:t xml:space="preserve">: </w:t>
      </w:r>
      <w:r w:rsidR="00532A0A">
        <w:t xml:space="preserve">Položky číslo 2., 3. 4. (tj. všechny switche) musí být </w:t>
      </w:r>
      <w:r w:rsidR="00D02B35">
        <w:t>od jednoho výrobce.</w:t>
      </w:r>
      <w:r w:rsidR="00B639D3">
        <w:t xml:space="preserve"> </w:t>
      </w:r>
      <w:r w:rsidR="004E210F">
        <w:br/>
      </w:r>
      <w:r w:rsidR="009A45C7">
        <w:t>Není</w:t>
      </w:r>
      <w:r w:rsidR="00807092">
        <w:t xml:space="preserve">-li níže specifikováno jinak, bude na jednotlivé </w:t>
      </w:r>
      <w:r w:rsidR="00726B92">
        <w:t>položky poskytována standardní záruka 24</w:t>
      </w:r>
      <w:r w:rsidR="00E46250">
        <w:t> </w:t>
      </w:r>
      <w:r w:rsidR="00726B92">
        <w:t>měsíců.</w:t>
      </w:r>
    </w:p>
    <w:p w14:paraId="643FF45C" w14:textId="77777777" w:rsidR="00B52B3D" w:rsidRDefault="00B52B3D" w:rsidP="00B52B3D"/>
    <w:p w14:paraId="42FDCEDE" w14:textId="77777777" w:rsidR="00CA120C" w:rsidRDefault="00CA120C" w:rsidP="00247C43">
      <w:pPr>
        <w:pStyle w:val="Nadpis2"/>
      </w:pPr>
      <w:r>
        <w:t xml:space="preserve">Specifikace </w:t>
      </w:r>
      <w:r w:rsidRPr="00247C43">
        <w:t>jednotlivých</w:t>
      </w:r>
      <w:r>
        <w:t xml:space="preserve"> položek</w:t>
      </w:r>
    </w:p>
    <w:p w14:paraId="1DF5E74D" w14:textId="77777777" w:rsidR="00CA120C" w:rsidRPr="00CA120C" w:rsidRDefault="00CA120C" w:rsidP="00CA120C"/>
    <w:p w14:paraId="564FFDE5" w14:textId="74C722FE" w:rsidR="00024F29" w:rsidRDefault="00024F29" w:rsidP="00024F29">
      <w:pPr>
        <w:pStyle w:val="Nadpis3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1. </w:t>
      </w:r>
      <w:r w:rsidR="00A86DFB" w:rsidRPr="00A86DFB">
        <w:t xml:space="preserve">Hardwarový </w:t>
      </w:r>
      <w:proofErr w:type="spellStart"/>
      <w:r w:rsidR="00A86DFB" w:rsidRPr="00A86DFB">
        <w:t>next</w:t>
      </w:r>
      <w:proofErr w:type="spellEnd"/>
      <w:r w:rsidR="00A86DFB" w:rsidRPr="00A86DFB">
        <w:t xml:space="preserve"> </w:t>
      </w:r>
      <w:proofErr w:type="spellStart"/>
      <w:r w:rsidR="00A86DFB" w:rsidRPr="00A86DFB">
        <w:t>generation</w:t>
      </w:r>
      <w:proofErr w:type="spellEnd"/>
      <w:r w:rsidR="00A86DFB" w:rsidRPr="00A86DFB">
        <w:t xml:space="preserve"> firewall+5y podpora</w:t>
      </w:r>
    </w:p>
    <w:p w14:paraId="13D569CD" w14:textId="77777777" w:rsidR="00024F29" w:rsidRDefault="00024F29">
      <w:pPr>
        <w:rPr>
          <w:rFonts w:ascii="Tahoma" w:eastAsia="Calibri" w:hAnsi="Tahoma" w:cs="Tahoma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03D56" w:rsidRPr="00603D56" w14:paraId="09ECB84C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37607170" w14:textId="77777777" w:rsidR="00603D56" w:rsidRPr="008F5976" w:rsidRDefault="00603D56" w:rsidP="00603D56">
            <w:r w:rsidRPr="008F5976">
              <w:t>Počet 1GE metalických síťových rozhraní (RJ45 10/100/1000) min. 10</w:t>
            </w:r>
          </w:p>
        </w:tc>
      </w:tr>
      <w:tr w:rsidR="00603D56" w:rsidRPr="00603D56" w14:paraId="5D286E13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5966F095" w14:textId="77777777" w:rsidR="00603D56" w:rsidRPr="008F5976" w:rsidRDefault="00603D56" w:rsidP="00603D56">
            <w:proofErr w:type="spellStart"/>
            <w:r w:rsidRPr="008F5976">
              <w:t>Console</w:t>
            </w:r>
            <w:proofErr w:type="spellEnd"/>
            <w:r w:rsidRPr="008F5976">
              <w:t xml:space="preserve"> rozhraní (RJ45</w:t>
            </w:r>
            <w:proofErr w:type="gramStart"/>
            <w:r w:rsidRPr="008F5976">
              <w:t>)  1</w:t>
            </w:r>
            <w:proofErr w:type="gramEnd"/>
            <w:r w:rsidRPr="008F5976">
              <w:t>x</w:t>
            </w:r>
          </w:p>
        </w:tc>
      </w:tr>
      <w:tr w:rsidR="00603D56" w:rsidRPr="00603D56" w14:paraId="59115B15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7313C8F5" w14:textId="77777777" w:rsidR="00603D56" w:rsidRPr="008F5976" w:rsidRDefault="00603D56" w:rsidP="00603D56">
            <w:r w:rsidRPr="008F5976">
              <w:t xml:space="preserve">Podpora LACP (802.3ad) na min. 4 portech stejného typu </w:t>
            </w:r>
          </w:p>
        </w:tc>
      </w:tr>
      <w:tr w:rsidR="00603D56" w:rsidRPr="00603D56" w14:paraId="782CAE7F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9E02D0B" w14:textId="77777777" w:rsidR="00603D56" w:rsidRPr="008F5976" w:rsidRDefault="00603D56" w:rsidP="00603D56">
            <w:r w:rsidRPr="008F5976">
              <w:t>Provedení do racku velikost max. 1U</w:t>
            </w:r>
          </w:p>
        </w:tc>
      </w:tr>
      <w:tr w:rsidR="00603D56" w:rsidRPr="00603D56" w14:paraId="616316BF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652F447B" w14:textId="77777777" w:rsidR="00603D56" w:rsidRPr="008F5976" w:rsidRDefault="00603D56" w:rsidP="00603D56">
            <w:r w:rsidRPr="008F5976">
              <w:t>Podpora IPv6 pro všechny funkce</w:t>
            </w:r>
          </w:p>
        </w:tc>
      </w:tr>
      <w:tr w:rsidR="00603D56" w:rsidRPr="00603D56" w14:paraId="2B3A85D2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316C8517" w14:textId="77777777" w:rsidR="00603D56" w:rsidRPr="008F5976" w:rsidRDefault="00603D56" w:rsidP="00603D56">
            <w:r w:rsidRPr="008F5976">
              <w:t>Podpora NAT64/NAT46</w:t>
            </w:r>
          </w:p>
        </w:tc>
      </w:tr>
      <w:tr w:rsidR="00603D56" w:rsidRPr="00603D56" w14:paraId="6964D53E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7F2C812F" w14:textId="77777777" w:rsidR="00603D56" w:rsidRPr="008F5976" w:rsidRDefault="00603D56" w:rsidP="00603D56">
            <w:r w:rsidRPr="008F5976">
              <w:t>Výkonnost FW shodná pro IPv4 i IPv6</w:t>
            </w:r>
          </w:p>
        </w:tc>
      </w:tr>
      <w:tr w:rsidR="00603D56" w:rsidRPr="00603D56" w14:paraId="5BAA2743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5C559E63" w14:textId="22138F16" w:rsidR="00603D56" w:rsidRPr="008F5976" w:rsidRDefault="00603D56" w:rsidP="00603D56">
            <w:r w:rsidRPr="008F5976">
              <w:t xml:space="preserve">Propustnost FW stavové </w:t>
            </w:r>
            <w:r w:rsidR="008F5976" w:rsidRPr="008F5976">
              <w:t>filtrování, UDP</w:t>
            </w:r>
            <w:r w:rsidRPr="008F5976">
              <w:t xml:space="preserve"> </w:t>
            </w:r>
            <w:proofErr w:type="gramStart"/>
            <w:r w:rsidRPr="008F5976">
              <w:t>pakety  10</w:t>
            </w:r>
            <w:proofErr w:type="gramEnd"/>
            <w:r w:rsidRPr="008F5976">
              <w:t xml:space="preserve"> </w:t>
            </w:r>
            <w:proofErr w:type="spellStart"/>
            <w:r w:rsidRPr="008F5976">
              <w:t>Gbps</w:t>
            </w:r>
            <w:proofErr w:type="spellEnd"/>
            <w:r w:rsidRPr="008F5976">
              <w:t xml:space="preserve"> (měřeno na paketech o velikosti 1518 B) </w:t>
            </w:r>
          </w:p>
        </w:tc>
      </w:tr>
      <w:tr w:rsidR="00603D56" w:rsidRPr="00603D56" w14:paraId="09412225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29B11360" w14:textId="77777777" w:rsidR="00603D56" w:rsidRPr="008F5976" w:rsidRDefault="00603D56" w:rsidP="00603D56">
            <w:r w:rsidRPr="008F5976">
              <w:t>Výkonnost FW na malých paketech (64 B) nesmí klesnout pod 45% výkonnosti naměřené na velkých paketech</w:t>
            </w:r>
          </w:p>
        </w:tc>
      </w:tr>
      <w:tr w:rsidR="00603D56" w:rsidRPr="00603D56" w14:paraId="5E1A02DA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22C797DF" w14:textId="77777777" w:rsidR="00603D56" w:rsidRPr="008F5976" w:rsidRDefault="00603D56" w:rsidP="00603D56">
            <w:r w:rsidRPr="008F5976">
              <w:t xml:space="preserve">Propustnost FW paketů za sekundu 9 </w:t>
            </w:r>
            <w:proofErr w:type="spellStart"/>
            <w:r w:rsidRPr="008F5976">
              <w:t>Mpps</w:t>
            </w:r>
            <w:proofErr w:type="spellEnd"/>
          </w:p>
        </w:tc>
      </w:tr>
      <w:tr w:rsidR="00603D56" w:rsidRPr="00603D56" w14:paraId="530F6D5A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26EC51EB" w14:textId="77777777" w:rsidR="00603D56" w:rsidRPr="008F5976" w:rsidRDefault="00603D56" w:rsidP="00603D56">
            <w:r w:rsidRPr="008F5976">
              <w:t xml:space="preserve">Latence firewallu (64 B UDP </w:t>
            </w:r>
            <w:proofErr w:type="gramStart"/>
            <w:r w:rsidRPr="008F5976">
              <w:t>paketů)  4</w:t>
            </w:r>
            <w:proofErr w:type="gramEnd"/>
            <w:r w:rsidRPr="008F5976">
              <w:t xml:space="preserve"> </w:t>
            </w:r>
            <w:proofErr w:type="spellStart"/>
            <w:r w:rsidRPr="008F5976">
              <w:t>μs</w:t>
            </w:r>
            <w:proofErr w:type="spellEnd"/>
          </w:p>
        </w:tc>
      </w:tr>
      <w:tr w:rsidR="00603D56" w:rsidRPr="00603D56" w14:paraId="499371DF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11E2EC64" w14:textId="77777777" w:rsidR="00603D56" w:rsidRPr="008F5976" w:rsidRDefault="00603D56" w:rsidP="00603D56">
            <w:r w:rsidRPr="008F5976">
              <w:t>Počet současně otevřených spojení min. 700000</w:t>
            </w:r>
          </w:p>
        </w:tc>
      </w:tr>
      <w:tr w:rsidR="00603D56" w:rsidRPr="00603D56" w14:paraId="4A24C8C2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38846508" w14:textId="77777777" w:rsidR="00603D56" w:rsidRPr="008F5976" w:rsidRDefault="00603D56" w:rsidP="00603D56">
            <w:r w:rsidRPr="008F5976">
              <w:lastRenderedPageBreak/>
              <w:t xml:space="preserve">Počet nových spojení za sekundu min.  35000 </w:t>
            </w:r>
          </w:p>
        </w:tc>
      </w:tr>
      <w:tr w:rsidR="00603D56" w:rsidRPr="00603D56" w14:paraId="4BB358C4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036A70D" w14:textId="77777777" w:rsidR="00603D56" w:rsidRPr="008F5976" w:rsidRDefault="00603D56" w:rsidP="00603D56">
            <w:r w:rsidRPr="008F5976">
              <w:t xml:space="preserve">Propustnost IPSEC VPN (AES256-SHA256) min. 1,4 </w:t>
            </w:r>
            <w:proofErr w:type="spellStart"/>
            <w:r w:rsidRPr="008F5976">
              <w:t>Gbps</w:t>
            </w:r>
            <w:proofErr w:type="spellEnd"/>
            <w:r w:rsidRPr="008F5976">
              <w:t xml:space="preserve"> </w:t>
            </w:r>
          </w:p>
        </w:tc>
      </w:tr>
      <w:tr w:rsidR="00603D56" w:rsidRPr="00603D56" w14:paraId="3E66CA43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3A613624" w14:textId="77777777" w:rsidR="00603D56" w:rsidRPr="008F5976" w:rsidRDefault="00603D56" w:rsidP="00603D56">
            <w:r w:rsidRPr="008F5976">
              <w:t xml:space="preserve">Propustnost SSL VPN min. 900 Mbps </w:t>
            </w:r>
          </w:p>
        </w:tc>
      </w:tr>
      <w:tr w:rsidR="00603D56" w:rsidRPr="00603D56" w14:paraId="6D89819C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86A3540" w14:textId="77777777" w:rsidR="00603D56" w:rsidRPr="008F5976" w:rsidRDefault="00603D56" w:rsidP="00603D56">
            <w:r w:rsidRPr="008F5976">
              <w:t xml:space="preserve">Propustnost NGFW (IPS + </w:t>
            </w:r>
            <w:proofErr w:type="spellStart"/>
            <w:r w:rsidRPr="008F5976">
              <w:t>Application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control</w:t>
            </w:r>
            <w:proofErr w:type="spellEnd"/>
            <w:r w:rsidRPr="008F5976">
              <w:t xml:space="preserve">; </w:t>
            </w:r>
            <w:proofErr w:type="spellStart"/>
            <w:r w:rsidRPr="008F5976">
              <w:t>traffic</w:t>
            </w:r>
            <w:proofErr w:type="spellEnd"/>
            <w:r w:rsidRPr="008F5976">
              <w:t xml:space="preserve"> mix) min.  1 </w:t>
            </w:r>
            <w:proofErr w:type="spellStart"/>
            <w:r w:rsidRPr="008F5976">
              <w:t>Gbps</w:t>
            </w:r>
            <w:proofErr w:type="spellEnd"/>
          </w:p>
        </w:tc>
      </w:tr>
      <w:tr w:rsidR="00603D56" w:rsidRPr="00603D56" w14:paraId="1D9FBCC0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4F3E21B3" w14:textId="77777777" w:rsidR="00603D56" w:rsidRPr="008F5976" w:rsidRDefault="00603D56" w:rsidP="00603D56">
            <w:r w:rsidRPr="008F5976">
              <w:t xml:space="preserve">Propustnost </w:t>
            </w:r>
            <w:proofErr w:type="gramStart"/>
            <w:r w:rsidRPr="008F5976">
              <w:t>IPS  min.</w:t>
            </w:r>
            <w:proofErr w:type="gramEnd"/>
            <w:r w:rsidRPr="008F5976">
              <w:t xml:space="preserve">  1,4 </w:t>
            </w:r>
            <w:proofErr w:type="spellStart"/>
            <w:r w:rsidRPr="008F5976">
              <w:t>Gbps</w:t>
            </w:r>
            <w:proofErr w:type="spellEnd"/>
          </w:p>
        </w:tc>
      </w:tr>
      <w:tr w:rsidR="00603D56" w:rsidRPr="00603D56" w14:paraId="188C0EA1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1418DABC" w14:textId="77777777" w:rsidR="00603D56" w:rsidRPr="008F5976" w:rsidRDefault="00603D56" w:rsidP="00603D56">
            <w:r w:rsidRPr="008F5976">
              <w:t xml:space="preserve">Podpora virtualizace na daném HW min. 10 virtuálních zařízení </w:t>
            </w:r>
          </w:p>
        </w:tc>
      </w:tr>
      <w:tr w:rsidR="00603D56" w:rsidRPr="00603D56" w14:paraId="0E1A4FEE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5019F008" w14:textId="77777777" w:rsidR="00603D56" w:rsidRPr="008F5976" w:rsidRDefault="00603D56" w:rsidP="00603D56">
            <w:r w:rsidRPr="008F5976">
              <w:t>Režim vysoké dostupnosti (L2 HA, tj. virtuální MAC adresy)</w:t>
            </w:r>
          </w:p>
        </w:tc>
      </w:tr>
      <w:tr w:rsidR="00603D56" w:rsidRPr="00603D56" w14:paraId="1B3225DA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22791BF4" w14:textId="77777777" w:rsidR="00603D56" w:rsidRPr="008F5976" w:rsidRDefault="00603D56" w:rsidP="00603D56">
            <w:r w:rsidRPr="008F5976">
              <w:t xml:space="preserve">Podpora </w:t>
            </w:r>
            <w:proofErr w:type="spellStart"/>
            <w:r w:rsidRPr="008F5976">
              <w:t>Active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Active</w:t>
            </w:r>
            <w:proofErr w:type="spellEnd"/>
            <w:r w:rsidRPr="008F5976">
              <w:t xml:space="preserve"> i </w:t>
            </w:r>
            <w:proofErr w:type="spellStart"/>
            <w:r w:rsidRPr="008F5976">
              <w:t>Active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Passive</w:t>
            </w:r>
            <w:proofErr w:type="spellEnd"/>
            <w:r w:rsidRPr="008F5976">
              <w:t xml:space="preserve"> HA, full </w:t>
            </w:r>
            <w:proofErr w:type="spellStart"/>
            <w:r w:rsidRPr="008F5976">
              <w:t>mesh</w:t>
            </w:r>
            <w:proofErr w:type="spellEnd"/>
            <w:r w:rsidRPr="008F5976">
              <w:t xml:space="preserve"> HA, synchronizace stavové tabulky mezi </w:t>
            </w:r>
            <w:proofErr w:type="spellStart"/>
            <w:r w:rsidRPr="008F5976">
              <w:t>nódy</w:t>
            </w:r>
            <w:proofErr w:type="spellEnd"/>
            <w:r w:rsidRPr="008F5976">
              <w:t xml:space="preserve"> clusteru</w:t>
            </w:r>
          </w:p>
        </w:tc>
      </w:tr>
      <w:tr w:rsidR="00603D56" w:rsidRPr="00603D56" w14:paraId="32681E18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6DE2D73D" w14:textId="77777777" w:rsidR="00603D56" w:rsidRPr="008F5976" w:rsidRDefault="00603D56" w:rsidP="00603D56">
            <w:r w:rsidRPr="008F5976">
              <w:t>Podpora VRRP</w:t>
            </w:r>
          </w:p>
        </w:tc>
      </w:tr>
      <w:tr w:rsidR="00603D56" w:rsidRPr="00603D56" w14:paraId="35BC2E50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5F575DF3" w14:textId="77777777" w:rsidR="00603D56" w:rsidRPr="008F5976" w:rsidRDefault="00603D56" w:rsidP="00603D56">
            <w:r w:rsidRPr="008F5976">
              <w:t>Podpora L2 (transparentní) režimu i L3 (NAT/Router) režimu</w:t>
            </w:r>
          </w:p>
        </w:tc>
      </w:tr>
      <w:tr w:rsidR="00603D56" w:rsidRPr="00603D56" w14:paraId="0F653CFF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F497048" w14:textId="77777777" w:rsidR="00603D56" w:rsidRPr="008F5976" w:rsidRDefault="00603D56" w:rsidP="00603D56">
            <w:r w:rsidRPr="008F5976">
              <w:t xml:space="preserve">Podpora </w:t>
            </w:r>
            <w:proofErr w:type="spellStart"/>
            <w:r w:rsidRPr="008F5976">
              <w:t>multicast</w:t>
            </w:r>
            <w:proofErr w:type="spellEnd"/>
            <w:r w:rsidRPr="008F5976">
              <w:t xml:space="preserve">, včetně </w:t>
            </w:r>
            <w:proofErr w:type="spellStart"/>
            <w:r w:rsidRPr="008F5976">
              <w:t>routování</w:t>
            </w:r>
            <w:proofErr w:type="spellEnd"/>
            <w:r w:rsidRPr="008F5976">
              <w:t xml:space="preserve"> a firewall funkcí (tvorba </w:t>
            </w:r>
            <w:proofErr w:type="spellStart"/>
            <w:r w:rsidRPr="008F5976">
              <w:t>multicast</w:t>
            </w:r>
            <w:proofErr w:type="spellEnd"/>
            <w:r w:rsidRPr="008F5976">
              <w:t xml:space="preserve"> FW politiky)</w:t>
            </w:r>
          </w:p>
        </w:tc>
      </w:tr>
      <w:tr w:rsidR="00603D56" w:rsidRPr="00603D56" w14:paraId="2336C6A8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39E1B703" w14:textId="77777777" w:rsidR="00603D56" w:rsidRPr="008F5976" w:rsidRDefault="00603D56" w:rsidP="00603D56">
            <w:r w:rsidRPr="008F5976">
              <w:t>Podpora VPN SSL (portálový režim, tunelový režim)</w:t>
            </w:r>
          </w:p>
        </w:tc>
      </w:tr>
      <w:tr w:rsidR="00603D56" w:rsidRPr="00603D56" w14:paraId="6B573499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76FE956" w14:textId="77777777" w:rsidR="00603D56" w:rsidRPr="008F5976" w:rsidRDefault="00603D56" w:rsidP="00603D56">
            <w:r w:rsidRPr="008F5976">
              <w:t xml:space="preserve">Podpora VPN IPSEC (IKE, </w:t>
            </w:r>
            <w:proofErr w:type="spellStart"/>
            <w:r w:rsidRPr="008F5976">
              <w:t>manual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key</w:t>
            </w:r>
            <w:proofErr w:type="spellEnd"/>
            <w:r w:rsidRPr="008F5976">
              <w:t xml:space="preserve">, certifikát, </w:t>
            </w:r>
            <w:proofErr w:type="spellStart"/>
            <w:r w:rsidRPr="008F5976">
              <w:t>gateway</w:t>
            </w:r>
            <w:proofErr w:type="spellEnd"/>
            <w:r w:rsidRPr="008F5976">
              <w:t xml:space="preserve"> to </w:t>
            </w:r>
            <w:proofErr w:type="spellStart"/>
            <w:r w:rsidRPr="008F5976">
              <w:t>gateway</w:t>
            </w:r>
            <w:proofErr w:type="spellEnd"/>
            <w:r w:rsidRPr="008F5976">
              <w:t xml:space="preserve">, hub and </w:t>
            </w:r>
            <w:proofErr w:type="spellStart"/>
            <w:r w:rsidRPr="008F5976">
              <w:t>spoke</w:t>
            </w:r>
            <w:proofErr w:type="spellEnd"/>
            <w:r w:rsidRPr="008F5976">
              <w:t xml:space="preserve">, </w:t>
            </w:r>
            <w:proofErr w:type="spellStart"/>
            <w:r w:rsidRPr="008F5976">
              <w:t>dial</w:t>
            </w:r>
            <w:proofErr w:type="spellEnd"/>
            <w:r w:rsidRPr="008F5976">
              <w:t xml:space="preserve"> up konfigurace, internet </w:t>
            </w:r>
            <w:proofErr w:type="spellStart"/>
            <w:r w:rsidRPr="008F5976">
              <w:t>browsing</w:t>
            </w:r>
            <w:proofErr w:type="spellEnd"/>
            <w:r w:rsidRPr="008F5976">
              <w:t xml:space="preserve"> konfigurace, podpora více tunelů – redundantní VPN, možnost VPN v L2 – transparentním režimu ukončená na management rozhraní)</w:t>
            </w:r>
          </w:p>
        </w:tc>
      </w:tr>
      <w:tr w:rsidR="00603D56" w:rsidRPr="00603D56" w14:paraId="3E8FFCCE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B89BFCE" w14:textId="77777777" w:rsidR="00603D56" w:rsidRPr="008F5976" w:rsidRDefault="00603D56" w:rsidP="00603D56">
            <w:r w:rsidRPr="008F5976">
              <w:t>Podpora VPN L2TP</w:t>
            </w:r>
          </w:p>
        </w:tc>
      </w:tr>
      <w:tr w:rsidR="00603D56" w:rsidRPr="00603D56" w14:paraId="672995C0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34E242CE" w14:textId="77777777" w:rsidR="00603D56" w:rsidRPr="008F5976" w:rsidRDefault="00603D56" w:rsidP="00603D56">
            <w:r w:rsidRPr="008F5976">
              <w:t xml:space="preserve">Možnost nastavovat firewall politiku na základě geografických údajů – </w:t>
            </w:r>
            <w:proofErr w:type="spellStart"/>
            <w:r w:rsidRPr="008F5976">
              <w:t>GeoIP</w:t>
            </w:r>
            <w:proofErr w:type="spellEnd"/>
          </w:p>
        </w:tc>
      </w:tr>
      <w:tr w:rsidR="00603D56" w:rsidRPr="00603D56" w14:paraId="0862E5EA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4162DA71" w14:textId="77777777" w:rsidR="00603D56" w:rsidRPr="008F5976" w:rsidRDefault="00603D56" w:rsidP="00603D56">
            <w:r w:rsidRPr="008F5976">
              <w:t>Detekce klientského zařízení, možnost nastavovat firewall politiku na základě typu klientského zařízení (telefon, tablet, PC) včetně operačního systému (Android, iPhone, …) bez nutnosti instalovat klienty na koncové stanice</w:t>
            </w:r>
          </w:p>
        </w:tc>
      </w:tr>
      <w:tr w:rsidR="00603D56" w:rsidRPr="00603D56" w14:paraId="05DE0C82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551AF2B6" w14:textId="77777777" w:rsidR="00603D56" w:rsidRPr="008F5976" w:rsidRDefault="00603D56" w:rsidP="00603D56">
            <w:r w:rsidRPr="008F5976">
              <w:t>Podpora firewall pravidel na základě identity uživatele pro MS AD prostředí – nastavení bezpečnosti uživateli na základě členství v AD skupině na doménovém kontroléru</w:t>
            </w:r>
          </w:p>
        </w:tc>
      </w:tr>
      <w:tr w:rsidR="00603D56" w:rsidRPr="00603D56" w14:paraId="3AA94F85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32928948" w14:textId="77777777" w:rsidR="00603D56" w:rsidRPr="008F5976" w:rsidRDefault="00603D56" w:rsidP="00603D56">
            <w:r w:rsidRPr="008F5976">
              <w:t xml:space="preserve">Funkce </w:t>
            </w:r>
            <w:proofErr w:type="spellStart"/>
            <w:r w:rsidRPr="008F5976">
              <w:t>Load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Balancing</w:t>
            </w:r>
            <w:proofErr w:type="spellEnd"/>
            <w:r w:rsidRPr="008F5976">
              <w:t xml:space="preserve"> – možnost rozdělování zátěže směrující na virtuální IP na reálné servery, podpora </w:t>
            </w:r>
            <w:proofErr w:type="spellStart"/>
            <w:r w:rsidRPr="008F5976">
              <w:t>healt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check</w:t>
            </w:r>
            <w:proofErr w:type="spellEnd"/>
            <w:r w:rsidRPr="008F5976">
              <w:t xml:space="preserve"> funkcí, podpora SSL </w:t>
            </w:r>
            <w:proofErr w:type="spellStart"/>
            <w:r w:rsidRPr="008F5976">
              <w:t>offload</w:t>
            </w:r>
            <w:proofErr w:type="spellEnd"/>
            <w:r w:rsidRPr="008F5976">
              <w:t xml:space="preserve"> </w:t>
            </w:r>
          </w:p>
        </w:tc>
      </w:tr>
      <w:tr w:rsidR="00603D56" w:rsidRPr="00603D56" w14:paraId="53189D43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C5C7C48" w14:textId="77777777" w:rsidR="00603D56" w:rsidRPr="008F5976" w:rsidRDefault="00603D56" w:rsidP="00603D56">
            <w:r w:rsidRPr="008F5976">
              <w:t xml:space="preserve">Podpora centrální </w:t>
            </w:r>
            <w:proofErr w:type="spellStart"/>
            <w:r w:rsidRPr="008F5976">
              <w:t>NATovací</w:t>
            </w:r>
            <w:proofErr w:type="spellEnd"/>
            <w:r w:rsidRPr="008F5976">
              <w:t xml:space="preserve"> tabulky, stavová inspekce SCTP komunikace</w:t>
            </w:r>
          </w:p>
        </w:tc>
      </w:tr>
      <w:tr w:rsidR="00603D56" w:rsidRPr="00603D56" w14:paraId="67A3966C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7255FBA3" w14:textId="77777777" w:rsidR="00603D56" w:rsidRPr="008F5976" w:rsidRDefault="00603D56" w:rsidP="00603D56">
            <w:r w:rsidRPr="008F5976">
              <w:t>Antivirová/</w:t>
            </w:r>
            <w:proofErr w:type="spellStart"/>
            <w:r w:rsidRPr="008F5976">
              <w:t>antimalware</w:t>
            </w:r>
            <w:proofErr w:type="spellEnd"/>
            <w:r w:rsidRPr="008F5976">
              <w:t xml:space="preserve"> kontrola pro vybrané protokoly, možnost volby různých databází (např. minimální, standardní a extrémní) kvůli optimalizaci výkonnosti, podpora archivace škodlivého obsahu, podpora protokolu ICAP pro </w:t>
            </w:r>
            <w:proofErr w:type="spellStart"/>
            <w:r w:rsidRPr="008F5976">
              <w:t>offload</w:t>
            </w:r>
            <w:proofErr w:type="spellEnd"/>
            <w:r w:rsidRPr="008F5976">
              <w:t xml:space="preserve"> AV </w:t>
            </w:r>
            <w:proofErr w:type="spellStart"/>
            <w:r w:rsidRPr="008F5976">
              <w:t>engine</w:t>
            </w:r>
            <w:proofErr w:type="spellEnd"/>
            <w:r w:rsidRPr="008F5976">
              <w:t xml:space="preserve">, možnost detekce tzv. </w:t>
            </w:r>
            <w:proofErr w:type="spellStart"/>
            <w:r w:rsidRPr="008F5976">
              <w:t>Grayware</w:t>
            </w:r>
            <w:proofErr w:type="spellEnd"/>
            <w:r w:rsidRPr="008F5976">
              <w:t xml:space="preserve"> (</w:t>
            </w:r>
            <w:proofErr w:type="spellStart"/>
            <w:r w:rsidRPr="008F5976">
              <w:t>rootkit</w:t>
            </w:r>
            <w:proofErr w:type="spellEnd"/>
            <w:r w:rsidRPr="008F5976">
              <w:t xml:space="preserve">, </w:t>
            </w:r>
            <w:proofErr w:type="spellStart"/>
            <w:r w:rsidRPr="008F5976">
              <w:t>malware</w:t>
            </w:r>
            <w:proofErr w:type="spellEnd"/>
            <w:r w:rsidRPr="008F5976">
              <w:t xml:space="preserve">, </w:t>
            </w:r>
            <w:proofErr w:type="spellStart"/>
            <w:r w:rsidRPr="008F5976">
              <w:t>spyware</w:t>
            </w:r>
            <w:proofErr w:type="spellEnd"/>
            <w:r w:rsidRPr="008F5976">
              <w:t xml:space="preserve">, </w:t>
            </w:r>
            <w:proofErr w:type="spellStart"/>
            <w:r w:rsidRPr="008F5976">
              <w:t>keylogger</w:t>
            </w:r>
            <w:proofErr w:type="spellEnd"/>
            <w:r w:rsidRPr="008F5976">
              <w:t xml:space="preserve">, </w:t>
            </w:r>
            <w:proofErr w:type="spellStart"/>
            <w:r w:rsidRPr="008F5976">
              <w:t>atd</w:t>
            </w:r>
            <w:proofErr w:type="spellEnd"/>
            <w:r w:rsidRPr="008F5976">
              <w:t>). Automatická aktualizace signatur ze strany výrobce po dobu udržitelnosti projektu</w:t>
            </w:r>
          </w:p>
        </w:tc>
      </w:tr>
      <w:tr w:rsidR="00603D56" w:rsidRPr="00603D56" w14:paraId="549C2481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9CE90F8" w14:textId="77777777" w:rsidR="00603D56" w:rsidRPr="008F5976" w:rsidRDefault="00603D56" w:rsidP="00603D56">
            <w:r w:rsidRPr="008F5976">
              <w:t xml:space="preserve">Email </w:t>
            </w:r>
            <w:proofErr w:type="spellStart"/>
            <w:r w:rsidRPr="008F5976">
              <w:t>filter</w:t>
            </w:r>
            <w:proofErr w:type="spellEnd"/>
            <w:r w:rsidRPr="008F5976">
              <w:t xml:space="preserve"> – jednoduchá antispamová a antivirová inspekce elektronické pošty. Aktualizace signatur ze strany výrobce po dobu udržitelnosti projektu</w:t>
            </w:r>
          </w:p>
        </w:tc>
      </w:tr>
      <w:tr w:rsidR="00603D56" w:rsidRPr="00603D56" w14:paraId="4CBF11BC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5313B5D" w14:textId="77777777" w:rsidR="00603D56" w:rsidRPr="008F5976" w:rsidRDefault="00603D56" w:rsidP="00603D56">
            <w:r w:rsidRPr="008F5976">
              <w:t xml:space="preserve">Web </w:t>
            </w:r>
            <w:proofErr w:type="spellStart"/>
            <w:r w:rsidRPr="008F5976">
              <w:t>Filter</w:t>
            </w:r>
            <w:proofErr w:type="spellEnd"/>
            <w:r w:rsidRPr="008F5976">
              <w:t xml:space="preserve"> – založená na kategorizaci webového obsahu, možnost monitorování navštívených kategorii na uživatele či skupinu, možnost kvóty – uživatel může navštěvovat určitou kategorii jen po určitou dobu během dne. Automatická aktualizace signatur ze strany výrobce po dobu udržitelnosti projektu.</w:t>
            </w:r>
          </w:p>
        </w:tc>
      </w:tr>
      <w:tr w:rsidR="00603D56" w:rsidRPr="00603D56" w14:paraId="1365753F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591846EA" w14:textId="77777777" w:rsidR="00603D56" w:rsidRPr="008F5976" w:rsidRDefault="00603D56" w:rsidP="00603D56">
            <w:proofErr w:type="spellStart"/>
            <w:r w:rsidRPr="008F5976">
              <w:t>Sandbox</w:t>
            </w:r>
            <w:proofErr w:type="spellEnd"/>
            <w:r w:rsidRPr="008F5976">
              <w:t xml:space="preserve"> – </w:t>
            </w:r>
            <w:proofErr w:type="spellStart"/>
            <w:r w:rsidRPr="008F5976">
              <w:t>CLOUDové</w:t>
            </w:r>
            <w:proofErr w:type="spellEnd"/>
            <w:r w:rsidRPr="008F5976">
              <w:t xml:space="preserve"> řešení </w:t>
            </w:r>
            <w:proofErr w:type="spellStart"/>
            <w:r w:rsidRPr="008F5976">
              <w:t>Sandboxu</w:t>
            </w:r>
            <w:proofErr w:type="spellEnd"/>
            <w:r w:rsidRPr="008F5976">
              <w:t xml:space="preserve">, které zajistí simulaci chování podezřelých kódů a případnou identifikaci nových, ještě nedokumentovaných hrozeb </w:t>
            </w:r>
          </w:p>
        </w:tc>
      </w:tr>
      <w:tr w:rsidR="00603D56" w:rsidRPr="00603D56" w14:paraId="2C2548D1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364FBD7E" w14:textId="77777777" w:rsidR="00603D56" w:rsidRPr="008F5976" w:rsidRDefault="00603D56" w:rsidP="00603D56">
            <w:r w:rsidRPr="008F5976">
              <w:t xml:space="preserve">Podpora ochrany pro mobilní zařízení – funkce zajistí prohledávání datového toku i na známé signatury pro útoky na připojená mobilní zařízení (BYOD – </w:t>
            </w:r>
            <w:proofErr w:type="spellStart"/>
            <w:r w:rsidRPr="008F5976">
              <w:t>Bring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Your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Own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Device</w:t>
            </w:r>
            <w:proofErr w:type="spellEnd"/>
            <w:r w:rsidRPr="008F5976">
              <w:t>)</w:t>
            </w:r>
          </w:p>
        </w:tc>
      </w:tr>
      <w:tr w:rsidR="00603D56" w:rsidRPr="00603D56" w14:paraId="6C8FFFB4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2D673CB0" w14:textId="77777777" w:rsidR="00603D56" w:rsidRPr="008F5976" w:rsidRDefault="00603D56" w:rsidP="00603D56">
            <w:r w:rsidRPr="008F5976">
              <w:t xml:space="preserve">Data </w:t>
            </w:r>
            <w:proofErr w:type="spellStart"/>
            <w:r w:rsidRPr="008F5976">
              <w:t>Leak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Prevention</w:t>
            </w:r>
            <w:proofErr w:type="spellEnd"/>
            <w:r w:rsidRPr="008F5976">
              <w:t xml:space="preserve"> s funkcí </w:t>
            </w:r>
            <w:proofErr w:type="spellStart"/>
            <w:r w:rsidRPr="008F5976">
              <w:t>document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fingerprinting</w:t>
            </w:r>
            <w:proofErr w:type="spellEnd"/>
            <w:r w:rsidRPr="008F5976">
              <w:t xml:space="preserve"> (běžící pouze na firewallu, tedy bez nutnosti instalovat klientský software na koncové stanice)</w:t>
            </w:r>
          </w:p>
        </w:tc>
      </w:tr>
      <w:tr w:rsidR="00603D56" w:rsidRPr="00603D56" w14:paraId="355E800D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6B519F70" w14:textId="77777777" w:rsidR="00603D56" w:rsidRPr="008F5976" w:rsidRDefault="00603D56" w:rsidP="00603D56">
            <w:r w:rsidRPr="008F5976">
              <w:t xml:space="preserve">SSL </w:t>
            </w:r>
            <w:proofErr w:type="spellStart"/>
            <w:r w:rsidRPr="008F5976">
              <w:t>dekrypce</w:t>
            </w:r>
            <w:proofErr w:type="spellEnd"/>
            <w:r w:rsidRPr="008F5976">
              <w:t>/</w:t>
            </w:r>
            <w:proofErr w:type="spellStart"/>
            <w:r w:rsidRPr="008F5976">
              <w:t>offload</w:t>
            </w:r>
            <w:proofErr w:type="spellEnd"/>
            <w:r w:rsidRPr="008F5976">
              <w:t xml:space="preserve"> – možnost kontroly komunikace v SSL šifrovaných protokolech (HTTPS, IMAPS, POP3</w:t>
            </w:r>
            <w:proofErr w:type="gramStart"/>
            <w:r w:rsidRPr="008F5976">
              <w:t>S,…</w:t>
            </w:r>
            <w:proofErr w:type="gramEnd"/>
            <w:r w:rsidRPr="008F5976">
              <w:t>)</w:t>
            </w:r>
          </w:p>
        </w:tc>
      </w:tr>
      <w:tr w:rsidR="00603D56" w:rsidRPr="00603D56" w14:paraId="4E013C09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5635003" w14:textId="77777777" w:rsidR="00603D56" w:rsidRPr="008F5976" w:rsidRDefault="00603D56" w:rsidP="00603D56">
            <w:proofErr w:type="spellStart"/>
            <w:r w:rsidRPr="008F5976">
              <w:t>DoS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Policy</w:t>
            </w:r>
            <w:proofErr w:type="spellEnd"/>
            <w:r w:rsidRPr="008F5976">
              <w:t xml:space="preserve"> prevence proti základním útokům typu </w:t>
            </w:r>
            <w:proofErr w:type="spellStart"/>
            <w:r w:rsidRPr="008F5976">
              <w:t>DoS</w:t>
            </w:r>
            <w:proofErr w:type="spellEnd"/>
            <w:r w:rsidRPr="008F5976">
              <w:t xml:space="preserve">, včetně syn </w:t>
            </w:r>
            <w:proofErr w:type="spellStart"/>
            <w:r w:rsidRPr="008F5976">
              <w:t>proxy</w:t>
            </w:r>
            <w:proofErr w:type="spellEnd"/>
          </w:p>
        </w:tc>
      </w:tr>
      <w:tr w:rsidR="00603D56" w:rsidRPr="00603D56" w14:paraId="7754A3BD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206900E9" w14:textId="77777777" w:rsidR="00603D56" w:rsidRPr="008F5976" w:rsidRDefault="00603D56" w:rsidP="00603D56">
            <w:r w:rsidRPr="008F5976">
              <w:lastRenderedPageBreak/>
              <w:t xml:space="preserve">Ověřování uživatelů proti LDAP, </w:t>
            </w:r>
            <w:proofErr w:type="spellStart"/>
            <w:r w:rsidRPr="008F5976">
              <w:t>Active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Directory</w:t>
            </w:r>
            <w:proofErr w:type="spellEnd"/>
            <w:r w:rsidRPr="008F5976">
              <w:t xml:space="preserve">, Single Sign On, </w:t>
            </w:r>
            <w:proofErr w:type="spellStart"/>
            <w:r w:rsidRPr="008F5976">
              <w:t>Radius</w:t>
            </w:r>
            <w:proofErr w:type="spellEnd"/>
            <w:r w:rsidRPr="008F5976">
              <w:t>, TACACS+, Ověřování na základě certifikátu, Dynamické profily – možnost přiřadit konkrétní profil uživateli na základě jeho ověření.</w:t>
            </w:r>
          </w:p>
        </w:tc>
      </w:tr>
      <w:tr w:rsidR="00603D56" w:rsidRPr="00603D56" w14:paraId="62C39C16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51A733D" w14:textId="77777777" w:rsidR="00603D56" w:rsidRPr="008F5976" w:rsidRDefault="00603D56" w:rsidP="00603D56">
            <w:r w:rsidRPr="008F5976">
              <w:t xml:space="preserve">Dynamické </w:t>
            </w:r>
            <w:proofErr w:type="spellStart"/>
            <w:r w:rsidRPr="008F5976">
              <w:t>routování</w:t>
            </w:r>
            <w:proofErr w:type="spellEnd"/>
            <w:r w:rsidRPr="008F5976">
              <w:t>:</w:t>
            </w:r>
          </w:p>
        </w:tc>
      </w:tr>
      <w:tr w:rsidR="00603D56" w:rsidRPr="00603D56" w14:paraId="32CD6193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547E94A" w14:textId="77777777" w:rsidR="00603D56" w:rsidRPr="008F5976" w:rsidRDefault="00603D56" w:rsidP="00603D56">
            <w:r w:rsidRPr="008F5976">
              <w:t>·        RIP, BGP, OSPF</w:t>
            </w:r>
          </w:p>
        </w:tc>
      </w:tr>
      <w:tr w:rsidR="00603D56" w:rsidRPr="00603D56" w14:paraId="035FCC3B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C2505E5" w14:textId="77777777" w:rsidR="00603D56" w:rsidRPr="008F5976" w:rsidRDefault="00603D56" w:rsidP="00603D56">
            <w:r w:rsidRPr="008F5976">
              <w:t xml:space="preserve">·        </w:t>
            </w:r>
            <w:proofErr w:type="spellStart"/>
            <w:r w:rsidRPr="008F5976">
              <w:t>Policy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routing</w:t>
            </w:r>
            <w:proofErr w:type="spellEnd"/>
          </w:p>
        </w:tc>
      </w:tr>
      <w:tr w:rsidR="00603D56" w:rsidRPr="00603D56" w14:paraId="37BF70EA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D2AA317" w14:textId="77777777" w:rsidR="00603D56" w:rsidRPr="008F5976" w:rsidRDefault="00603D56" w:rsidP="00603D56">
            <w:proofErr w:type="spellStart"/>
            <w:r w:rsidRPr="008F5976">
              <w:t>Traffic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Shaping</w:t>
            </w:r>
            <w:proofErr w:type="spellEnd"/>
            <w:r w:rsidRPr="008F5976">
              <w:t xml:space="preserve"> (</w:t>
            </w:r>
            <w:proofErr w:type="spellStart"/>
            <w:r w:rsidRPr="008F5976">
              <w:t>QoS</w:t>
            </w:r>
            <w:proofErr w:type="spellEnd"/>
            <w:r w:rsidRPr="008F5976">
              <w:t xml:space="preserve">, </w:t>
            </w:r>
            <w:proofErr w:type="spellStart"/>
            <w:r w:rsidRPr="008F5976">
              <w:t>prioritizace</w:t>
            </w:r>
            <w:proofErr w:type="spellEnd"/>
            <w:r w:rsidRPr="008F5976">
              <w:t xml:space="preserve"> atd.)</w:t>
            </w:r>
          </w:p>
        </w:tc>
      </w:tr>
      <w:tr w:rsidR="00603D56" w:rsidRPr="00603D56" w14:paraId="403F8BCF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465B8664" w14:textId="77777777" w:rsidR="00603D56" w:rsidRPr="008F5976" w:rsidRDefault="00603D56" w:rsidP="00603D56">
            <w:r w:rsidRPr="008F5976">
              <w:t xml:space="preserve">Podpora </w:t>
            </w:r>
            <w:proofErr w:type="spellStart"/>
            <w:r w:rsidRPr="008F5976">
              <w:t>VoIP</w:t>
            </w:r>
            <w:proofErr w:type="spellEnd"/>
            <w:r w:rsidRPr="008F5976">
              <w:t xml:space="preserve">, SIP včetně zabezpečení, </w:t>
            </w:r>
            <w:proofErr w:type="spellStart"/>
            <w:r w:rsidRPr="008F5976">
              <w:t>rate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limitingu</w:t>
            </w:r>
            <w:proofErr w:type="spellEnd"/>
            <w:r w:rsidRPr="008F5976">
              <w:t>, analýzy protokolu</w:t>
            </w:r>
          </w:p>
        </w:tc>
      </w:tr>
      <w:tr w:rsidR="00603D56" w:rsidRPr="00603D56" w14:paraId="0F6A427D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60E36A1A" w14:textId="77777777" w:rsidR="00603D56" w:rsidRPr="008F5976" w:rsidRDefault="00603D56" w:rsidP="00603D56">
            <w:r w:rsidRPr="008F5976">
              <w:t xml:space="preserve">WAN optimalizace (optimalizace vybraných protokolů, byte </w:t>
            </w:r>
            <w:proofErr w:type="spellStart"/>
            <w:r w:rsidRPr="008F5976">
              <w:t>caching</w:t>
            </w:r>
            <w:proofErr w:type="spellEnd"/>
            <w:r w:rsidRPr="008F5976">
              <w:t xml:space="preserve">), Web </w:t>
            </w:r>
            <w:proofErr w:type="spellStart"/>
            <w:r w:rsidRPr="008F5976">
              <w:t>Cache</w:t>
            </w:r>
            <w:proofErr w:type="spellEnd"/>
            <w:r w:rsidRPr="008F5976">
              <w:t xml:space="preserve">, Reverzní </w:t>
            </w:r>
            <w:proofErr w:type="spellStart"/>
            <w:r w:rsidRPr="008F5976">
              <w:t>proxy</w:t>
            </w:r>
            <w:proofErr w:type="spellEnd"/>
            <w:r w:rsidRPr="008F5976">
              <w:t>, WCCP</w:t>
            </w:r>
          </w:p>
        </w:tc>
      </w:tr>
      <w:tr w:rsidR="00603D56" w:rsidRPr="00603D56" w14:paraId="69525270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7A855D1E" w14:textId="77777777" w:rsidR="00603D56" w:rsidRPr="008F5976" w:rsidRDefault="00603D56" w:rsidP="00603D56">
            <w:r w:rsidRPr="008F5976">
              <w:t>Funkce Explicitní Proxy, včetně autentizace v síti MS AD protokolem Kerberos</w:t>
            </w:r>
          </w:p>
        </w:tc>
      </w:tr>
      <w:tr w:rsidR="00603D56" w:rsidRPr="00603D56" w14:paraId="06085013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16318D59" w14:textId="77777777" w:rsidR="00603D56" w:rsidRPr="008F5976" w:rsidRDefault="00603D56" w:rsidP="00603D56">
            <w:r w:rsidRPr="008F5976">
              <w:t xml:space="preserve">Podpora funkce </w:t>
            </w:r>
            <w:proofErr w:type="spellStart"/>
            <w:r w:rsidRPr="008F5976">
              <w:t>wireless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kontroleru</w:t>
            </w:r>
            <w:proofErr w:type="spellEnd"/>
            <w:r w:rsidRPr="008F5976">
              <w:t>, tedy možnost centrálně spravovat tenké wifi AP v počtu minimálně 64 AP</w:t>
            </w:r>
          </w:p>
        </w:tc>
      </w:tr>
      <w:tr w:rsidR="00603D56" w:rsidRPr="00603D56" w14:paraId="4DC40B0C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07F499FC" w14:textId="77777777" w:rsidR="00603D56" w:rsidRPr="008F5976" w:rsidRDefault="00603D56" w:rsidP="00603D56">
            <w:r w:rsidRPr="008F5976">
              <w:t>Bezdrátová síť, resp. její SSID musí být plně integrováno do managementu firewallu a umožňovat nasazení všech bezpečnostních funkcí popsaných v tomto dokumentu (firewall, antivirová/</w:t>
            </w:r>
            <w:proofErr w:type="spellStart"/>
            <w:r w:rsidRPr="008F5976">
              <w:t>antimalware</w:t>
            </w:r>
            <w:proofErr w:type="spellEnd"/>
            <w:r w:rsidRPr="008F5976">
              <w:t xml:space="preserve"> kontrola, IPS, </w:t>
            </w:r>
            <w:proofErr w:type="spellStart"/>
            <w:r w:rsidRPr="008F5976">
              <w:t>Application</w:t>
            </w:r>
            <w:proofErr w:type="spellEnd"/>
            <w:r w:rsidRPr="008F5976">
              <w:t xml:space="preserve"> </w:t>
            </w:r>
            <w:proofErr w:type="spellStart"/>
            <w:r w:rsidRPr="008F5976">
              <w:t>Control</w:t>
            </w:r>
            <w:proofErr w:type="spellEnd"/>
            <w:r w:rsidRPr="008F5976">
              <w:t xml:space="preserve">, …). Bezdrátová síť musí podporovat roaming klientů za použití </w:t>
            </w:r>
            <w:proofErr w:type="spellStart"/>
            <w:r w:rsidRPr="008F5976">
              <w:t>pre-cachingu</w:t>
            </w:r>
            <w:proofErr w:type="spellEnd"/>
            <w:r w:rsidRPr="008F5976">
              <w:t xml:space="preserve"> uživatelských klíčů a detekci a potlačení neautorizovaných AP (</w:t>
            </w:r>
            <w:proofErr w:type="spellStart"/>
            <w:r w:rsidRPr="008F5976">
              <w:t>rogue</w:t>
            </w:r>
            <w:proofErr w:type="spellEnd"/>
            <w:r w:rsidRPr="008F5976">
              <w:t xml:space="preserve"> AP </w:t>
            </w:r>
            <w:proofErr w:type="spellStart"/>
            <w:r w:rsidRPr="008F5976">
              <w:t>detection</w:t>
            </w:r>
            <w:proofErr w:type="spellEnd"/>
            <w:r w:rsidRPr="008F5976">
              <w:t xml:space="preserve">, </w:t>
            </w:r>
            <w:proofErr w:type="spellStart"/>
            <w:r w:rsidRPr="008F5976">
              <w:t>off-wire</w:t>
            </w:r>
            <w:proofErr w:type="spellEnd"/>
            <w:r w:rsidRPr="008F5976">
              <w:t xml:space="preserve"> i on-</w:t>
            </w:r>
            <w:proofErr w:type="spellStart"/>
            <w:r w:rsidRPr="008F5976">
              <w:t>wire</w:t>
            </w:r>
            <w:proofErr w:type="spellEnd"/>
            <w:r w:rsidRPr="008F5976">
              <w:t>).</w:t>
            </w:r>
          </w:p>
        </w:tc>
      </w:tr>
      <w:tr w:rsidR="00603D56" w:rsidRPr="00603D56" w14:paraId="1E890B02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  <w:hideMark/>
          </w:tcPr>
          <w:p w14:paraId="74E8B588" w14:textId="458FDBE8" w:rsidR="00A73551" w:rsidRPr="008F5976" w:rsidRDefault="00603D56" w:rsidP="00603D56">
            <w:r w:rsidRPr="008F5976">
              <w:t xml:space="preserve">Podpora silné autentizace uživatelů – podpora pro generátor jednorázových hesel (OTP) – Token pro </w:t>
            </w:r>
            <w:proofErr w:type="spellStart"/>
            <w:r w:rsidRPr="008F5976">
              <w:t>dvou-faktorovou</w:t>
            </w:r>
            <w:proofErr w:type="spellEnd"/>
            <w:r w:rsidRPr="008F5976">
              <w:t xml:space="preserve"> autentizaci, podpora certifikátů pro ověření uživatelů (možno jako interní součást FW nebo jako externí systém – např. RADIUS server).</w:t>
            </w:r>
          </w:p>
        </w:tc>
      </w:tr>
      <w:tr w:rsidR="00A73551" w:rsidRPr="00603D56" w14:paraId="4D31CF38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45E3BF61" w14:textId="1A46D246" w:rsidR="00A73551" w:rsidRPr="008F5976" w:rsidRDefault="009B6C00" w:rsidP="00603D56">
            <w:r w:rsidRPr="008F5976">
              <w:t>Zařízení bude do</w:t>
            </w:r>
            <w:r w:rsidR="00A43731" w:rsidRPr="008F5976">
              <w:t xml:space="preserve">dáno včetně přípravku pro montáž do </w:t>
            </w:r>
            <w:proofErr w:type="spellStart"/>
            <w:r w:rsidR="00A43731" w:rsidRPr="008F5976">
              <w:t>RACKu</w:t>
            </w:r>
            <w:proofErr w:type="spellEnd"/>
            <w:r w:rsidR="00A43731" w:rsidRPr="008F5976">
              <w:t xml:space="preserve"> (</w:t>
            </w:r>
            <w:proofErr w:type="spellStart"/>
            <w:r w:rsidR="00A43731" w:rsidRPr="008F5976">
              <w:t>Rack</w:t>
            </w:r>
            <w:proofErr w:type="spellEnd"/>
            <w:r w:rsidR="00A43731" w:rsidRPr="008F5976">
              <w:t xml:space="preserve"> </w:t>
            </w:r>
            <w:proofErr w:type="spellStart"/>
            <w:r w:rsidR="00A43731" w:rsidRPr="008F5976">
              <w:t>mount</w:t>
            </w:r>
            <w:proofErr w:type="spellEnd"/>
            <w:r w:rsidR="00A43731" w:rsidRPr="008F5976">
              <w:t xml:space="preserve"> </w:t>
            </w:r>
            <w:proofErr w:type="spellStart"/>
            <w:r w:rsidR="00A43731" w:rsidRPr="008F5976">
              <w:t>tray</w:t>
            </w:r>
            <w:proofErr w:type="spellEnd"/>
            <w:r w:rsidR="00A43731" w:rsidRPr="008F5976">
              <w:t>)</w:t>
            </w:r>
          </w:p>
        </w:tc>
      </w:tr>
      <w:tr w:rsidR="00CB48EE" w:rsidRPr="00603D56" w14:paraId="124A23D5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6C94433" w14:textId="092CCFE8" w:rsidR="00CB48EE" w:rsidRPr="00E71330" w:rsidRDefault="00D91456" w:rsidP="00603D56">
            <w:r w:rsidRPr="00E71330">
              <w:t>Softwarová aktualizace včetně všech licen</w:t>
            </w:r>
            <w:r w:rsidR="00BF685C" w:rsidRPr="00E71330">
              <w:t>covaných funkcí firewallu po dobu 5 let.</w:t>
            </w:r>
          </w:p>
        </w:tc>
      </w:tr>
      <w:tr w:rsidR="00726B92" w:rsidRPr="00603D56" w14:paraId="5A88D994" w14:textId="77777777" w:rsidTr="00603D56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31DF31DE" w14:textId="1A6C336F" w:rsidR="00726B92" w:rsidRPr="00E71330" w:rsidRDefault="00726B92" w:rsidP="00603D56">
            <w:r w:rsidRPr="00E71330">
              <w:t xml:space="preserve">Záruka na hardware </w:t>
            </w:r>
            <w:r w:rsidR="00BF685C" w:rsidRPr="00E71330">
              <w:t>60</w:t>
            </w:r>
            <w:r w:rsidRPr="00E71330">
              <w:t xml:space="preserve"> měsíců u dodavatele</w:t>
            </w:r>
            <w:r w:rsidR="00C56AA4">
              <w:t xml:space="preserve"> i výrobce.</w:t>
            </w:r>
          </w:p>
        </w:tc>
      </w:tr>
    </w:tbl>
    <w:p w14:paraId="39EB471A" w14:textId="77777777" w:rsidR="00BD6F07" w:rsidRDefault="00BD6F07">
      <w:pPr>
        <w:rPr>
          <w:rFonts w:ascii="Tahoma" w:eastAsia="Calibri" w:hAnsi="Tahoma" w:cs="Tahoma"/>
          <w:sz w:val="22"/>
          <w:szCs w:val="22"/>
        </w:rPr>
      </w:pPr>
    </w:p>
    <w:p w14:paraId="0101D762" w14:textId="0325536C" w:rsidR="00410B21" w:rsidRDefault="00410B21" w:rsidP="00410B21">
      <w:pPr>
        <w:pStyle w:val="Nadpis3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2. </w:t>
      </w:r>
      <w:r w:rsidR="00114B67" w:rsidRPr="00114B67">
        <w:t>Agregační switch</w:t>
      </w:r>
    </w:p>
    <w:p w14:paraId="11DB0DA3" w14:textId="77777777" w:rsidR="00BD6F07" w:rsidRDefault="00BD6F07">
      <w:pPr>
        <w:rPr>
          <w:rFonts w:ascii="Tahoma" w:eastAsia="Calibri" w:hAnsi="Tahoma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73"/>
      </w:tblGrid>
      <w:tr w:rsidR="00906EBD" w:rsidRPr="00906EBD" w14:paraId="27978300" w14:textId="77777777" w:rsidTr="00906EBD">
        <w:tc>
          <w:tcPr>
            <w:tcW w:w="9373" w:type="dxa"/>
          </w:tcPr>
          <w:p w14:paraId="52D3EF7D" w14:textId="77777777" w:rsidR="00906EBD" w:rsidRPr="00906EBD" w:rsidRDefault="00906EBD" w:rsidP="00866545">
            <w:r w:rsidRPr="00906EBD">
              <w:t>Provedení do racku</w:t>
            </w:r>
          </w:p>
        </w:tc>
      </w:tr>
      <w:tr w:rsidR="00906EBD" w:rsidRPr="00906EBD" w14:paraId="039E5218" w14:textId="77777777" w:rsidTr="00906EBD">
        <w:tc>
          <w:tcPr>
            <w:tcW w:w="9373" w:type="dxa"/>
          </w:tcPr>
          <w:p w14:paraId="7A8962C0" w14:textId="77777777" w:rsidR="00906EBD" w:rsidRPr="00906EBD" w:rsidRDefault="00906EBD" w:rsidP="00866545">
            <w:r w:rsidRPr="00906EBD">
              <w:t xml:space="preserve">L3 </w:t>
            </w:r>
            <w:proofErr w:type="spellStart"/>
            <w:r w:rsidRPr="00906EBD">
              <w:t>routování</w:t>
            </w:r>
            <w:proofErr w:type="spellEnd"/>
            <w:r w:rsidRPr="00906EBD">
              <w:t xml:space="preserve"> provozu</w:t>
            </w:r>
          </w:p>
        </w:tc>
      </w:tr>
      <w:tr w:rsidR="00906EBD" w:rsidRPr="00906EBD" w14:paraId="4434416C" w14:textId="77777777" w:rsidTr="00906EBD">
        <w:tc>
          <w:tcPr>
            <w:tcW w:w="9373" w:type="dxa"/>
          </w:tcPr>
          <w:p w14:paraId="6BC01D63" w14:textId="77777777" w:rsidR="00906EBD" w:rsidRPr="00906EBD" w:rsidRDefault="00906EBD" w:rsidP="00866545">
            <w:r w:rsidRPr="00906EBD">
              <w:t xml:space="preserve">Min. počet 10 Gigabit SFP+ portů </w:t>
            </w:r>
            <w:r w:rsidRPr="00906EBD">
              <w:tab/>
              <w:t>12 x</w:t>
            </w:r>
          </w:p>
        </w:tc>
      </w:tr>
      <w:tr w:rsidR="00906EBD" w:rsidRPr="00906EBD" w14:paraId="621E8DC8" w14:textId="77777777" w:rsidTr="00906EBD">
        <w:tc>
          <w:tcPr>
            <w:tcW w:w="9373" w:type="dxa"/>
          </w:tcPr>
          <w:p w14:paraId="23BE99CA" w14:textId="77777777" w:rsidR="00906EBD" w:rsidRPr="00906EBD" w:rsidRDefault="00906EBD" w:rsidP="00866545">
            <w:r w:rsidRPr="00906EBD">
              <w:t>Min počet 10 Gigabit metalických portů (můžou být sdíleny s SFP+ porty) 2x</w:t>
            </w:r>
          </w:p>
        </w:tc>
      </w:tr>
      <w:tr w:rsidR="00906EBD" w:rsidRPr="00906EBD" w14:paraId="236AF0B8" w14:textId="77777777" w:rsidTr="00906EBD">
        <w:tc>
          <w:tcPr>
            <w:tcW w:w="9373" w:type="dxa"/>
          </w:tcPr>
          <w:p w14:paraId="493222B9" w14:textId="77777777" w:rsidR="00906EBD" w:rsidRPr="00906EBD" w:rsidRDefault="00906EBD" w:rsidP="00866545">
            <w:r w:rsidRPr="00906EBD">
              <w:t>Management port</w:t>
            </w:r>
            <w:r w:rsidRPr="00906EBD">
              <w:tab/>
              <w:t>1x</w:t>
            </w:r>
          </w:p>
        </w:tc>
      </w:tr>
      <w:tr w:rsidR="00906EBD" w:rsidRPr="00906EBD" w14:paraId="4938CBF0" w14:textId="77777777" w:rsidTr="00906EBD">
        <w:tc>
          <w:tcPr>
            <w:tcW w:w="9373" w:type="dxa"/>
          </w:tcPr>
          <w:p w14:paraId="58A190B1" w14:textId="77777777" w:rsidR="00906EBD" w:rsidRPr="00906EBD" w:rsidRDefault="00906EBD" w:rsidP="00866545">
            <w:proofErr w:type="spellStart"/>
            <w:r w:rsidRPr="00906EBD">
              <w:t>Switching</w:t>
            </w:r>
            <w:proofErr w:type="spellEnd"/>
            <w:r w:rsidRPr="00906EBD">
              <w:t xml:space="preserve"> </w:t>
            </w:r>
            <w:proofErr w:type="spellStart"/>
            <w:r w:rsidRPr="00906EBD">
              <w:t>capacity</w:t>
            </w:r>
            <w:proofErr w:type="spellEnd"/>
            <w:r w:rsidRPr="00906EBD">
              <w:t xml:space="preserve"> min. 240 </w:t>
            </w:r>
            <w:proofErr w:type="spellStart"/>
            <w:r w:rsidRPr="00906EBD">
              <w:t>Gbps</w:t>
            </w:r>
            <w:proofErr w:type="spellEnd"/>
          </w:p>
        </w:tc>
      </w:tr>
      <w:tr w:rsidR="00906EBD" w:rsidRPr="00906EBD" w14:paraId="1C48E294" w14:textId="77777777" w:rsidTr="00906EBD">
        <w:tc>
          <w:tcPr>
            <w:tcW w:w="9373" w:type="dxa"/>
          </w:tcPr>
          <w:p w14:paraId="22F496C6" w14:textId="77777777" w:rsidR="00906EBD" w:rsidRPr="00906EBD" w:rsidRDefault="00906EBD" w:rsidP="00866545">
            <w:proofErr w:type="spellStart"/>
            <w:r w:rsidRPr="00906EBD">
              <w:t>Forwarding</w:t>
            </w:r>
            <w:proofErr w:type="spellEnd"/>
            <w:r w:rsidRPr="00906EBD">
              <w:t xml:space="preserve"> </w:t>
            </w:r>
            <w:proofErr w:type="spellStart"/>
            <w:r w:rsidRPr="00906EBD">
              <w:t>rate</w:t>
            </w:r>
            <w:proofErr w:type="spellEnd"/>
            <w:r w:rsidRPr="00906EBD">
              <w:t xml:space="preserve"> min. 178 </w:t>
            </w:r>
            <w:proofErr w:type="spellStart"/>
            <w:r w:rsidRPr="00906EBD">
              <w:t>Mpps</w:t>
            </w:r>
            <w:proofErr w:type="spellEnd"/>
          </w:p>
        </w:tc>
      </w:tr>
      <w:tr w:rsidR="00906EBD" w:rsidRPr="00906EBD" w14:paraId="4812B5FC" w14:textId="77777777" w:rsidTr="00906EBD">
        <w:tc>
          <w:tcPr>
            <w:tcW w:w="9373" w:type="dxa"/>
          </w:tcPr>
          <w:p w14:paraId="33290788" w14:textId="77777777" w:rsidR="00906EBD" w:rsidRPr="00906EBD" w:rsidRDefault="00906EBD" w:rsidP="00866545">
            <w:r w:rsidRPr="00906EBD">
              <w:t xml:space="preserve">Počet zařízení ve </w:t>
            </w:r>
            <w:proofErr w:type="spellStart"/>
            <w:r w:rsidRPr="00906EBD">
              <w:t>stacku</w:t>
            </w:r>
            <w:proofErr w:type="spellEnd"/>
            <w:r w:rsidRPr="00906EBD">
              <w:t xml:space="preserve"> min. 4</w:t>
            </w:r>
          </w:p>
        </w:tc>
      </w:tr>
      <w:tr w:rsidR="00906EBD" w:rsidRPr="00906EBD" w14:paraId="733FF510" w14:textId="77777777" w:rsidTr="00906EBD">
        <w:tc>
          <w:tcPr>
            <w:tcW w:w="9373" w:type="dxa"/>
          </w:tcPr>
          <w:p w14:paraId="10DC6CA0" w14:textId="77777777" w:rsidR="00906EBD" w:rsidRPr="00906EBD" w:rsidRDefault="00906EBD" w:rsidP="00866545">
            <w:r w:rsidRPr="00906EBD">
              <w:t>Protokol pro vzdálenou správu: SNMP, RMON, HTTP, HTTPS, TFTP, Telnet, SSH</w:t>
            </w:r>
          </w:p>
        </w:tc>
      </w:tr>
      <w:tr w:rsidR="00906EBD" w:rsidRPr="00906EBD" w14:paraId="3674F223" w14:textId="77777777" w:rsidTr="00906EBD">
        <w:tc>
          <w:tcPr>
            <w:tcW w:w="9373" w:type="dxa"/>
          </w:tcPr>
          <w:p w14:paraId="77A956D4" w14:textId="77777777" w:rsidR="00906EBD" w:rsidRPr="00906EBD" w:rsidRDefault="00906EBD" w:rsidP="00866545">
            <w:r w:rsidRPr="00906EBD">
              <w:t xml:space="preserve">Počet instancí RPVST+ min.126 </w:t>
            </w:r>
          </w:p>
        </w:tc>
      </w:tr>
      <w:tr w:rsidR="00906EBD" w:rsidRPr="00906EBD" w14:paraId="4328FCA4" w14:textId="77777777" w:rsidTr="00906EBD">
        <w:tc>
          <w:tcPr>
            <w:tcW w:w="9373" w:type="dxa"/>
          </w:tcPr>
          <w:p w14:paraId="3F79EA94" w14:textId="77777777" w:rsidR="00906EBD" w:rsidRPr="00906EBD" w:rsidRDefault="00906EBD" w:rsidP="00866545">
            <w:r w:rsidRPr="00906EBD">
              <w:t xml:space="preserve">Počet </w:t>
            </w:r>
            <w:proofErr w:type="spellStart"/>
            <w:r w:rsidRPr="00906EBD">
              <w:t>VLANs</w:t>
            </w:r>
            <w:proofErr w:type="spellEnd"/>
            <w:r w:rsidRPr="00906EBD">
              <w:t xml:space="preserve"> min. 4094 </w:t>
            </w:r>
          </w:p>
        </w:tc>
      </w:tr>
      <w:tr w:rsidR="00906EBD" w:rsidRPr="00906EBD" w14:paraId="0933F77E" w14:textId="77777777" w:rsidTr="00906EBD">
        <w:tc>
          <w:tcPr>
            <w:tcW w:w="9373" w:type="dxa"/>
          </w:tcPr>
          <w:p w14:paraId="1671075B" w14:textId="77777777" w:rsidR="00906EBD" w:rsidRPr="00906EBD" w:rsidRDefault="00906EBD" w:rsidP="00866545">
            <w:r w:rsidRPr="00906EBD">
              <w:t xml:space="preserve">Počet ACL pravidel min. 1024 </w:t>
            </w:r>
          </w:p>
        </w:tc>
      </w:tr>
      <w:tr w:rsidR="00866545" w:rsidRPr="00906EBD" w14:paraId="05E0F869" w14:textId="77777777" w:rsidTr="00A262A7">
        <w:trPr>
          <w:trHeight w:val="1236"/>
        </w:trPr>
        <w:tc>
          <w:tcPr>
            <w:tcW w:w="9373" w:type="dxa"/>
          </w:tcPr>
          <w:p w14:paraId="24E101DE" w14:textId="77777777" w:rsidR="00866545" w:rsidRPr="00866545" w:rsidRDefault="00866545" w:rsidP="00866545">
            <w:pPr>
              <w:rPr>
                <w:u w:val="single"/>
              </w:rPr>
            </w:pPr>
            <w:r w:rsidRPr="00866545">
              <w:rPr>
                <w:u w:val="single"/>
              </w:rPr>
              <w:t xml:space="preserve">Podpora standardů: </w:t>
            </w:r>
          </w:p>
          <w:p w14:paraId="29AA508D" w14:textId="67117245" w:rsidR="00866545" w:rsidRPr="00906EBD" w:rsidRDefault="00866545" w:rsidP="00866545">
            <w:r w:rsidRPr="00906EBD">
              <w:t>IEEE 802.3, IEEE 802.</w:t>
            </w:r>
            <w:proofErr w:type="gramStart"/>
            <w:r w:rsidRPr="00906EBD">
              <w:t>3u</w:t>
            </w:r>
            <w:proofErr w:type="gramEnd"/>
            <w:r w:rsidRPr="00906EBD">
              <w:t>, IEEE 802.3ab, IEEE 802.3ad, IEEE 802.3z, IEEE 802.3ae</w:t>
            </w:r>
            <w:r w:rsidRPr="00906EBD">
              <w:tab/>
              <w:t xml:space="preserve">IEEE 802.3an, IEEE 802.3x </w:t>
            </w:r>
            <w:proofErr w:type="spellStart"/>
            <w:r w:rsidRPr="00906EBD">
              <w:t>Flow</w:t>
            </w:r>
            <w:proofErr w:type="spellEnd"/>
            <w:r w:rsidRPr="00906EBD">
              <w:t xml:space="preserve"> </w:t>
            </w:r>
            <w:proofErr w:type="spellStart"/>
            <w:r w:rsidRPr="00906EBD">
              <w:t>Control</w:t>
            </w:r>
            <w:proofErr w:type="spellEnd"/>
            <w:r w:rsidRPr="00906EBD">
              <w:t>, IEEE 802.1D (STP, GARP, and GVRP), IEEE 802.1Q/p VLAN</w:t>
            </w:r>
            <w:r w:rsidRPr="00906EBD">
              <w:tab/>
              <w:t xml:space="preserve">IEEE 802.1w Rapid STP, IEEE 802.1s </w:t>
            </w:r>
            <w:proofErr w:type="spellStart"/>
            <w:r w:rsidRPr="00906EBD">
              <w:t>Multiple</w:t>
            </w:r>
            <w:proofErr w:type="spellEnd"/>
            <w:r w:rsidRPr="00906EBD">
              <w:t xml:space="preserve"> STP, IEEE 802.1X Port Access </w:t>
            </w:r>
            <w:proofErr w:type="spellStart"/>
            <w:r w:rsidRPr="00906EBD">
              <w:t>Authentication</w:t>
            </w:r>
            <w:proofErr w:type="spellEnd"/>
            <w:r w:rsidRPr="00906EBD">
              <w:t>, IEEE 802.3af</w:t>
            </w:r>
            <w:r w:rsidRPr="00906EBD">
              <w:tab/>
              <w:t xml:space="preserve">IEEE 802.3at, IEEE 802.1AB Link </w:t>
            </w:r>
            <w:proofErr w:type="spellStart"/>
            <w:r w:rsidRPr="00906EBD">
              <w:t>Layer</w:t>
            </w:r>
            <w:proofErr w:type="spellEnd"/>
            <w:r w:rsidRPr="00906EBD">
              <w:t xml:space="preserve"> </w:t>
            </w:r>
            <w:proofErr w:type="spellStart"/>
            <w:r w:rsidRPr="00906EBD">
              <w:t>Discovery</w:t>
            </w:r>
            <w:proofErr w:type="spellEnd"/>
            <w:r w:rsidRPr="00906EBD">
              <w:t xml:space="preserve"> </w:t>
            </w:r>
            <w:proofErr w:type="spellStart"/>
            <w:r w:rsidRPr="00906EBD">
              <w:t>Protocol</w:t>
            </w:r>
            <w:proofErr w:type="spellEnd"/>
            <w:r w:rsidRPr="00906EBD">
              <w:t>, IEEE 802.3az</w:t>
            </w:r>
          </w:p>
        </w:tc>
      </w:tr>
      <w:tr w:rsidR="00911F69" w:rsidRPr="00906EBD" w14:paraId="243BD89D" w14:textId="77777777" w:rsidTr="00B641FD">
        <w:trPr>
          <w:trHeight w:val="309"/>
        </w:trPr>
        <w:tc>
          <w:tcPr>
            <w:tcW w:w="9373" w:type="dxa"/>
            <w:vAlign w:val="center"/>
          </w:tcPr>
          <w:p w14:paraId="653E5B27" w14:textId="70D01287" w:rsidR="00911F69" w:rsidRPr="00866545" w:rsidRDefault="00105988" w:rsidP="00911F69">
            <w:pPr>
              <w:rPr>
                <w:u w:val="single"/>
              </w:rPr>
            </w:pPr>
            <w:r>
              <w:t>Záruka 60 měsíců na hardware od ukončení prodeje daného modelu u dodavatele i výrobce.</w:t>
            </w:r>
          </w:p>
        </w:tc>
      </w:tr>
    </w:tbl>
    <w:p w14:paraId="1B5533C3" w14:textId="77777777" w:rsidR="00E60C27" w:rsidRDefault="00E60C27" w:rsidP="00BE1394">
      <w:pPr>
        <w:pStyle w:val="Nadpis3"/>
        <w:rPr>
          <w:rFonts w:ascii="Tahoma" w:eastAsia="Calibri" w:hAnsi="Tahoma" w:cs="Tahoma"/>
          <w:sz w:val="22"/>
          <w:szCs w:val="22"/>
        </w:rPr>
      </w:pPr>
    </w:p>
    <w:p w14:paraId="1F79D2F9" w14:textId="77777777" w:rsidR="00E60C27" w:rsidRDefault="00E60C27">
      <w:pPr>
        <w:spacing w:after="200" w:line="276" w:lineRule="auto"/>
        <w:rPr>
          <w:rFonts w:ascii="Tahoma" w:eastAsia="Calibri" w:hAnsi="Tahoma" w:cs="Tahoma"/>
          <w:b/>
          <w:color w:val="404040" w:themeColor="text1" w:themeTint="BF"/>
          <w:sz w:val="22"/>
          <w:szCs w:val="22"/>
          <w:u w:val="single"/>
        </w:rPr>
      </w:pPr>
      <w:r>
        <w:rPr>
          <w:rFonts w:ascii="Tahoma" w:eastAsia="Calibri" w:hAnsi="Tahoma" w:cs="Tahoma"/>
          <w:sz w:val="22"/>
          <w:szCs w:val="22"/>
        </w:rPr>
        <w:br w:type="page"/>
      </w:r>
    </w:p>
    <w:p w14:paraId="26F2A8B3" w14:textId="2EAF8B25" w:rsidR="00BE1394" w:rsidRDefault="00BE1394" w:rsidP="00BE1394">
      <w:pPr>
        <w:pStyle w:val="Nadpis3"/>
      </w:pPr>
      <w:r>
        <w:rPr>
          <w:rFonts w:ascii="Tahoma" w:eastAsia="Calibri" w:hAnsi="Tahoma" w:cs="Tahoma"/>
          <w:sz w:val="22"/>
          <w:szCs w:val="22"/>
        </w:rPr>
        <w:lastRenderedPageBreak/>
        <w:t xml:space="preserve">3. </w:t>
      </w:r>
      <w:proofErr w:type="spellStart"/>
      <w:r w:rsidRPr="00BE1394">
        <w:t>Switch</w:t>
      </w:r>
      <w:proofErr w:type="spellEnd"/>
      <w:r w:rsidRPr="00BE1394">
        <w:t xml:space="preserve"> 48 </w:t>
      </w:r>
      <w:proofErr w:type="spellStart"/>
      <w:r w:rsidRPr="00BE1394">
        <w:t>ports</w:t>
      </w:r>
      <w:proofErr w:type="spellEnd"/>
      <w:r w:rsidRPr="00BE1394">
        <w:t xml:space="preserve">, </w:t>
      </w:r>
      <w:proofErr w:type="spellStart"/>
      <w:r w:rsidRPr="00BE1394">
        <w:t>PoE</w:t>
      </w:r>
      <w:proofErr w:type="spellEnd"/>
    </w:p>
    <w:p w14:paraId="3D2CBF6B" w14:textId="77777777" w:rsidR="00BE1394" w:rsidRPr="00BE1394" w:rsidRDefault="00BE1394" w:rsidP="00BE1394">
      <w:pPr>
        <w:rPr>
          <w:rFonts w:eastAsia="Calibri"/>
        </w:rPr>
      </w:pPr>
    </w:p>
    <w:tbl>
      <w:tblPr>
        <w:tblStyle w:val="Mkatabulky"/>
        <w:tblW w:w="4988" w:type="pct"/>
        <w:tblLayout w:type="fixed"/>
        <w:tblLook w:val="04A0" w:firstRow="1" w:lastRow="0" w:firstColumn="1" w:lastColumn="0" w:noHBand="0" w:noVBand="1"/>
      </w:tblPr>
      <w:tblGrid>
        <w:gridCol w:w="7367"/>
        <w:gridCol w:w="1984"/>
      </w:tblGrid>
      <w:tr w:rsidR="00553FA0" w:rsidRPr="00553FA0" w14:paraId="593EB8CD" w14:textId="77777777" w:rsidTr="000D1D3B">
        <w:trPr>
          <w:trHeight w:val="300"/>
        </w:trPr>
        <w:tc>
          <w:tcPr>
            <w:tcW w:w="3939" w:type="pct"/>
            <w:noWrap/>
            <w:hideMark/>
          </w:tcPr>
          <w:p w14:paraId="61E2359E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Požadovaná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funkcionalita</w:t>
            </w:r>
            <w:proofErr w:type="spellEnd"/>
            <w:r w:rsidRPr="00553FA0">
              <w:rPr>
                <w:rFonts w:eastAsia="Calibri"/>
                <w:lang w:val="en-US"/>
              </w:rPr>
              <w:t>/</w:t>
            </w:r>
            <w:proofErr w:type="spellStart"/>
            <w:r w:rsidRPr="00553FA0">
              <w:rPr>
                <w:rFonts w:eastAsia="Calibri"/>
                <w:lang w:val="en-US"/>
              </w:rPr>
              <w:t>vlastnost</w:t>
            </w:r>
            <w:proofErr w:type="spellEnd"/>
          </w:p>
        </w:tc>
        <w:tc>
          <w:tcPr>
            <w:tcW w:w="1061" w:type="pct"/>
            <w:noWrap/>
            <w:hideMark/>
          </w:tcPr>
          <w:p w14:paraId="3E2FCE62" w14:textId="4F25BE04" w:rsidR="00553FA0" w:rsidRPr="00553FA0" w:rsidRDefault="00B56BBB" w:rsidP="00553FA0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Upřesnění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funkcionality</w:t>
            </w:r>
            <w:proofErr w:type="spellEnd"/>
          </w:p>
        </w:tc>
      </w:tr>
      <w:tr w:rsidR="00553FA0" w:rsidRPr="00553FA0" w14:paraId="2185B2DF" w14:textId="77777777" w:rsidTr="000D1D3B">
        <w:trPr>
          <w:trHeight w:val="300"/>
        </w:trPr>
        <w:tc>
          <w:tcPr>
            <w:tcW w:w="3939" w:type="pct"/>
            <w:noWrap/>
            <w:hideMark/>
          </w:tcPr>
          <w:p w14:paraId="56447D6B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Základní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vlastnosti</w:t>
            </w:r>
            <w:proofErr w:type="spellEnd"/>
          </w:p>
        </w:tc>
        <w:tc>
          <w:tcPr>
            <w:tcW w:w="1061" w:type="pct"/>
            <w:hideMark/>
          </w:tcPr>
          <w:p w14:paraId="1C8C4FC2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 </w:t>
            </w:r>
          </w:p>
        </w:tc>
      </w:tr>
      <w:tr w:rsidR="00553FA0" w:rsidRPr="00553FA0" w14:paraId="46F8D55C" w14:textId="77777777" w:rsidTr="000D1D3B">
        <w:trPr>
          <w:trHeight w:val="300"/>
        </w:trPr>
        <w:tc>
          <w:tcPr>
            <w:tcW w:w="3939" w:type="pct"/>
            <w:noWrap/>
            <w:hideMark/>
          </w:tcPr>
          <w:p w14:paraId="212BD11B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Třída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zařízení</w:t>
            </w:r>
            <w:proofErr w:type="spellEnd"/>
          </w:p>
        </w:tc>
        <w:tc>
          <w:tcPr>
            <w:tcW w:w="1061" w:type="pct"/>
            <w:hideMark/>
          </w:tcPr>
          <w:p w14:paraId="2901C636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LAN switch</w:t>
            </w:r>
          </w:p>
        </w:tc>
      </w:tr>
      <w:tr w:rsidR="00553FA0" w:rsidRPr="00553FA0" w14:paraId="10F0E0D2" w14:textId="77777777" w:rsidTr="000D1D3B">
        <w:trPr>
          <w:trHeight w:val="300"/>
        </w:trPr>
        <w:tc>
          <w:tcPr>
            <w:tcW w:w="3939" w:type="pct"/>
            <w:noWrap/>
            <w:hideMark/>
          </w:tcPr>
          <w:p w14:paraId="531E072F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Formát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zařízení</w:t>
            </w:r>
            <w:proofErr w:type="spellEnd"/>
          </w:p>
        </w:tc>
        <w:tc>
          <w:tcPr>
            <w:tcW w:w="1061" w:type="pct"/>
            <w:hideMark/>
          </w:tcPr>
          <w:p w14:paraId="42066AF8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Fixní</w:t>
            </w:r>
            <w:proofErr w:type="spellEnd"/>
          </w:p>
        </w:tc>
      </w:tr>
      <w:tr w:rsidR="00553FA0" w:rsidRPr="00553FA0" w14:paraId="2B355D69" w14:textId="77777777" w:rsidTr="000D1D3B">
        <w:trPr>
          <w:trHeight w:val="300"/>
        </w:trPr>
        <w:tc>
          <w:tcPr>
            <w:tcW w:w="3939" w:type="pct"/>
            <w:noWrap/>
          </w:tcPr>
          <w:p w14:paraId="55F5FCAD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802.3az</w:t>
            </w:r>
          </w:p>
        </w:tc>
        <w:tc>
          <w:tcPr>
            <w:tcW w:w="1061" w:type="pct"/>
          </w:tcPr>
          <w:p w14:paraId="58EB57EE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6B19A63E" w14:textId="77777777" w:rsidTr="000D1D3B">
        <w:trPr>
          <w:trHeight w:val="300"/>
        </w:trPr>
        <w:tc>
          <w:tcPr>
            <w:tcW w:w="3939" w:type="pct"/>
            <w:noWrap/>
          </w:tcPr>
          <w:p w14:paraId="394D473B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802.3ad (Link Aggregation)</w:t>
            </w:r>
          </w:p>
        </w:tc>
        <w:tc>
          <w:tcPr>
            <w:tcW w:w="1061" w:type="pct"/>
          </w:tcPr>
          <w:p w14:paraId="64B28437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31BC6F3D" w14:textId="77777777" w:rsidTr="000D1D3B">
        <w:trPr>
          <w:trHeight w:val="300"/>
        </w:trPr>
        <w:tc>
          <w:tcPr>
            <w:tcW w:w="3939" w:type="pct"/>
            <w:noWrap/>
          </w:tcPr>
          <w:p w14:paraId="520B8E76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802.1Q</w:t>
            </w:r>
          </w:p>
        </w:tc>
        <w:tc>
          <w:tcPr>
            <w:tcW w:w="1061" w:type="pct"/>
          </w:tcPr>
          <w:p w14:paraId="20651B1D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1ACB1083" w14:textId="77777777" w:rsidTr="000D1D3B">
        <w:trPr>
          <w:trHeight w:val="300"/>
        </w:trPr>
        <w:tc>
          <w:tcPr>
            <w:tcW w:w="3939" w:type="pct"/>
            <w:noWrap/>
          </w:tcPr>
          <w:p w14:paraId="25043368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Minimální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počet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aktivních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VLAN</w:t>
            </w:r>
          </w:p>
        </w:tc>
        <w:tc>
          <w:tcPr>
            <w:tcW w:w="1061" w:type="pct"/>
          </w:tcPr>
          <w:p w14:paraId="2D34D1C2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50</w:t>
            </w:r>
          </w:p>
        </w:tc>
      </w:tr>
      <w:tr w:rsidR="00553FA0" w:rsidRPr="00553FA0" w14:paraId="671CE1A6" w14:textId="77777777" w:rsidTr="000D1D3B">
        <w:trPr>
          <w:trHeight w:val="300"/>
        </w:trPr>
        <w:tc>
          <w:tcPr>
            <w:tcW w:w="3939" w:type="pct"/>
            <w:noWrap/>
          </w:tcPr>
          <w:p w14:paraId="7B4520F1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802.1x</w:t>
            </w:r>
          </w:p>
        </w:tc>
        <w:tc>
          <w:tcPr>
            <w:tcW w:w="1061" w:type="pct"/>
          </w:tcPr>
          <w:p w14:paraId="260DB5F6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3D2D3358" w14:textId="77777777" w:rsidTr="000D1D3B">
        <w:trPr>
          <w:trHeight w:val="300"/>
        </w:trPr>
        <w:tc>
          <w:tcPr>
            <w:tcW w:w="3939" w:type="pct"/>
            <w:noWrap/>
            <w:vAlign w:val="center"/>
          </w:tcPr>
          <w:p w14:paraId="5A098D52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Integrace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IEEE 802.1x s IP </w:t>
            </w:r>
            <w:proofErr w:type="spellStart"/>
            <w:r w:rsidRPr="00553FA0">
              <w:rPr>
                <w:rFonts w:eastAsia="Calibri"/>
                <w:lang w:val="en-US"/>
              </w:rPr>
              <w:t>telefonním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prostředím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(802.1x Multi-domain authentication)</w:t>
            </w:r>
          </w:p>
        </w:tc>
        <w:tc>
          <w:tcPr>
            <w:tcW w:w="1061" w:type="pct"/>
          </w:tcPr>
          <w:p w14:paraId="3B7F71D5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721B4FAD" w14:textId="77777777" w:rsidTr="000D1D3B">
        <w:trPr>
          <w:trHeight w:val="300"/>
        </w:trPr>
        <w:tc>
          <w:tcPr>
            <w:tcW w:w="3939" w:type="pct"/>
            <w:noWrap/>
          </w:tcPr>
          <w:p w14:paraId="0A177C22" w14:textId="77777777" w:rsidR="00553FA0" w:rsidRPr="00D91456" w:rsidRDefault="00553FA0" w:rsidP="00553FA0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IEEE 802.1x autentizace přepínače vůči nadřazenému přepínači, sdílení ověření koncových stanic</w:t>
            </w:r>
          </w:p>
        </w:tc>
        <w:tc>
          <w:tcPr>
            <w:tcW w:w="1061" w:type="pct"/>
          </w:tcPr>
          <w:p w14:paraId="4201CA91" w14:textId="77777777" w:rsidR="00553FA0" w:rsidRPr="00D91456" w:rsidRDefault="00553FA0" w:rsidP="00553FA0">
            <w:pPr>
              <w:rPr>
                <w:rFonts w:eastAsia="Calibri"/>
              </w:rPr>
            </w:pPr>
          </w:p>
        </w:tc>
      </w:tr>
      <w:tr w:rsidR="00553FA0" w:rsidRPr="00553FA0" w14:paraId="036EEAA8" w14:textId="77777777" w:rsidTr="000D1D3B">
        <w:trPr>
          <w:trHeight w:val="300"/>
        </w:trPr>
        <w:tc>
          <w:tcPr>
            <w:tcW w:w="3939" w:type="pct"/>
            <w:noWrap/>
          </w:tcPr>
          <w:p w14:paraId="1CCC9EDB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802.1w - Rapid Spanning Tree Protocol</w:t>
            </w:r>
          </w:p>
        </w:tc>
        <w:tc>
          <w:tcPr>
            <w:tcW w:w="1061" w:type="pct"/>
          </w:tcPr>
          <w:p w14:paraId="70F6E689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4EF8F198" w14:textId="77777777" w:rsidTr="000D1D3B">
        <w:trPr>
          <w:trHeight w:val="300"/>
        </w:trPr>
        <w:tc>
          <w:tcPr>
            <w:tcW w:w="3939" w:type="pct"/>
            <w:noWrap/>
          </w:tcPr>
          <w:p w14:paraId="512CCE5A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Podpora instance Rapid Spanning Tree </w:t>
            </w:r>
            <w:proofErr w:type="spellStart"/>
            <w:r w:rsidRPr="00553FA0">
              <w:rPr>
                <w:rFonts w:eastAsia="Calibri"/>
                <w:lang w:val="en-US"/>
              </w:rPr>
              <w:t>protokolu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per VLAN </w:t>
            </w:r>
          </w:p>
        </w:tc>
        <w:tc>
          <w:tcPr>
            <w:tcW w:w="1061" w:type="pct"/>
          </w:tcPr>
          <w:p w14:paraId="3EF529B0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ANO, min. 50 </w:t>
            </w:r>
            <w:proofErr w:type="spellStart"/>
            <w:r w:rsidRPr="00553FA0">
              <w:rPr>
                <w:rFonts w:eastAsia="Calibri"/>
                <w:lang w:val="en-US"/>
              </w:rPr>
              <w:t>instancí</w:t>
            </w:r>
            <w:proofErr w:type="spellEnd"/>
          </w:p>
        </w:tc>
      </w:tr>
      <w:tr w:rsidR="00553FA0" w:rsidRPr="00553FA0" w14:paraId="100C2BC2" w14:textId="77777777" w:rsidTr="000D1D3B">
        <w:trPr>
          <w:trHeight w:val="300"/>
        </w:trPr>
        <w:tc>
          <w:tcPr>
            <w:tcW w:w="3939" w:type="pct"/>
            <w:noWrap/>
          </w:tcPr>
          <w:p w14:paraId="3F593A92" w14:textId="77777777" w:rsidR="00553FA0" w:rsidRPr="00553FA0" w:rsidRDefault="00553FA0" w:rsidP="00553FA0">
            <w:pPr>
              <w:rPr>
                <w:rFonts w:eastAsia="Calibri"/>
                <w:lang w:val="it-IT"/>
              </w:rPr>
            </w:pPr>
            <w:r w:rsidRPr="00553FA0">
              <w:rPr>
                <w:rFonts w:eastAsia="Calibri"/>
                <w:lang w:val="it-IT"/>
              </w:rPr>
              <w:t>Protokol MVRP nebo VTP pro definici a správu VLAN sítí</w:t>
            </w:r>
          </w:p>
        </w:tc>
        <w:tc>
          <w:tcPr>
            <w:tcW w:w="1061" w:type="pct"/>
          </w:tcPr>
          <w:p w14:paraId="5D28D186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35A2603B" w14:textId="77777777" w:rsidTr="000D1D3B">
        <w:trPr>
          <w:trHeight w:val="300"/>
        </w:trPr>
        <w:tc>
          <w:tcPr>
            <w:tcW w:w="3939" w:type="pct"/>
            <w:noWrap/>
          </w:tcPr>
          <w:p w14:paraId="3DF77092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Podpora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jumbo </w:t>
            </w:r>
            <w:proofErr w:type="spellStart"/>
            <w:r w:rsidRPr="00553FA0">
              <w:rPr>
                <w:rFonts w:eastAsia="Calibri"/>
                <w:lang w:val="en-US"/>
              </w:rPr>
              <w:t>rámců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(9198 bytes)</w:t>
            </w:r>
          </w:p>
        </w:tc>
        <w:tc>
          <w:tcPr>
            <w:tcW w:w="1061" w:type="pct"/>
          </w:tcPr>
          <w:p w14:paraId="58A65945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49D82D31" w14:textId="77777777" w:rsidTr="000D1D3B">
        <w:trPr>
          <w:trHeight w:val="300"/>
        </w:trPr>
        <w:tc>
          <w:tcPr>
            <w:tcW w:w="3939" w:type="pct"/>
            <w:noWrap/>
          </w:tcPr>
          <w:p w14:paraId="31527A59" w14:textId="77777777" w:rsidR="00553FA0" w:rsidRPr="00D91456" w:rsidRDefault="00553FA0" w:rsidP="00553FA0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Detekce protilehlého zařízení (např. CDP nebo LLDP)</w:t>
            </w:r>
          </w:p>
        </w:tc>
        <w:tc>
          <w:tcPr>
            <w:tcW w:w="1061" w:type="pct"/>
          </w:tcPr>
          <w:p w14:paraId="442C6F24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13812784" w14:textId="77777777" w:rsidTr="000D1D3B">
        <w:trPr>
          <w:trHeight w:val="300"/>
        </w:trPr>
        <w:tc>
          <w:tcPr>
            <w:tcW w:w="3939" w:type="pct"/>
            <w:noWrap/>
          </w:tcPr>
          <w:p w14:paraId="054A9309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IGMP snooping</w:t>
            </w:r>
          </w:p>
        </w:tc>
        <w:tc>
          <w:tcPr>
            <w:tcW w:w="1061" w:type="pct"/>
          </w:tcPr>
          <w:p w14:paraId="18F778C5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36B1D03F" w14:textId="77777777" w:rsidTr="000D1D3B">
        <w:trPr>
          <w:trHeight w:val="300"/>
        </w:trPr>
        <w:tc>
          <w:tcPr>
            <w:tcW w:w="3939" w:type="pct"/>
            <w:noWrap/>
          </w:tcPr>
          <w:p w14:paraId="5CD5B3EA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IPv6 MLD snooping</w:t>
            </w:r>
          </w:p>
        </w:tc>
        <w:tc>
          <w:tcPr>
            <w:tcW w:w="1061" w:type="pct"/>
          </w:tcPr>
          <w:p w14:paraId="0D64045C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01D85C98" w14:textId="77777777" w:rsidTr="000D1D3B">
        <w:trPr>
          <w:trHeight w:val="300"/>
        </w:trPr>
        <w:tc>
          <w:tcPr>
            <w:tcW w:w="3939" w:type="pct"/>
            <w:noWrap/>
          </w:tcPr>
          <w:p w14:paraId="5E8EDEEC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QoS - Strict Priority Queue </w:t>
            </w:r>
          </w:p>
        </w:tc>
        <w:tc>
          <w:tcPr>
            <w:tcW w:w="1061" w:type="pct"/>
          </w:tcPr>
          <w:p w14:paraId="2A0ADC00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4707D0A7" w14:textId="77777777" w:rsidTr="000D1D3B">
        <w:trPr>
          <w:trHeight w:val="300"/>
        </w:trPr>
        <w:tc>
          <w:tcPr>
            <w:tcW w:w="3939" w:type="pct"/>
            <w:noWrap/>
          </w:tcPr>
          <w:p w14:paraId="6464D336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IPv6 PACL</w:t>
            </w:r>
          </w:p>
        </w:tc>
        <w:tc>
          <w:tcPr>
            <w:tcW w:w="1061" w:type="pct"/>
          </w:tcPr>
          <w:p w14:paraId="0B07ADF7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2B1EA448" w14:textId="77777777" w:rsidTr="000D1D3B">
        <w:trPr>
          <w:trHeight w:val="300"/>
        </w:trPr>
        <w:tc>
          <w:tcPr>
            <w:tcW w:w="3939" w:type="pct"/>
            <w:noWrap/>
          </w:tcPr>
          <w:p w14:paraId="11DC8484" w14:textId="77777777" w:rsidR="00553FA0" w:rsidRPr="00553FA0" w:rsidRDefault="00553FA0" w:rsidP="00553FA0">
            <w:pPr>
              <w:rPr>
                <w:rFonts w:eastAsia="Calibri"/>
                <w:lang w:val="it-IT"/>
              </w:rPr>
            </w:pPr>
            <w:r w:rsidRPr="00553FA0">
              <w:rPr>
                <w:rFonts w:eastAsia="Calibri"/>
                <w:lang w:val="it-IT"/>
              </w:rPr>
              <w:t>Možnost definovat povolené MAC adresy na portu</w:t>
            </w:r>
          </w:p>
        </w:tc>
        <w:tc>
          <w:tcPr>
            <w:tcW w:w="1061" w:type="pct"/>
          </w:tcPr>
          <w:p w14:paraId="53D47A5E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3416E08A" w14:textId="77777777" w:rsidTr="000D1D3B">
        <w:trPr>
          <w:trHeight w:val="300"/>
        </w:trPr>
        <w:tc>
          <w:tcPr>
            <w:tcW w:w="3939" w:type="pct"/>
            <w:noWrap/>
          </w:tcPr>
          <w:p w14:paraId="5191165A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Port ACL</w:t>
            </w:r>
          </w:p>
        </w:tc>
        <w:tc>
          <w:tcPr>
            <w:tcW w:w="1061" w:type="pct"/>
          </w:tcPr>
          <w:p w14:paraId="46135D60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0E753BCC" w14:textId="77777777" w:rsidTr="000D1D3B">
        <w:trPr>
          <w:trHeight w:val="300"/>
        </w:trPr>
        <w:tc>
          <w:tcPr>
            <w:tcW w:w="3939" w:type="pct"/>
            <w:noWrap/>
          </w:tcPr>
          <w:p w14:paraId="6CB0E246" w14:textId="77777777" w:rsidR="00553FA0" w:rsidRPr="00D91456" w:rsidRDefault="00553FA0" w:rsidP="00553FA0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Bezpečnostní funkce umožňující ochranu proti připojení neautorizovaného DHCP serveru </w:t>
            </w:r>
          </w:p>
        </w:tc>
        <w:tc>
          <w:tcPr>
            <w:tcW w:w="1061" w:type="pct"/>
          </w:tcPr>
          <w:p w14:paraId="58E596F5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0846DBE6" w14:textId="77777777" w:rsidTr="000D1D3B">
        <w:trPr>
          <w:trHeight w:val="300"/>
        </w:trPr>
        <w:tc>
          <w:tcPr>
            <w:tcW w:w="3939" w:type="pct"/>
            <w:noWrap/>
          </w:tcPr>
          <w:p w14:paraId="4283C3DF" w14:textId="77777777" w:rsidR="00553FA0" w:rsidRPr="00D91456" w:rsidRDefault="00553FA0" w:rsidP="00553FA0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Bezpečnostní funkce umožňující inspekci provozu protokolu ARP </w:t>
            </w:r>
          </w:p>
        </w:tc>
        <w:tc>
          <w:tcPr>
            <w:tcW w:w="1061" w:type="pct"/>
          </w:tcPr>
          <w:p w14:paraId="53FE15C8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14F61407" w14:textId="77777777" w:rsidTr="000D1D3B">
        <w:trPr>
          <w:trHeight w:val="300"/>
        </w:trPr>
        <w:tc>
          <w:tcPr>
            <w:tcW w:w="3939" w:type="pct"/>
            <w:noWrap/>
          </w:tcPr>
          <w:p w14:paraId="216EB670" w14:textId="77777777" w:rsidR="00553FA0" w:rsidRPr="00D91456" w:rsidRDefault="00553FA0" w:rsidP="00553FA0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Ochrana proti nahrání modifikovaného software do zařízení prostřednictvím image </w:t>
            </w:r>
            <w:proofErr w:type="spellStart"/>
            <w:proofErr w:type="gramStart"/>
            <w:r w:rsidRPr="00D91456">
              <w:rPr>
                <w:rFonts w:eastAsia="Calibri"/>
              </w:rPr>
              <w:t>signing</w:t>
            </w:r>
            <w:proofErr w:type="spellEnd"/>
            <w:r w:rsidRPr="00D91456">
              <w:rPr>
                <w:rFonts w:eastAsia="Calibri"/>
              </w:rPr>
              <w:t xml:space="preserve">  a</w:t>
            </w:r>
            <w:proofErr w:type="gramEnd"/>
            <w:r w:rsidRPr="00D91456">
              <w:rPr>
                <w:rFonts w:eastAsia="Calibri"/>
              </w:rPr>
              <w:t xml:space="preserve"> funkce </w:t>
            </w:r>
            <w:proofErr w:type="spellStart"/>
            <w:r w:rsidRPr="00D91456">
              <w:rPr>
                <w:rFonts w:eastAsia="Calibri"/>
              </w:rPr>
              <w:t>secure</w:t>
            </w:r>
            <w:proofErr w:type="spellEnd"/>
            <w:r w:rsidRPr="00D91456">
              <w:rPr>
                <w:rFonts w:eastAsia="Calibri"/>
              </w:rPr>
              <w:t xml:space="preserve"> </w:t>
            </w:r>
            <w:proofErr w:type="spellStart"/>
            <w:r w:rsidRPr="00D91456">
              <w:rPr>
                <w:rFonts w:eastAsia="Calibri"/>
              </w:rPr>
              <w:t>boot</w:t>
            </w:r>
            <w:proofErr w:type="spellEnd"/>
            <w:r w:rsidRPr="00D91456">
              <w:rPr>
                <w:rFonts w:eastAsia="Calibri"/>
              </w:rPr>
              <w:t xml:space="preserve">, která ověřuje autentičnost a integritu jak </w:t>
            </w:r>
            <w:proofErr w:type="spellStart"/>
            <w:r w:rsidRPr="00D91456">
              <w:rPr>
                <w:rFonts w:eastAsia="Calibri"/>
              </w:rPr>
              <w:t>bootloader</w:t>
            </w:r>
            <w:r w:rsidRPr="00553FA0">
              <w:rPr>
                <w:rFonts w:eastAsia="Calibri"/>
              </w:rPr>
              <w:t>ů</w:t>
            </w:r>
            <w:proofErr w:type="spellEnd"/>
            <w:r w:rsidRPr="00D91456">
              <w:rPr>
                <w:rFonts w:eastAsia="Calibri"/>
              </w:rPr>
              <w:t xml:space="preserve">, tak i samotného operačního systému zařízení prostřednictvím interních HW prostředků - tzv. </w:t>
            </w:r>
            <w:proofErr w:type="spellStart"/>
            <w:r w:rsidRPr="00D91456">
              <w:rPr>
                <w:rFonts w:eastAsia="Calibri"/>
              </w:rPr>
              <w:t>trusted</w:t>
            </w:r>
            <w:proofErr w:type="spellEnd"/>
            <w:r w:rsidRPr="00D91456">
              <w:rPr>
                <w:rFonts w:eastAsia="Calibri"/>
              </w:rPr>
              <w:t xml:space="preserve"> modulů</w:t>
            </w:r>
          </w:p>
        </w:tc>
        <w:tc>
          <w:tcPr>
            <w:tcW w:w="1061" w:type="pct"/>
          </w:tcPr>
          <w:p w14:paraId="2F599CC9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7C7D7BC0" w14:textId="77777777" w:rsidTr="000D1D3B">
        <w:trPr>
          <w:trHeight w:val="300"/>
        </w:trPr>
        <w:tc>
          <w:tcPr>
            <w:tcW w:w="3939" w:type="pct"/>
            <w:noWrap/>
          </w:tcPr>
          <w:p w14:paraId="3F6B0585" w14:textId="77777777" w:rsidR="00553FA0" w:rsidRPr="00D91456" w:rsidRDefault="00553FA0" w:rsidP="00553FA0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HW </w:t>
            </w:r>
            <w:proofErr w:type="spellStart"/>
            <w:r w:rsidRPr="00D91456">
              <w:rPr>
                <w:rFonts w:eastAsia="Calibri"/>
              </w:rPr>
              <w:t>trusted</w:t>
            </w:r>
            <w:proofErr w:type="spellEnd"/>
            <w:r w:rsidRPr="00D91456">
              <w:rPr>
                <w:rFonts w:eastAsia="Calibri"/>
              </w:rPr>
              <w:t xml:space="preserve"> modul využíván pro bezpečné uložení hesel a šifrovacích klíčů</w:t>
            </w:r>
          </w:p>
        </w:tc>
        <w:tc>
          <w:tcPr>
            <w:tcW w:w="1061" w:type="pct"/>
          </w:tcPr>
          <w:p w14:paraId="07BF82E8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2EF7D90A" w14:textId="77777777" w:rsidTr="000D1D3B">
        <w:trPr>
          <w:trHeight w:val="300"/>
        </w:trPr>
        <w:tc>
          <w:tcPr>
            <w:tcW w:w="3939" w:type="pct"/>
            <w:noWrap/>
          </w:tcPr>
          <w:p w14:paraId="75016D28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D91456">
              <w:rPr>
                <w:rFonts w:eastAsia="Calibri"/>
              </w:rPr>
              <w:t xml:space="preserve">Přepínač obsahuje </w:t>
            </w:r>
            <w:proofErr w:type="spellStart"/>
            <w:r w:rsidRPr="00D91456">
              <w:rPr>
                <w:rFonts w:eastAsia="Calibri"/>
              </w:rPr>
              <w:t>traceroute</w:t>
            </w:r>
            <w:proofErr w:type="spellEnd"/>
            <w:r w:rsidRPr="00D91456">
              <w:rPr>
                <w:rFonts w:eastAsia="Calibri"/>
              </w:rPr>
              <w:t xml:space="preserve"> utilitu operující na linkové vrstvě (nap</w:t>
            </w:r>
            <w:r w:rsidRPr="00553FA0">
              <w:rPr>
                <w:rFonts w:eastAsia="Calibri"/>
              </w:rPr>
              <w:t xml:space="preserve">ř. </w:t>
            </w:r>
            <w:r w:rsidRPr="00553FA0">
              <w:rPr>
                <w:rFonts w:eastAsia="Calibri"/>
                <w:lang w:val="en-US"/>
              </w:rPr>
              <w:t xml:space="preserve">Layer 2 traceroute </w:t>
            </w:r>
            <w:proofErr w:type="spellStart"/>
            <w:r w:rsidRPr="00553FA0">
              <w:rPr>
                <w:rFonts w:eastAsia="Calibri"/>
                <w:lang w:val="en-US"/>
              </w:rPr>
              <w:t>nebo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ekvivalentní</w:t>
            </w:r>
            <w:proofErr w:type="spellEnd"/>
            <w:r w:rsidRPr="00553FA0">
              <w:rPr>
                <w:rFonts w:eastAsia="Calibri"/>
                <w:lang w:val="en-US"/>
              </w:rPr>
              <w:t>)</w:t>
            </w:r>
          </w:p>
        </w:tc>
        <w:tc>
          <w:tcPr>
            <w:tcW w:w="1061" w:type="pct"/>
          </w:tcPr>
          <w:p w14:paraId="52C593D6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587CC2A1" w14:textId="77777777" w:rsidTr="000D1D3B">
        <w:trPr>
          <w:trHeight w:val="300"/>
        </w:trPr>
        <w:tc>
          <w:tcPr>
            <w:tcW w:w="3939" w:type="pct"/>
            <w:noWrap/>
          </w:tcPr>
          <w:p w14:paraId="754E319E" w14:textId="77777777" w:rsidR="00553FA0" w:rsidRPr="00D91456" w:rsidRDefault="00553FA0" w:rsidP="00553FA0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Schopnost automatické aplikace specifické konfigurace pro dané zařízení po detekci jeho připojení na portu</w:t>
            </w:r>
          </w:p>
        </w:tc>
        <w:tc>
          <w:tcPr>
            <w:tcW w:w="1061" w:type="pct"/>
          </w:tcPr>
          <w:p w14:paraId="53D26FB3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78E80C43" w14:textId="77777777" w:rsidTr="000D1D3B">
        <w:trPr>
          <w:trHeight w:val="300"/>
        </w:trPr>
        <w:tc>
          <w:tcPr>
            <w:tcW w:w="3939" w:type="pct"/>
            <w:noWrap/>
          </w:tcPr>
          <w:p w14:paraId="4543900D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Interní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nástroje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pro on-line </w:t>
            </w:r>
            <w:proofErr w:type="spellStart"/>
            <w:r w:rsidRPr="00553FA0">
              <w:rPr>
                <w:rFonts w:eastAsia="Calibri"/>
                <w:lang w:val="en-US"/>
              </w:rPr>
              <w:t>měření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kvality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síťové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infrastruktury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553FA0">
              <w:rPr>
                <w:rFonts w:eastAsia="Calibri"/>
                <w:lang w:val="en-US"/>
              </w:rPr>
              <w:t>např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. IP SLA </w:t>
            </w:r>
            <w:proofErr w:type="spellStart"/>
            <w:r w:rsidRPr="00553FA0">
              <w:rPr>
                <w:rFonts w:eastAsia="Calibri"/>
                <w:lang w:val="en-US"/>
              </w:rPr>
              <w:t>nebo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ekvivalentní</w:t>
            </w:r>
            <w:proofErr w:type="spellEnd"/>
          </w:p>
        </w:tc>
        <w:tc>
          <w:tcPr>
            <w:tcW w:w="1061" w:type="pct"/>
          </w:tcPr>
          <w:p w14:paraId="4BFA1C56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624FDB9B" w14:textId="77777777" w:rsidTr="000D1D3B">
        <w:trPr>
          <w:trHeight w:val="300"/>
        </w:trPr>
        <w:tc>
          <w:tcPr>
            <w:tcW w:w="3939" w:type="pct"/>
            <w:noWrap/>
          </w:tcPr>
          <w:p w14:paraId="792B59CD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DHCP server</w:t>
            </w:r>
          </w:p>
        </w:tc>
        <w:tc>
          <w:tcPr>
            <w:tcW w:w="1061" w:type="pct"/>
          </w:tcPr>
          <w:p w14:paraId="0F210A3B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0ACBF337" w14:textId="77777777" w:rsidTr="000D1D3B">
        <w:trPr>
          <w:trHeight w:val="300"/>
        </w:trPr>
        <w:tc>
          <w:tcPr>
            <w:tcW w:w="3939" w:type="pct"/>
            <w:noWrap/>
          </w:tcPr>
          <w:p w14:paraId="2CA8A88C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SSHv2</w:t>
            </w:r>
          </w:p>
        </w:tc>
        <w:tc>
          <w:tcPr>
            <w:tcW w:w="1061" w:type="pct"/>
          </w:tcPr>
          <w:p w14:paraId="5D56BCA1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62EDC39E" w14:textId="77777777" w:rsidTr="000D1D3B">
        <w:trPr>
          <w:trHeight w:val="300"/>
        </w:trPr>
        <w:tc>
          <w:tcPr>
            <w:tcW w:w="3939" w:type="pct"/>
            <w:noWrap/>
          </w:tcPr>
          <w:p w14:paraId="4D3E4C50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CLI </w:t>
            </w:r>
            <w:proofErr w:type="spellStart"/>
            <w:r w:rsidRPr="00553FA0">
              <w:rPr>
                <w:rFonts w:eastAsia="Calibri"/>
                <w:lang w:val="en-US"/>
              </w:rPr>
              <w:t>rozhraní</w:t>
            </w:r>
            <w:proofErr w:type="spellEnd"/>
          </w:p>
        </w:tc>
        <w:tc>
          <w:tcPr>
            <w:tcW w:w="1061" w:type="pct"/>
          </w:tcPr>
          <w:p w14:paraId="6A026FE7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117D3AD5" w14:textId="77777777" w:rsidTr="000D1D3B">
        <w:trPr>
          <w:trHeight w:val="300"/>
        </w:trPr>
        <w:tc>
          <w:tcPr>
            <w:tcW w:w="3939" w:type="pct"/>
            <w:noWrap/>
          </w:tcPr>
          <w:p w14:paraId="56766A13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SNMPv2/v3</w:t>
            </w:r>
          </w:p>
        </w:tc>
        <w:tc>
          <w:tcPr>
            <w:tcW w:w="1061" w:type="pct"/>
          </w:tcPr>
          <w:p w14:paraId="17D04767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2FE77543" w14:textId="77777777" w:rsidTr="000D1D3B">
        <w:trPr>
          <w:trHeight w:val="300"/>
        </w:trPr>
        <w:tc>
          <w:tcPr>
            <w:tcW w:w="3939" w:type="pct"/>
            <w:noWrap/>
          </w:tcPr>
          <w:p w14:paraId="0C46B5CE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lastRenderedPageBreak/>
              <w:t xml:space="preserve">TACACS+ </w:t>
            </w:r>
            <w:proofErr w:type="spellStart"/>
            <w:r w:rsidRPr="00553FA0">
              <w:rPr>
                <w:rFonts w:eastAsia="Calibri"/>
                <w:lang w:val="en-US"/>
              </w:rPr>
              <w:t>nebo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RADIUS </w:t>
            </w:r>
            <w:proofErr w:type="spellStart"/>
            <w:r w:rsidRPr="00553FA0">
              <w:rPr>
                <w:rFonts w:eastAsia="Calibri"/>
                <w:lang w:val="en-US"/>
              </w:rPr>
              <w:t>klient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pro AAA (</w:t>
            </w:r>
            <w:proofErr w:type="spellStart"/>
            <w:r w:rsidRPr="00553FA0">
              <w:rPr>
                <w:rFonts w:eastAsia="Calibri"/>
                <w:lang w:val="en-US"/>
              </w:rPr>
              <w:t>autentizace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553FA0">
              <w:rPr>
                <w:rFonts w:eastAsia="Calibri"/>
                <w:lang w:val="en-US"/>
              </w:rPr>
              <w:t>autorizace</w:t>
            </w:r>
            <w:proofErr w:type="spellEnd"/>
            <w:r w:rsidRPr="00553FA0">
              <w:rPr>
                <w:rFonts w:eastAsia="Calibri"/>
                <w:lang w:val="en-US"/>
              </w:rPr>
              <w:t>, accounting)</w:t>
            </w:r>
          </w:p>
        </w:tc>
        <w:tc>
          <w:tcPr>
            <w:tcW w:w="1061" w:type="pct"/>
          </w:tcPr>
          <w:p w14:paraId="0FB94AB3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553FA0" w:rsidRPr="00553FA0" w14:paraId="06DAD94D" w14:textId="77777777" w:rsidTr="000D1D3B">
        <w:trPr>
          <w:trHeight w:val="300"/>
        </w:trPr>
        <w:tc>
          <w:tcPr>
            <w:tcW w:w="3939" w:type="pct"/>
            <w:noWrap/>
          </w:tcPr>
          <w:p w14:paraId="5D8A54D8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sFlow</w:t>
            </w:r>
            <w:proofErr w:type="spellEnd"/>
          </w:p>
        </w:tc>
        <w:tc>
          <w:tcPr>
            <w:tcW w:w="1061" w:type="pct"/>
          </w:tcPr>
          <w:p w14:paraId="1EE5C394" w14:textId="77777777" w:rsidR="00553FA0" w:rsidRPr="00553FA0" w:rsidRDefault="00553FA0" w:rsidP="00553FA0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0D1D3B" w:rsidRPr="003D20EF" w14:paraId="18005CEE" w14:textId="77777777" w:rsidTr="000D1D3B">
        <w:trPr>
          <w:trHeight w:val="300"/>
        </w:trPr>
        <w:tc>
          <w:tcPr>
            <w:tcW w:w="3939" w:type="pct"/>
            <w:noWrap/>
          </w:tcPr>
          <w:p w14:paraId="120C007A" w14:textId="77777777" w:rsidR="000D1D3B" w:rsidRPr="000D1D3B" w:rsidRDefault="000D1D3B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Minimální počet portů 10/100/1000Base-T s PoE+ napájením</w:t>
            </w:r>
          </w:p>
        </w:tc>
        <w:tc>
          <w:tcPr>
            <w:tcW w:w="1061" w:type="pct"/>
            <w:noWrap/>
          </w:tcPr>
          <w:p w14:paraId="717B0875" w14:textId="5A8ED493" w:rsidR="000D1D3B" w:rsidRPr="000D1D3B" w:rsidRDefault="00A30C56" w:rsidP="002F54C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48</w:t>
            </w:r>
          </w:p>
        </w:tc>
      </w:tr>
      <w:tr w:rsidR="000D1D3B" w:rsidRPr="00437CC8" w14:paraId="0EFF8B80" w14:textId="77777777" w:rsidTr="000D1D3B">
        <w:trPr>
          <w:trHeight w:val="300"/>
        </w:trPr>
        <w:tc>
          <w:tcPr>
            <w:tcW w:w="3939" w:type="pct"/>
            <w:noWrap/>
          </w:tcPr>
          <w:p w14:paraId="60F9C3A4" w14:textId="56A76DBA" w:rsidR="000D1D3B" w:rsidRPr="00D91456" w:rsidRDefault="000D1D3B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Minimální počet 1</w:t>
            </w:r>
            <w:r w:rsidR="00890FBF">
              <w:rPr>
                <w:rFonts w:eastAsia="Calibri"/>
              </w:rPr>
              <w:t>0</w:t>
            </w:r>
            <w:r w:rsidRPr="00D91456">
              <w:rPr>
                <w:rFonts w:eastAsia="Calibri"/>
              </w:rPr>
              <w:t xml:space="preserve">GE </w:t>
            </w:r>
            <w:proofErr w:type="spellStart"/>
            <w:r w:rsidRPr="00D91456">
              <w:rPr>
                <w:rFonts w:eastAsia="Calibri"/>
              </w:rPr>
              <w:t>uplink</w:t>
            </w:r>
            <w:proofErr w:type="spellEnd"/>
            <w:r w:rsidRPr="00D91456">
              <w:rPr>
                <w:rFonts w:eastAsia="Calibri"/>
              </w:rPr>
              <w:t xml:space="preserve"> portů s volitelným fyzickým rozhraním</w:t>
            </w:r>
          </w:p>
        </w:tc>
        <w:tc>
          <w:tcPr>
            <w:tcW w:w="1061" w:type="pct"/>
            <w:noWrap/>
          </w:tcPr>
          <w:p w14:paraId="68D358B8" w14:textId="77777777" w:rsidR="000D1D3B" w:rsidRPr="000D1D3B" w:rsidRDefault="000D1D3B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4</w:t>
            </w:r>
          </w:p>
        </w:tc>
      </w:tr>
      <w:tr w:rsidR="000D1D3B" w14:paraId="047A3421" w14:textId="77777777" w:rsidTr="000D1D3B">
        <w:trPr>
          <w:trHeight w:val="300"/>
        </w:trPr>
        <w:tc>
          <w:tcPr>
            <w:tcW w:w="3939" w:type="pct"/>
            <w:noWrap/>
          </w:tcPr>
          <w:p w14:paraId="7C975C40" w14:textId="77777777" w:rsidR="000D1D3B" w:rsidRPr="000D1D3B" w:rsidRDefault="000D1D3B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IEEE 802.3af</w:t>
            </w:r>
          </w:p>
        </w:tc>
        <w:tc>
          <w:tcPr>
            <w:tcW w:w="1061" w:type="pct"/>
            <w:noWrap/>
          </w:tcPr>
          <w:p w14:paraId="55BB10A4" w14:textId="77777777" w:rsidR="000D1D3B" w:rsidRPr="000D1D3B" w:rsidRDefault="000D1D3B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ANO</w:t>
            </w:r>
          </w:p>
        </w:tc>
      </w:tr>
      <w:tr w:rsidR="000D1D3B" w14:paraId="76C62D8B" w14:textId="77777777" w:rsidTr="000D1D3B">
        <w:trPr>
          <w:trHeight w:val="300"/>
        </w:trPr>
        <w:tc>
          <w:tcPr>
            <w:tcW w:w="3939" w:type="pct"/>
            <w:noWrap/>
          </w:tcPr>
          <w:p w14:paraId="5F2E9394" w14:textId="77777777" w:rsidR="000D1D3B" w:rsidRPr="000D1D3B" w:rsidRDefault="000D1D3B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IEEE 802.3at</w:t>
            </w:r>
          </w:p>
        </w:tc>
        <w:tc>
          <w:tcPr>
            <w:tcW w:w="1061" w:type="pct"/>
            <w:noWrap/>
          </w:tcPr>
          <w:p w14:paraId="18E07A72" w14:textId="77777777" w:rsidR="000D1D3B" w:rsidRPr="000D1D3B" w:rsidRDefault="000D1D3B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ANO</w:t>
            </w:r>
          </w:p>
        </w:tc>
      </w:tr>
      <w:tr w:rsidR="000D1D3B" w14:paraId="7C36C469" w14:textId="77777777" w:rsidTr="000D1D3B">
        <w:trPr>
          <w:trHeight w:val="300"/>
        </w:trPr>
        <w:tc>
          <w:tcPr>
            <w:tcW w:w="3939" w:type="pct"/>
            <w:noWrap/>
          </w:tcPr>
          <w:p w14:paraId="2BCE2E4D" w14:textId="77777777" w:rsidR="000D1D3B" w:rsidRPr="000D1D3B" w:rsidRDefault="000D1D3B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Minimální PoE budget</w:t>
            </w:r>
          </w:p>
        </w:tc>
        <w:tc>
          <w:tcPr>
            <w:tcW w:w="1061" w:type="pct"/>
            <w:noWrap/>
          </w:tcPr>
          <w:p w14:paraId="1FD2FCBE" w14:textId="5284B679" w:rsidR="000D1D3B" w:rsidRPr="000D1D3B" w:rsidRDefault="00670C69" w:rsidP="002F54CA">
            <w:pPr>
              <w:rPr>
                <w:rFonts w:eastAsia="Calibri"/>
                <w:lang w:val="en-US"/>
              </w:rPr>
            </w:pPr>
            <w:r w:rsidRPr="00617CD9">
              <w:rPr>
                <w:rFonts w:eastAsia="Calibri"/>
                <w:lang w:val="en-US"/>
              </w:rPr>
              <w:t>370</w:t>
            </w:r>
            <w:r w:rsidR="00EC5D1E">
              <w:rPr>
                <w:rFonts w:eastAsia="Calibri"/>
                <w:lang w:val="en-US"/>
              </w:rPr>
              <w:t xml:space="preserve"> </w:t>
            </w:r>
            <w:r w:rsidR="000D1D3B" w:rsidRPr="00617CD9">
              <w:rPr>
                <w:rFonts w:eastAsia="Calibri"/>
                <w:lang w:val="en-US"/>
              </w:rPr>
              <w:t xml:space="preserve">W </w:t>
            </w:r>
          </w:p>
        </w:tc>
      </w:tr>
      <w:tr w:rsidR="000D1D3B" w14:paraId="214B8636" w14:textId="77777777" w:rsidTr="000D1D3B">
        <w:trPr>
          <w:trHeight w:val="45"/>
        </w:trPr>
        <w:tc>
          <w:tcPr>
            <w:tcW w:w="3939" w:type="pct"/>
            <w:noWrap/>
          </w:tcPr>
          <w:p w14:paraId="5C19E39C" w14:textId="77777777" w:rsidR="000D1D3B" w:rsidRPr="00D91456" w:rsidRDefault="000D1D3B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Schopnost poskytovat </w:t>
            </w:r>
            <w:proofErr w:type="spellStart"/>
            <w:r w:rsidRPr="00D91456">
              <w:rPr>
                <w:rFonts w:eastAsia="Calibri"/>
              </w:rPr>
              <w:t>PoE</w:t>
            </w:r>
            <w:proofErr w:type="spellEnd"/>
            <w:r w:rsidRPr="00D91456">
              <w:rPr>
                <w:rFonts w:eastAsia="Calibri"/>
              </w:rPr>
              <w:t xml:space="preserve"> napájení připojeným zřízením i během restartu přepínače</w:t>
            </w:r>
          </w:p>
        </w:tc>
        <w:tc>
          <w:tcPr>
            <w:tcW w:w="1061" w:type="pct"/>
            <w:noWrap/>
          </w:tcPr>
          <w:p w14:paraId="683DAE10" w14:textId="77777777" w:rsidR="000D1D3B" w:rsidRPr="000D1D3B" w:rsidRDefault="000D1D3B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ANO</w:t>
            </w:r>
          </w:p>
        </w:tc>
      </w:tr>
      <w:tr w:rsidR="002F6C78" w14:paraId="3B21A092" w14:textId="77777777" w:rsidTr="002F6C78">
        <w:trPr>
          <w:trHeight w:val="45"/>
        </w:trPr>
        <w:tc>
          <w:tcPr>
            <w:tcW w:w="5000" w:type="pct"/>
            <w:gridSpan w:val="2"/>
            <w:noWrap/>
          </w:tcPr>
          <w:p w14:paraId="5DBAF4A2" w14:textId="77777777" w:rsidR="002F6C78" w:rsidRPr="00A54D67" w:rsidRDefault="002F6C78" w:rsidP="002F6C78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rate</w:t>
            </w:r>
            <w:proofErr w:type="spellEnd"/>
            <w:r w:rsidRPr="00A54D67">
              <w:rPr>
                <w:rFonts w:eastAsia="Calibri"/>
              </w:rPr>
              <w:t xml:space="preserve"> (64</w:t>
            </w:r>
            <w:r w:rsidRPr="00A54D67">
              <w:rPr>
                <w:rFonts w:ascii="Cambria Math" w:eastAsia="Calibri" w:hAnsi="Cambria Math" w:cs="Cambria Math"/>
              </w:rPr>
              <w:t>‑</w:t>
            </w:r>
            <w:r w:rsidRPr="00A54D67">
              <w:rPr>
                <w:rFonts w:eastAsia="Calibri"/>
              </w:rPr>
              <w:t xml:space="preserve">byte L3 </w:t>
            </w:r>
            <w:proofErr w:type="spellStart"/>
            <w:r w:rsidRPr="00A54D67">
              <w:rPr>
                <w:rFonts w:eastAsia="Calibri"/>
              </w:rPr>
              <w:t>packets</w:t>
            </w:r>
            <w:proofErr w:type="spellEnd"/>
            <w:r w:rsidRPr="00A54D67">
              <w:rPr>
                <w:rFonts w:eastAsia="Calibri"/>
              </w:rPr>
              <w:t xml:space="preserve">) 10G   min. 130 </w:t>
            </w:r>
            <w:proofErr w:type="spellStart"/>
            <w:r w:rsidRPr="00A54D67">
              <w:rPr>
                <w:rFonts w:eastAsia="Calibri"/>
              </w:rPr>
              <w:t>Mpps</w:t>
            </w:r>
            <w:proofErr w:type="spellEnd"/>
          </w:p>
          <w:p w14:paraId="6847CBE2" w14:textId="77777777" w:rsidR="002F6C78" w:rsidRPr="00A54D67" w:rsidRDefault="002F6C78" w:rsidP="002F6C78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rate</w:t>
            </w:r>
            <w:proofErr w:type="spellEnd"/>
            <w:r w:rsidRPr="00A54D67">
              <w:rPr>
                <w:rFonts w:eastAsia="Calibri"/>
              </w:rPr>
              <w:t xml:space="preserve"> (64</w:t>
            </w:r>
            <w:r w:rsidRPr="00A54D67">
              <w:rPr>
                <w:rFonts w:ascii="Cambria Math" w:eastAsia="Calibri" w:hAnsi="Cambria Math" w:cs="Cambria Math"/>
              </w:rPr>
              <w:t>‑</w:t>
            </w:r>
            <w:r w:rsidRPr="00A54D67">
              <w:rPr>
                <w:rFonts w:eastAsia="Calibri"/>
              </w:rPr>
              <w:t xml:space="preserve">byte L3 </w:t>
            </w:r>
            <w:proofErr w:type="spellStart"/>
            <w:r w:rsidRPr="00A54D67">
              <w:rPr>
                <w:rFonts w:eastAsia="Calibri"/>
              </w:rPr>
              <w:t>packets</w:t>
            </w:r>
            <w:proofErr w:type="spellEnd"/>
            <w:r w:rsidRPr="00A54D67">
              <w:rPr>
                <w:rFonts w:eastAsia="Calibri"/>
              </w:rPr>
              <w:t xml:space="preserve">) 1G     min. 77 </w:t>
            </w:r>
            <w:proofErr w:type="spellStart"/>
            <w:r w:rsidRPr="00A54D67">
              <w:rPr>
                <w:rFonts w:eastAsia="Calibri"/>
              </w:rPr>
              <w:t>Mpps</w:t>
            </w:r>
            <w:proofErr w:type="spellEnd"/>
          </w:p>
          <w:p w14:paraId="25657F8F" w14:textId="77777777" w:rsidR="002F6C78" w:rsidRPr="00A54D67" w:rsidRDefault="002F6C78" w:rsidP="002F6C78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Switching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 10</w:t>
            </w:r>
            <w:proofErr w:type="gramEnd"/>
            <w:r w:rsidRPr="00A54D67">
              <w:rPr>
                <w:rFonts w:eastAsia="Calibri"/>
              </w:rPr>
              <w:t xml:space="preserve">G     min.176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  <w:p w14:paraId="41DB5E5A" w14:textId="77777777" w:rsidR="002F6C78" w:rsidRPr="00A54D67" w:rsidRDefault="002F6C78" w:rsidP="002F6C78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Switching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 1</w:t>
            </w:r>
            <w:proofErr w:type="gramEnd"/>
            <w:r w:rsidRPr="00A54D67">
              <w:rPr>
                <w:rFonts w:eastAsia="Calibri"/>
              </w:rPr>
              <w:t xml:space="preserve">G       min.104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  <w:p w14:paraId="17BF6E87" w14:textId="77777777" w:rsidR="002F6C78" w:rsidRPr="00A54D67" w:rsidRDefault="002F6C78" w:rsidP="002F6C78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10G   min.88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  <w:p w14:paraId="5F6EDD03" w14:textId="25FFDDA1" w:rsidR="002F6C78" w:rsidRPr="00C50283" w:rsidRDefault="002F6C78" w:rsidP="002F6C78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1G     min.52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</w:tc>
      </w:tr>
      <w:tr w:rsidR="00EA5C79" w14:paraId="7A6910F3" w14:textId="77777777" w:rsidTr="00EA5C79">
        <w:trPr>
          <w:trHeight w:val="45"/>
        </w:trPr>
        <w:tc>
          <w:tcPr>
            <w:tcW w:w="5000" w:type="pct"/>
            <w:gridSpan w:val="2"/>
            <w:noWrap/>
          </w:tcPr>
          <w:p w14:paraId="75989A6C" w14:textId="29169520" w:rsidR="00EA5C79" w:rsidRDefault="008C588B" w:rsidP="002F54CA">
            <w:pPr>
              <w:rPr>
                <w:rFonts w:eastAsia="Calibri"/>
              </w:rPr>
            </w:pPr>
            <w:r>
              <w:t>Záruka 60 měsíců na hardware od ukončení prodeje daného modelu u dodavatele i výrobce.</w:t>
            </w:r>
          </w:p>
        </w:tc>
      </w:tr>
    </w:tbl>
    <w:p w14:paraId="70D498B1" w14:textId="77777777" w:rsidR="00BD6F07" w:rsidRDefault="00BD6F07">
      <w:pPr>
        <w:rPr>
          <w:rFonts w:ascii="Tahoma" w:eastAsia="Calibri" w:hAnsi="Tahoma" w:cs="Tahoma"/>
          <w:sz w:val="22"/>
          <w:szCs w:val="22"/>
        </w:rPr>
      </w:pPr>
    </w:p>
    <w:p w14:paraId="352B4DB7" w14:textId="4309C204" w:rsidR="00994A63" w:rsidRDefault="00994A63" w:rsidP="00994A63">
      <w:pPr>
        <w:pStyle w:val="Nadpis3"/>
      </w:pPr>
      <w:r>
        <w:rPr>
          <w:rFonts w:ascii="Tahoma" w:eastAsia="Calibri" w:hAnsi="Tahoma" w:cs="Tahoma"/>
          <w:sz w:val="22"/>
          <w:szCs w:val="22"/>
        </w:rPr>
        <w:t xml:space="preserve">4. </w:t>
      </w:r>
      <w:proofErr w:type="spellStart"/>
      <w:r w:rsidRPr="00BE1394">
        <w:t>Switch</w:t>
      </w:r>
      <w:proofErr w:type="spellEnd"/>
      <w:r w:rsidRPr="00BE1394">
        <w:t xml:space="preserve"> 48 </w:t>
      </w:r>
      <w:proofErr w:type="spellStart"/>
      <w:r w:rsidRPr="00BE1394">
        <w:t>ports</w:t>
      </w:r>
      <w:proofErr w:type="spellEnd"/>
    </w:p>
    <w:p w14:paraId="59513DE5" w14:textId="77777777" w:rsidR="00994A63" w:rsidRPr="00BE1394" w:rsidRDefault="00994A63" w:rsidP="00994A63">
      <w:pPr>
        <w:rPr>
          <w:rFonts w:eastAsia="Calibri"/>
        </w:rPr>
      </w:pPr>
    </w:p>
    <w:tbl>
      <w:tblPr>
        <w:tblStyle w:val="Mkatabulky"/>
        <w:tblW w:w="4988" w:type="pct"/>
        <w:tblLayout w:type="fixed"/>
        <w:tblLook w:val="04A0" w:firstRow="1" w:lastRow="0" w:firstColumn="1" w:lastColumn="0" w:noHBand="0" w:noVBand="1"/>
      </w:tblPr>
      <w:tblGrid>
        <w:gridCol w:w="7367"/>
        <w:gridCol w:w="1984"/>
      </w:tblGrid>
      <w:tr w:rsidR="00994A63" w:rsidRPr="00553FA0" w14:paraId="58279459" w14:textId="77777777" w:rsidTr="002F54CA">
        <w:trPr>
          <w:trHeight w:val="300"/>
        </w:trPr>
        <w:tc>
          <w:tcPr>
            <w:tcW w:w="3939" w:type="pct"/>
            <w:noWrap/>
            <w:hideMark/>
          </w:tcPr>
          <w:p w14:paraId="1CC060EC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Požadovaná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funkcionalita</w:t>
            </w:r>
            <w:proofErr w:type="spellEnd"/>
            <w:r w:rsidRPr="00553FA0">
              <w:rPr>
                <w:rFonts w:eastAsia="Calibri"/>
                <w:lang w:val="en-US"/>
              </w:rPr>
              <w:t>/</w:t>
            </w:r>
            <w:proofErr w:type="spellStart"/>
            <w:r w:rsidRPr="00553FA0">
              <w:rPr>
                <w:rFonts w:eastAsia="Calibri"/>
                <w:lang w:val="en-US"/>
              </w:rPr>
              <w:t>vlastnost</w:t>
            </w:r>
            <w:proofErr w:type="spellEnd"/>
          </w:p>
        </w:tc>
        <w:tc>
          <w:tcPr>
            <w:tcW w:w="1061" w:type="pct"/>
            <w:noWrap/>
            <w:hideMark/>
          </w:tcPr>
          <w:p w14:paraId="1B52F256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Upřesnění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funkcionality</w:t>
            </w:r>
            <w:proofErr w:type="spellEnd"/>
          </w:p>
        </w:tc>
      </w:tr>
      <w:tr w:rsidR="00994A63" w:rsidRPr="00553FA0" w14:paraId="03449453" w14:textId="77777777" w:rsidTr="002F54CA">
        <w:trPr>
          <w:trHeight w:val="300"/>
        </w:trPr>
        <w:tc>
          <w:tcPr>
            <w:tcW w:w="3939" w:type="pct"/>
            <w:noWrap/>
            <w:hideMark/>
          </w:tcPr>
          <w:p w14:paraId="017302A3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Základní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vlastnosti</w:t>
            </w:r>
            <w:proofErr w:type="spellEnd"/>
          </w:p>
        </w:tc>
        <w:tc>
          <w:tcPr>
            <w:tcW w:w="1061" w:type="pct"/>
            <w:hideMark/>
          </w:tcPr>
          <w:p w14:paraId="3438D4B3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 </w:t>
            </w:r>
          </w:p>
        </w:tc>
      </w:tr>
      <w:tr w:rsidR="00994A63" w:rsidRPr="00553FA0" w14:paraId="76515803" w14:textId="77777777" w:rsidTr="002F54CA">
        <w:trPr>
          <w:trHeight w:val="300"/>
        </w:trPr>
        <w:tc>
          <w:tcPr>
            <w:tcW w:w="3939" w:type="pct"/>
            <w:noWrap/>
            <w:hideMark/>
          </w:tcPr>
          <w:p w14:paraId="78FAE31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Třída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zařízení</w:t>
            </w:r>
            <w:proofErr w:type="spellEnd"/>
          </w:p>
        </w:tc>
        <w:tc>
          <w:tcPr>
            <w:tcW w:w="1061" w:type="pct"/>
            <w:hideMark/>
          </w:tcPr>
          <w:p w14:paraId="4BE6F4FC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LAN switch</w:t>
            </w:r>
          </w:p>
        </w:tc>
      </w:tr>
      <w:tr w:rsidR="00994A63" w:rsidRPr="00553FA0" w14:paraId="0D7877C6" w14:textId="77777777" w:rsidTr="002F54CA">
        <w:trPr>
          <w:trHeight w:val="300"/>
        </w:trPr>
        <w:tc>
          <w:tcPr>
            <w:tcW w:w="3939" w:type="pct"/>
            <w:noWrap/>
            <w:hideMark/>
          </w:tcPr>
          <w:p w14:paraId="29AA5D95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Formát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zařízení</w:t>
            </w:r>
            <w:proofErr w:type="spellEnd"/>
          </w:p>
        </w:tc>
        <w:tc>
          <w:tcPr>
            <w:tcW w:w="1061" w:type="pct"/>
            <w:hideMark/>
          </w:tcPr>
          <w:p w14:paraId="07D4E59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Fixní</w:t>
            </w:r>
            <w:proofErr w:type="spellEnd"/>
          </w:p>
        </w:tc>
      </w:tr>
      <w:tr w:rsidR="00994A63" w:rsidRPr="00553FA0" w14:paraId="646A4196" w14:textId="77777777" w:rsidTr="002F54CA">
        <w:trPr>
          <w:trHeight w:val="300"/>
        </w:trPr>
        <w:tc>
          <w:tcPr>
            <w:tcW w:w="3939" w:type="pct"/>
            <w:noWrap/>
          </w:tcPr>
          <w:p w14:paraId="3AC6164E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802.3az</w:t>
            </w:r>
          </w:p>
        </w:tc>
        <w:tc>
          <w:tcPr>
            <w:tcW w:w="1061" w:type="pct"/>
          </w:tcPr>
          <w:p w14:paraId="5C5282A1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1E215522" w14:textId="77777777" w:rsidTr="002F54CA">
        <w:trPr>
          <w:trHeight w:val="300"/>
        </w:trPr>
        <w:tc>
          <w:tcPr>
            <w:tcW w:w="3939" w:type="pct"/>
            <w:noWrap/>
          </w:tcPr>
          <w:p w14:paraId="5B63154C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802.3ad (Link Aggregation)</w:t>
            </w:r>
          </w:p>
        </w:tc>
        <w:tc>
          <w:tcPr>
            <w:tcW w:w="1061" w:type="pct"/>
          </w:tcPr>
          <w:p w14:paraId="0334DD7A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0125B83D" w14:textId="77777777" w:rsidTr="002F54CA">
        <w:trPr>
          <w:trHeight w:val="300"/>
        </w:trPr>
        <w:tc>
          <w:tcPr>
            <w:tcW w:w="3939" w:type="pct"/>
            <w:noWrap/>
          </w:tcPr>
          <w:p w14:paraId="7FCBBB96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802.1Q</w:t>
            </w:r>
          </w:p>
        </w:tc>
        <w:tc>
          <w:tcPr>
            <w:tcW w:w="1061" w:type="pct"/>
          </w:tcPr>
          <w:p w14:paraId="45E8703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3C1B1407" w14:textId="77777777" w:rsidTr="002F54CA">
        <w:trPr>
          <w:trHeight w:val="300"/>
        </w:trPr>
        <w:tc>
          <w:tcPr>
            <w:tcW w:w="3939" w:type="pct"/>
            <w:noWrap/>
          </w:tcPr>
          <w:p w14:paraId="1F19AFD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Minimální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počet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aktivních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VLAN</w:t>
            </w:r>
          </w:p>
        </w:tc>
        <w:tc>
          <w:tcPr>
            <w:tcW w:w="1061" w:type="pct"/>
          </w:tcPr>
          <w:p w14:paraId="377C7180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50</w:t>
            </w:r>
          </w:p>
        </w:tc>
      </w:tr>
      <w:tr w:rsidR="00994A63" w:rsidRPr="00553FA0" w14:paraId="253AEDE2" w14:textId="77777777" w:rsidTr="002F54CA">
        <w:trPr>
          <w:trHeight w:val="300"/>
        </w:trPr>
        <w:tc>
          <w:tcPr>
            <w:tcW w:w="3939" w:type="pct"/>
            <w:noWrap/>
          </w:tcPr>
          <w:p w14:paraId="75DC2E80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802.1x</w:t>
            </w:r>
          </w:p>
        </w:tc>
        <w:tc>
          <w:tcPr>
            <w:tcW w:w="1061" w:type="pct"/>
          </w:tcPr>
          <w:p w14:paraId="1AF0DC2A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6B2FD9C9" w14:textId="77777777" w:rsidTr="002F54CA">
        <w:trPr>
          <w:trHeight w:val="300"/>
        </w:trPr>
        <w:tc>
          <w:tcPr>
            <w:tcW w:w="3939" w:type="pct"/>
            <w:noWrap/>
            <w:vAlign w:val="center"/>
          </w:tcPr>
          <w:p w14:paraId="60C4BA89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Integrace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IEEE 802.1x s IP </w:t>
            </w:r>
            <w:proofErr w:type="spellStart"/>
            <w:r w:rsidRPr="00553FA0">
              <w:rPr>
                <w:rFonts w:eastAsia="Calibri"/>
                <w:lang w:val="en-US"/>
              </w:rPr>
              <w:t>telefonním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prostředím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(802.1x Multi-domain authentication)</w:t>
            </w:r>
          </w:p>
        </w:tc>
        <w:tc>
          <w:tcPr>
            <w:tcW w:w="1061" w:type="pct"/>
          </w:tcPr>
          <w:p w14:paraId="763505E3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7EEFEEBE" w14:textId="77777777" w:rsidTr="002F54CA">
        <w:trPr>
          <w:trHeight w:val="300"/>
        </w:trPr>
        <w:tc>
          <w:tcPr>
            <w:tcW w:w="3939" w:type="pct"/>
            <w:noWrap/>
          </w:tcPr>
          <w:p w14:paraId="25C2EBD5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IEEE 802.1x autentizace přepínače vůči nadřazenému přepínači, sdílení ověření koncových stanic</w:t>
            </w:r>
          </w:p>
        </w:tc>
        <w:tc>
          <w:tcPr>
            <w:tcW w:w="1061" w:type="pct"/>
          </w:tcPr>
          <w:p w14:paraId="41DE0EF0" w14:textId="77777777" w:rsidR="00994A63" w:rsidRPr="00D91456" w:rsidRDefault="00994A63" w:rsidP="002F54CA">
            <w:pPr>
              <w:rPr>
                <w:rFonts w:eastAsia="Calibri"/>
              </w:rPr>
            </w:pPr>
          </w:p>
        </w:tc>
      </w:tr>
      <w:tr w:rsidR="00994A63" w:rsidRPr="00553FA0" w14:paraId="4FD65B7E" w14:textId="77777777" w:rsidTr="002F54CA">
        <w:trPr>
          <w:trHeight w:val="300"/>
        </w:trPr>
        <w:tc>
          <w:tcPr>
            <w:tcW w:w="3939" w:type="pct"/>
            <w:noWrap/>
          </w:tcPr>
          <w:p w14:paraId="55A6DBE5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802.1w - Rapid Spanning Tree Protocol</w:t>
            </w:r>
          </w:p>
        </w:tc>
        <w:tc>
          <w:tcPr>
            <w:tcW w:w="1061" w:type="pct"/>
          </w:tcPr>
          <w:p w14:paraId="7D4EB72E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23936F5C" w14:textId="77777777" w:rsidTr="002F54CA">
        <w:trPr>
          <w:trHeight w:val="300"/>
        </w:trPr>
        <w:tc>
          <w:tcPr>
            <w:tcW w:w="3939" w:type="pct"/>
            <w:noWrap/>
          </w:tcPr>
          <w:p w14:paraId="6D80CD4F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Podpora instance Rapid Spanning Tree </w:t>
            </w:r>
            <w:proofErr w:type="spellStart"/>
            <w:r w:rsidRPr="00553FA0">
              <w:rPr>
                <w:rFonts w:eastAsia="Calibri"/>
                <w:lang w:val="en-US"/>
              </w:rPr>
              <w:t>protokolu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per VLAN </w:t>
            </w:r>
          </w:p>
        </w:tc>
        <w:tc>
          <w:tcPr>
            <w:tcW w:w="1061" w:type="pct"/>
          </w:tcPr>
          <w:p w14:paraId="0151360E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ANO, min. 50 </w:t>
            </w:r>
            <w:proofErr w:type="spellStart"/>
            <w:r w:rsidRPr="00553FA0">
              <w:rPr>
                <w:rFonts w:eastAsia="Calibri"/>
                <w:lang w:val="en-US"/>
              </w:rPr>
              <w:t>instancí</w:t>
            </w:r>
            <w:proofErr w:type="spellEnd"/>
          </w:p>
        </w:tc>
      </w:tr>
      <w:tr w:rsidR="00994A63" w:rsidRPr="00553FA0" w14:paraId="1CCC1994" w14:textId="77777777" w:rsidTr="002F54CA">
        <w:trPr>
          <w:trHeight w:val="300"/>
        </w:trPr>
        <w:tc>
          <w:tcPr>
            <w:tcW w:w="3939" w:type="pct"/>
            <w:noWrap/>
          </w:tcPr>
          <w:p w14:paraId="6A23DFB5" w14:textId="77777777" w:rsidR="00994A63" w:rsidRPr="00553FA0" w:rsidRDefault="00994A63" w:rsidP="002F54CA">
            <w:pPr>
              <w:rPr>
                <w:rFonts w:eastAsia="Calibri"/>
                <w:lang w:val="it-IT"/>
              </w:rPr>
            </w:pPr>
            <w:r w:rsidRPr="00553FA0">
              <w:rPr>
                <w:rFonts w:eastAsia="Calibri"/>
                <w:lang w:val="it-IT"/>
              </w:rPr>
              <w:t>Protokol MVRP nebo VTP pro definici a správu VLAN sítí</w:t>
            </w:r>
          </w:p>
        </w:tc>
        <w:tc>
          <w:tcPr>
            <w:tcW w:w="1061" w:type="pct"/>
          </w:tcPr>
          <w:p w14:paraId="7D4A0C70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08E4C570" w14:textId="77777777" w:rsidTr="002F54CA">
        <w:trPr>
          <w:trHeight w:val="300"/>
        </w:trPr>
        <w:tc>
          <w:tcPr>
            <w:tcW w:w="3939" w:type="pct"/>
            <w:noWrap/>
          </w:tcPr>
          <w:p w14:paraId="5CFE040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Podpora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jumbo </w:t>
            </w:r>
            <w:proofErr w:type="spellStart"/>
            <w:r w:rsidRPr="00553FA0">
              <w:rPr>
                <w:rFonts w:eastAsia="Calibri"/>
                <w:lang w:val="en-US"/>
              </w:rPr>
              <w:t>rámců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(9198 bytes)</w:t>
            </w:r>
          </w:p>
        </w:tc>
        <w:tc>
          <w:tcPr>
            <w:tcW w:w="1061" w:type="pct"/>
          </w:tcPr>
          <w:p w14:paraId="17ED626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1AF28B31" w14:textId="77777777" w:rsidTr="002F54CA">
        <w:trPr>
          <w:trHeight w:val="300"/>
        </w:trPr>
        <w:tc>
          <w:tcPr>
            <w:tcW w:w="3939" w:type="pct"/>
            <w:noWrap/>
          </w:tcPr>
          <w:p w14:paraId="4B77201F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Detekce protilehlého zařízení (např. CDP nebo LLDP)</w:t>
            </w:r>
          </w:p>
        </w:tc>
        <w:tc>
          <w:tcPr>
            <w:tcW w:w="1061" w:type="pct"/>
          </w:tcPr>
          <w:p w14:paraId="34181536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51DA1C37" w14:textId="77777777" w:rsidTr="002F54CA">
        <w:trPr>
          <w:trHeight w:val="300"/>
        </w:trPr>
        <w:tc>
          <w:tcPr>
            <w:tcW w:w="3939" w:type="pct"/>
            <w:noWrap/>
          </w:tcPr>
          <w:p w14:paraId="65D290B8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IGMP snooping</w:t>
            </w:r>
          </w:p>
        </w:tc>
        <w:tc>
          <w:tcPr>
            <w:tcW w:w="1061" w:type="pct"/>
          </w:tcPr>
          <w:p w14:paraId="5A06CC5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146E96B1" w14:textId="77777777" w:rsidTr="002F54CA">
        <w:trPr>
          <w:trHeight w:val="300"/>
        </w:trPr>
        <w:tc>
          <w:tcPr>
            <w:tcW w:w="3939" w:type="pct"/>
            <w:noWrap/>
          </w:tcPr>
          <w:p w14:paraId="3779586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IPv6 MLD snooping</w:t>
            </w:r>
          </w:p>
        </w:tc>
        <w:tc>
          <w:tcPr>
            <w:tcW w:w="1061" w:type="pct"/>
          </w:tcPr>
          <w:p w14:paraId="45421D65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7703D5D6" w14:textId="77777777" w:rsidTr="002F54CA">
        <w:trPr>
          <w:trHeight w:val="300"/>
        </w:trPr>
        <w:tc>
          <w:tcPr>
            <w:tcW w:w="3939" w:type="pct"/>
            <w:noWrap/>
          </w:tcPr>
          <w:p w14:paraId="7197C676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QoS - Strict Priority Queue </w:t>
            </w:r>
          </w:p>
        </w:tc>
        <w:tc>
          <w:tcPr>
            <w:tcW w:w="1061" w:type="pct"/>
          </w:tcPr>
          <w:p w14:paraId="66A5859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56F2D60B" w14:textId="77777777" w:rsidTr="002F54CA">
        <w:trPr>
          <w:trHeight w:val="300"/>
        </w:trPr>
        <w:tc>
          <w:tcPr>
            <w:tcW w:w="3939" w:type="pct"/>
            <w:noWrap/>
          </w:tcPr>
          <w:p w14:paraId="692F71F8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IPv6 PACL</w:t>
            </w:r>
          </w:p>
        </w:tc>
        <w:tc>
          <w:tcPr>
            <w:tcW w:w="1061" w:type="pct"/>
          </w:tcPr>
          <w:p w14:paraId="5C34216A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093F6000" w14:textId="77777777" w:rsidTr="002F54CA">
        <w:trPr>
          <w:trHeight w:val="300"/>
        </w:trPr>
        <w:tc>
          <w:tcPr>
            <w:tcW w:w="3939" w:type="pct"/>
            <w:noWrap/>
          </w:tcPr>
          <w:p w14:paraId="3D0A4B79" w14:textId="77777777" w:rsidR="00994A63" w:rsidRPr="00553FA0" w:rsidRDefault="00994A63" w:rsidP="002F54CA">
            <w:pPr>
              <w:rPr>
                <w:rFonts w:eastAsia="Calibri"/>
                <w:lang w:val="it-IT"/>
              </w:rPr>
            </w:pPr>
            <w:r w:rsidRPr="00553FA0">
              <w:rPr>
                <w:rFonts w:eastAsia="Calibri"/>
                <w:lang w:val="it-IT"/>
              </w:rPr>
              <w:t>Možnost definovat povolené MAC adresy na portu</w:t>
            </w:r>
          </w:p>
        </w:tc>
        <w:tc>
          <w:tcPr>
            <w:tcW w:w="1061" w:type="pct"/>
          </w:tcPr>
          <w:p w14:paraId="4EFE34E0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3B67ED18" w14:textId="77777777" w:rsidTr="002F54CA">
        <w:trPr>
          <w:trHeight w:val="300"/>
        </w:trPr>
        <w:tc>
          <w:tcPr>
            <w:tcW w:w="3939" w:type="pct"/>
            <w:noWrap/>
          </w:tcPr>
          <w:p w14:paraId="5F52A5AF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Port ACL</w:t>
            </w:r>
          </w:p>
        </w:tc>
        <w:tc>
          <w:tcPr>
            <w:tcW w:w="1061" w:type="pct"/>
          </w:tcPr>
          <w:p w14:paraId="00AB0192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32D1636E" w14:textId="77777777" w:rsidTr="002F54CA">
        <w:trPr>
          <w:trHeight w:val="300"/>
        </w:trPr>
        <w:tc>
          <w:tcPr>
            <w:tcW w:w="3939" w:type="pct"/>
            <w:noWrap/>
          </w:tcPr>
          <w:p w14:paraId="1CFF8E42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lastRenderedPageBreak/>
              <w:t xml:space="preserve">Bezpečnostní funkce umožňující ochranu proti připojení neautorizovaného DHCP serveru </w:t>
            </w:r>
          </w:p>
        </w:tc>
        <w:tc>
          <w:tcPr>
            <w:tcW w:w="1061" w:type="pct"/>
          </w:tcPr>
          <w:p w14:paraId="1301456F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2F214C7B" w14:textId="77777777" w:rsidTr="002F54CA">
        <w:trPr>
          <w:trHeight w:val="300"/>
        </w:trPr>
        <w:tc>
          <w:tcPr>
            <w:tcW w:w="3939" w:type="pct"/>
            <w:noWrap/>
          </w:tcPr>
          <w:p w14:paraId="25E03DF7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Bezpečnostní funkce umožňující inspekci provozu protokolu ARP </w:t>
            </w:r>
          </w:p>
        </w:tc>
        <w:tc>
          <w:tcPr>
            <w:tcW w:w="1061" w:type="pct"/>
          </w:tcPr>
          <w:p w14:paraId="26B5FFC1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67A7DB50" w14:textId="77777777" w:rsidTr="002F54CA">
        <w:trPr>
          <w:trHeight w:val="300"/>
        </w:trPr>
        <w:tc>
          <w:tcPr>
            <w:tcW w:w="3939" w:type="pct"/>
            <w:noWrap/>
          </w:tcPr>
          <w:p w14:paraId="2B7FDB75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Ochrana proti nahrání modifikovaného software do zařízení prostřednictvím image </w:t>
            </w:r>
            <w:proofErr w:type="spellStart"/>
            <w:proofErr w:type="gramStart"/>
            <w:r w:rsidRPr="00D91456">
              <w:rPr>
                <w:rFonts w:eastAsia="Calibri"/>
              </w:rPr>
              <w:t>signing</w:t>
            </w:r>
            <w:proofErr w:type="spellEnd"/>
            <w:r w:rsidRPr="00D91456">
              <w:rPr>
                <w:rFonts w:eastAsia="Calibri"/>
              </w:rPr>
              <w:t xml:space="preserve">  a</w:t>
            </w:r>
            <w:proofErr w:type="gramEnd"/>
            <w:r w:rsidRPr="00D91456">
              <w:rPr>
                <w:rFonts w:eastAsia="Calibri"/>
              </w:rPr>
              <w:t xml:space="preserve"> funkce </w:t>
            </w:r>
            <w:proofErr w:type="spellStart"/>
            <w:r w:rsidRPr="00D91456">
              <w:rPr>
                <w:rFonts w:eastAsia="Calibri"/>
              </w:rPr>
              <w:t>secure</w:t>
            </w:r>
            <w:proofErr w:type="spellEnd"/>
            <w:r w:rsidRPr="00D91456">
              <w:rPr>
                <w:rFonts w:eastAsia="Calibri"/>
              </w:rPr>
              <w:t xml:space="preserve"> </w:t>
            </w:r>
            <w:proofErr w:type="spellStart"/>
            <w:r w:rsidRPr="00D91456">
              <w:rPr>
                <w:rFonts w:eastAsia="Calibri"/>
              </w:rPr>
              <w:t>boot</w:t>
            </w:r>
            <w:proofErr w:type="spellEnd"/>
            <w:r w:rsidRPr="00D91456">
              <w:rPr>
                <w:rFonts w:eastAsia="Calibri"/>
              </w:rPr>
              <w:t xml:space="preserve">, která ověřuje autentičnost a integritu jak </w:t>
            </w:r>
            <w:proofErr w:type="spellStart"/>
            <w:r w:rsidRPr="00D91456">
              <w:rPr>
                <w:rFonts w:eastAsia="Calibri"/>
              </w:rPr>
              <w:t>bootloader</w:t>
            </w:r>
            <w:r w:rsidRPr="00553FA0">
              <w:rPr>
                <w:rFonts w:eastAsia="Calibri"/>
              </w:rPr>
              <w:t>ů</w:t>
            </w:r>
            <w:proofErr w:type="spellEnd"/>
            <w:r w:rsidRPr="00D91456">
              <w:rPr>
                <w:rFonts w:eastAsia="Calibri"/>
              </w:rPr>
              <w:t xml:space="preserve">, tak i samotného operačního systému zařízení prostřednictvím interních HW prostředků - tzv. </w:t>
            </w:r>
            <w:proofErr w:type="spellStart"/>
            <w:r w:rsidRPr="00D91456">
              <w:rPr>
                <w:rFonts w:eastAsia="Calibri"/>
              </w:rPr>
              <w:t>trusted</w:t>
            </w:r>
            <w:proofErr w:type="spellEnd"/>
            <w:r w:rsidRPr="00D91456">
              <w:rPr>
                <w:rFonts w:eastAsia="Calibri"/>
              </w:rPr>
              <w:t xml:space="preserve"> modulů</w:t>
            </w:r>
          </w:p>
        </w:tc>
        <w:tc>
          <w:tcPr>
            <w:tcW w:w="1061" w:type="pct"/>
          </w:tcPr>
          <w:p w14:paraId="6312EA00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2F534D62" w14:textId="77777777" w:rsidTr="002F54CA">
        <w:trPr>
          <w:trHeight w:val="300"/>
        </w:trPr>
        <w:tc>
          <w:tcPr>
            <w:tcW w:w="3939" w:type="pct"/>
            <w:noWrap/>
          </w:tcPr>
          <w:p w14:paraId="2D9579AF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HW </w:t>
            </w:r>
            <w:proofErr w:type="spellStart"/>
            <w:r w:rsidRPr="00D91456">
              <w:rPr>
                <w:rFonts w:eastAsia="Calibri"/>
              </w:rPr>
              <w:t>trusted</w:t>
            </w:r>
            <w:proofErr w:type="spellEnd"/>
            <w:r w:rsidRPr="00D91456">
              <w:rPr>
                <w:rFonts w:eastAsia="Calibri"/>
              </w:rPr>
              <w:t xml:space="preserve"> modul využíván pro bezpečné uložení hesel a šifrovacích klíčů</w:t>
            </w:r>
          </w:p>
        </w:tc>
        <w:tc>
          <w:tcPr>
            <w:tcW w:w="1061" w:type="pct"/>
          </w:tcPr>
          <w:p w14:paraId="5A69FE72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5AF7EF29" w14:textId="77777777" w:rsidTr="002F54CA">
        <w:trPr>
          <w:trHeight w:val="300"/>
        </w:trPr>
        <w:tc>
          <w:tcPr>
            <w:tcW w:w="3939" w:type="pct"/>
            <w:noWrap/>
          </w:tcPr>
          <w:p w14:paraId="29CC66A5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D91456">
              <w:rPr>
                <w:rFonts w:eastAsia="Calibri"/>
              </w:rPr>
              <w:t xml:space="preserve">Přepínač obsahuje </w:t>
            </w:r>
            <w:proofErr w:type="spellStart"/>
            <w:r w:rsidRPr="00D91456">
              <w:rPr>
                <w:rFonts w:eastAsia="Calibri"/>
              </w:rPr>
              <w:t>traceroute</w:t>
            </w:r>
            <w:proofErr w:type="spellEnd"/>
            <w:r w:rsidRPr="00D91456">
              <w:rPr>
                <w:rFonts w:eastAsia="Calibri"/>
              </w:rPr>
              <w:t xml:space="preserve"> utilitu operující na linkové vrstvě (nap</w:t>
            </w:r>
            <w:r w:rsidRPr="00553FA0">
              <w:rPr>
                <w:rFonts w:eastAsia="Calibri"/>
              </w:rPr>
              <w:t xml:space="preserve">ř. </w:t>
            </w:r>
            <w:r w:rsidRPr="00553FA0">
              <w:rPr>
                <w:rFonts w:eastAsia="Calibri"/>
                <w:lang w:val="en-US"/>
              </w:rPr>
              <w:t xml:space="preserve">Layer 2 traceroute </w:t>
            </w:r>
            <w:proofErr w:type="spellStart"/>
            <w:r w:rsidRPr="00553FA0">
              <w:rPr>
                <w:rFonts w:eastAsia="Calibri"/>
                <w:lang w:val="en-US"/>
              </w:rPr>
              <w:t>nebo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ekvivalentní</w:t>
            </w:r>
            <w:proofErr w:type="spellEnd"/>
            <w:r w:rsidRPr="00553FA0">
              <w:rPr>
                <w:rFonts w:eastAsia="Calibri"/>
                <w:lang w:val="en-US"/>
              </w:rPr>
              <w:t>)</w:t>
            </w:r>
          </w:p>
        </w:tc>
        <w:tc>
          <w:tcPr>
            <w:tcW w:w="1061" w:type="pct"/>
          </w:tcPr>
          <w:p w14:paraId="218A8AB4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2D16BD54" w14:textId="77777777" w:rsidTr="002F54CA">
        <w:trPr>
          <w:trHeight w:val="300"/>
        </w:trPr>
        <w:tc>
          <w:tcPr>
            <w:tcW w:w="3939" w:type="pct"/>
            <w:noWrap/>
          </w:tcPr>
          <w:p w14:paraId="749ED494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Schopnost automatické aplikace specifické konfigurace pro dané zařízení po detekci jeho připojení na portu</w:t>
            </w:r>
          </w:p>
        </w:tc>
        <w:tc>
          <w:tcPr>
            <w:tcW w:w="1061" w:type="pct"/>
          </w:tcPr>
          <w:p w14:paraId="0C4E260F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7F601E7E" w14:textId="77777777" w:rsidTr="002F54CA">
        <w:trPr>
          <w:trHeight w:val="300"/>
        </w:trPr>
        <w:tc>
          <w:tcPr>
            <w:tcW w:w="3939" w:type="pct"/>
            <w:noWrap/>
          </w:tcPr>
          <w:p w14:paraId="5C6A1BFA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Interní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nástroje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pro on-line </w:t>
            </w:r>
            <w:proofErr w:type="spellStart"/>
            <w:r w:rsidRPr="00553FA0">
              <w:rPr>
                <w:rFonts w:eastAsia="Calibri"/>
                <w:lang w:val="en-US"/>
              </w:rPr>
              <w:t>měření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kvality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síťové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infrastruktury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553FA0">
              <w:rPr>
                <w:rFonts w:eastAsia="Calibri"/>
                <w:lang w:val="en-US"/>
              </w:rPr>
              <w:t>např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. IP SLA </w:t>
            </w:r>
            <w:proofErr w:type="spellStart"/>
            <w:r w:rsidRPr="00553FA0">
              <w:rPr>
                <w:rFonts w:eastAsia="Calibri"/>
                <w:lang w:val="en-US"/>
              </w:rPr>
              <w:t>nebo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ekvivalentní</w:t>
            </w:r>
            <w:proofErr w:type="spellEnd"/>
          </w:p>
        </w:tc>
        <w:tc>
          <w:tcPr>
            <w:tcW w:w="1061" w:type="pct"/>
          </w:tcPr>
          <w:p w14:paraId="6DC02534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130C47DA" w14:textId="77777777" w:rsidTr="002F54CA">
        <w:trPr>
          <w:trHeight w:val="300"/>
        </w:trPr>
        <w:tc>
          <w:tcPr>
            <w:tcW w:w="3939" w:type="pct"/>
            <w:noWrap/>
          </w:tcPr>
          <w:p w14:paraId="257EC97A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DHCP server</w:t>
            </w:r>
          </w:p>
        </w:tc>
        <w:tc>
          <w:tcPr>
            <w:tcW w:w="1061" w:type="pct"/>
          </w:tcPr>
          <w:p w14:paraId="0C0410FC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4320C0F3" w14:textId="77777777" w:rsidTr="002F54CA">
        <w:trPr>
          <w:trHeight w:val="300"/>
        </w:trPr>
        <w:tc>
          <w:tcPr>
            <w:tcW w:w="3939" w:type="pct"/>
            <w:noWrap/>
          </w:tcPr>
          <w:p w14:paraId="592D216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SSHv2</w:t>
            </w:r>
          </w:p>
        </w:tc>
        <w:tc>
          <w:tcPr>
            <w:tcW w:w="1061" w:type="pct"/>
          </w:tcPr>
          <w:p w14:paraId="33684B62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79BD1987" w14:textId="77777777" w:rsidTr="002F54CA">
        <w:trPr>
          <w:trHeight w:val="300"/>
        </w:trPr>
        <w:tc>
          <w:tcPr>
            <w:tcW w:w="3939" w:type="pct"/>
            <w:noWrap/>
          </w:tcPr>
          <w:p w14:paraId="5A96F5A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CLI </w:t>
            </w:r>
            <w:proofErr w:type="spellStart"/>
            <w:r w:rsidRPr="00553FA0">
              <w:rPr>
                <w:rFonts w:eastAsia="Calibri"/>
                <w:lang w:val="en-US"/>
              </w:rPr>
              <w:t>rozhraní</w:t>
            </w:r>
            <w:proofErr w:type="spellEnd"/>
          </w:p>
        </w:tc>
        <w:tc>
          <w:tcPr>
            <w:tcW w:w="1061" w:type="pct"/>
          </w:tcPr>
          <w:p w14:paraId="6C5AFD8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777F3BB4" w14:textId="77777777" w:rsidTr="002F54CA">
        <w:trPr>
          <w:trHeight w:val="300"/>
        </w:trPr>
        <w:tc>
          <w:tcPr>
            <w:tcW w:w="3939" w:type="pct"/>
            <w:noWrap/>
          </w:tcPr>
          <w:p w14:paraId="6689490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SNMPv2/v3</w:t>
            </w:r>
          </w:p>
        </w:tc>
        <w:tc>
          <w:tcPr>
            <w:tcW w:w="1061" w:type="pct"/>
          </w:tcPr>
          <w:p w14:paraId="3BC45F0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0B86238E" w14:textId="77777777" w:rsidTr="002F54CA">
        <w:trPr>
          <w:trHeight w:val="300"/>
        </w:trPr>
        <w:tc>
          <w:tcPr>
            <w:tcW w:w="3939" w:type="pct"/>
            <w:noWrap/>
          </w:tcPr>
          <w:p w14:paraId="67225B41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TACACS+ </w:t>
            </w:r>
            <w:proofErr w:type="spellStart"/>
            <w:r w:rsidRPr="00553FA0">
              <w:rPr>
                <w:rFonts w:eastAsia="Calibri"/>
                <w:lang w:val="en-US"/>
              </w:rPr>
              <w:t>nebo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RADIUS </w:t>
            </w:r>
            <w:proofErr w:type="spellStart"/>
            <w:r w:rsidRPr="00553FA0">
              <w:rPr>
                <w:rFonts w:eastAsia="Calibri"/>
                <w:lang w:val="en-US"/>
              </w:rPr>
              <w:t>klient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pro AAA (</w:t>
            </w:r>
            <w:proofErr w:type="spellStart"/>
            <w:r w:rsidRPr="00553FA0">
              <w:rPr>
                <w:rFonts w:eastAsia="Calibri"/>
                <w:lang w:val="en-US"/>
              </w:rPr>
              <w:t>autentizace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553FA0">
              <w:rPr>
                <w:rFonts w:eastAsia="Calibri"/>
                <w:lang w:val="en-US"/>
              </w:rPr>
              <w:t>autorizace</w:t>
            </w:r>
            <w:proofErr w:type="spellEnd"/>
            <w:r w:rsidRPr="00553FA0">
              <w:rPr>
                <w:rFonts w:eastAsia="Calibri"/>
                <w:lang w:val="en-US"/>
              </w:rPr>
              <w:t>, accounting)</w:t>
            </w:r>
          </w:p>
        </w:tc>
        <w:tc>
          <w:tcPr>
            <w:tcW w:w="1061" w:type="pct"/>
          </w:tcPr>
          <w:p w14:paraId="2C13B7F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7BDCBBBE" w14:textId="77777777" w:rsidTr="002F54CA">
        <w:trPr>
          <w:trHeight w:val="300"/>
        </w:trPr>
        <w:tc>
          <w:tcPr>
            <w:tcW w:w="3939" w:type="pct"/>
            <w:noWrap/>
          </w:tcPr>
          <w:p w14:paraId="340EAC5E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sFlow</w:t>
            </w:r>
            <w:proofErr w:type="spellEnd"/>
          </w:p>
        </w:tc>
        <w:tc>
          <w:tcPr>
            <w:tcW w:w="1061" w:type="pct"/>
          </w:tcPr>
          <w:p w14:paraId="31F76B50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3D20EF" w14:paraId="723EB0ED" w14:textId="77777777" w:rsidTr="002F54CA">
        <w:trPr>
          <w:trHeight w:val="300"/>
        </w:trPr>
        <w:tc>
          <w:tcPr>
            <w:tcW w:w="3939" w:type="pct"/>
            <w:noWrap/>
          </w:tcPr>
          <w:p w14:paraId="5E1B6680" w14:textId="6A7CE42F" w:rsidR="00994A63" w:rsidRPr="000D1D3B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0D1D3B">
              <w:rPr>
                <w:rFonts w:eastAsia="Calibri"/>
                <w:lang w:val="en-US"/>
              </w:rPr>
              <w:t>Minimální</w:t>
            </w:r>
            <w:proofErr w:type="spellEnd"/>
            <w:r w:rsidRPr="000D1D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D1D3B">
              <w:rPr>
                <w:rFonts w:eastAsia="Calibri"/>
                <w:lang w:val="en-US"/>
              </w:rPr>
              <w:t>počet</w:t>
            </w:r>
            <w:proofErr w:type="spellEnd"/>
            <w:r w:rsidRPr="000D1D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D1D3B">
              <w:rPr>
                <w:rFonts w:eastAsia="Calibri"/>
                <w:lang w:val="en-US"/>
              </w:rPr>
              <w:t>portů</w:t>
            </w:r>
            <w:proofErr w:type="spellEnd"/>
            <w:r w:rsidRPr="000D1D3B">
              <w:rPr>
                <w:rFonts w:eastAsia="Calibri"/>
                <w:lang w:val="en-US"/>
              </w:rPr>
              <w:t xml:space="preserve"> 10/100/1000Base-T </w:t>
            </w:r>
          </w:p>
        </w:tc>
        <w:tc>
          <w:tcPr>
            <w:tcW w:w="1061" w:type="pct"/>
            <w:noWrap/>
          </w:tcPr>
          <w:p w14:paraId="5C382DB7" w14:textId="77777777" w:rsidR="00994A63" w:rsidRPr="000D1D3B" w:rsidRDefault="00994A63" w:rsidP="002F54C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48</w:t>
            </w:r>
          </w:p>
        </w:tc>
      </w:tr>
      <w:tr w:rsidR="00994A63" w:rsidRPr="00437CC8" w14:paraId="2D84E7B9" w14:textId="77777777" w:rsidTr="002F54CA">
        <w:trPr>
          <w:trHeight w:val="300"/>
        </w:trPr>
        <w:tc>
          <w:tcPr>
            <w:tcW w:w="3939" w:type="pct"/>
            <w:noWrap/>
          </w:tcPr>
          <w:p w14:paraId="6A166011" w14:textId="70296583" w:rsidR="00994A63" w:rsidRPr="00994A63" w:rsidRDefault="00994A63" w:rsidP="002F54CA">
            <w:pPr>
              <w:rPr>
                <w:rFonts w:eastAsia="Calibri"/>
              </w:rPr>
            </w:pPr>
            <w:r w:rsidRPr="00994A63">
              <w:rPr>
                <w:rFonts w:eastAsia="Calibri"/>
              </w:rPr>
              <w:t>Minimální počet 1</w:t>
            </w:r>
            <w:r w:rsidR="00890FBF">
              <w:rPr>
                <w:rFonts w:eastAsia="Calibri"/>
              </w:rPr>
              <w:t>0</w:t>
            </w:r>
            <w:r w:rsidRPr="00994A63">
              <w:rPr>
                <w:rFonts w:eastAsia="Calibri"/>
              </w:rPr>
              <w:t xml:space="preserve">GE </w:t>
            </w:r>
            <w:proofErr w:type="spellStart"/>
            <w:r w:rsidRPr="00994A63">
              <w:rPr>
                <w:rFonts w:eastAsia="Calibri"/>
              </w:rPr>
              <w:t>uplink</w:t>
            </w:r>
            <w:proofErr w:type="spellEnd"/>
            <w:r w:rsidRPr="00994A63">
              <w:rPr>
                <w:rFonts w:eastAsia="Calibri"/>
              </w:rPr>
              <w:t xml:space="preserve"> portů s volitelným fyzickým rozhraním</w:t>
            </w:r>
          </w:p>
        </w:tc>
        <w:tc>
          <w:tcPr>
            <w:tcW w:w="1061" w:type="pct"/>
            <w:noWrap/>
          </w:tcPr>
          <w:p w14:paraId="777062A2" w14:textId="77777777" w:rsidR="00994A63" w:rsidRPr="000D1D3B" w:rsidRDefault="00994A63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4</w:t>
            </w:r>
          </w:p>
        </w:tc>
      </w:tr>
      <w:tr w:rsidR="00994A63" w14:paraId="55AA72EB" w14:textId="77777777" w:rsidTr="002F54CA">
        <w:trPr>
          <w:trHeight w:val="300"/>
        </w:trPr>
        <w:tc>
          <w:tcPr>
            <w:tcW w:w="3939" w:type="pct"/>
            <w:noWrap/>
          </w:tcPr>
          <w:p w14:paraId="5EBA7C3F" w14:textId="77777777" w:rsidR="00994A63" w:rsidRPr="000D1D3B" w:rsidRDefault="00994A63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IEEE 802.3af</w:t>
            </w:r>
          </w:p>
        </w:tc>
        <w:tc>
          <w:tcPr>
            <w:tcW w:w="1061" w:type="pct"/>
            <w:noWrap/>
          </w:tcPr>
          <w:p w14:paraId="333D6723" w14:textId="77777777" w:rsidR="00994A63" w:rsidRPr="000D1D3B" w:rsidRDefault="00994A63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ANO</w:t>
            </w:r>
          </w:p>
        </w:tc>
      </w:tr>
      <w:tr w:rsidR="00994A63" w14:paraId="7325305B" w14:textId="77777777" w:rsidTr="002F54CA">
        <w:trPr>
          <w:trHeight w:val="300"/>
        </w:trPr>
        <w:tc>
          <w:tcPr>
            <w:tcW w:w="3939" w:type="pct"/>
            <w:noWrap/>
          </w:tcPr>
          <w:p w14:paraId="07078CF9" w14:textId="77777777" w:rsidR="00994A63" w:rsidRPr="000D1D3B" w:rsidRDefault="00994A63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IEEE 802.3at</w:t>
            </w:r>
          </w:p>
        </w:tc>
        <w:tc>
          <w:tcPr>
            <w:tcW w:w="1061" w:type="pct"/>
            <w:noWrap/>
          </w:tcPr>
          <w:p w14:paraId="47B7D9A3" w14:textId="77777777" w:rsidR="00994A63" w:rsidRPr="000D1D3B" w:rsidRDefault="00994A63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ANO</w:t>
            </w:r>
          </w:p>
        </w:tc>
      </w:tr>
      <w:tr w:rsidR="001D1F25" w14:paraId="655E0D34" w14:textId="77777777" w:rsidTr="001D1F25">
        <w:trPr>
          <w:trHeight w:val="45"/>
        </w:trPr>
        <w:tc>
          <w:tcPr>
            <w:tcW w:w="5000" w:type="pct"/>
            <w:gridSpan w:val="2"/>
            <w:noWrap/>
          </w:tcPr>
          <w:p w14:paraId="1D07321A" w14:textId="77777777" w:rsidR="00A54D67" w:rsidRPr="00A54D67" w:rsidRDefault="00A54D67" w:rsidP="00A54D67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rate</w:t>
            </w:r>
            <w:proofErr w:type="spellEnd"/>
            <w:r w:rsidRPr="00A54D67">
              <w:rPr>
                <w:rFonts w:eastAsia="Calibri"/>
              </w:rPr>
              <w:t xml:space="preserve"> (64</w:t>
            </w:r>
            <w:r w:rsidRPr="00A54D67">
              <w:rPr>
                <w:rFonts w:ascii="Cambria Math" w:eastAsia="Calibri" w:hAnsi="Cambria Math" w:cs="Cambria Math"/>
              </w:rPr>
              <w:t>‑</w:t>
            </w:r>
            <w:r w:rsidRPr="00A54D67">
              <w:rPr>
                <w:rFonts w:eastAsia="Calibri"/>
              </w:rPr>
              <w:t xml:space="preserve">byte L3 </w:t>
            </w:r>
            <w:proofErr w:type="spellStart"/>
            <w:r w:rsidRPr="00A54D67">
              <w:rPr>
                <w:rFonts w:eastAsia="Calibri"/>
              </w:rPr>
              <w:t>packets</w:t>
            </w:r>
            <w:proofErr w:type="spellEnd"/>
            <w:r w:rsidRPr="00A54D67">
              <w:rPr>
                <w:rFonts w:eastAsia="Calibri"/>
              </w:rPr>
              <w:t xml:space="preserve">) 10G   min. 130 </w:t>
            </w:r>
            <w:proofErr w:type="spellStart"/>
            <w:r w:rsidRPr="00A54D67">
              <w:rPr>
                <w:rFonts w:eastAsia="Calibri"/>
              </w:rPr>
              <w:t>Mpps</w:t>
            </w:r>
            <w:proofErr w:type="spellEnd"/>
          </w:p>
          <w:p w14:paraId="5245E7A7" w14:textId="77777777" w:rsidR="00A54D67" w:rsidRPr="00A54D67" w:rsidRDefault="00A54D67" w:rsidP="00A54D67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rate</w:t>
            </w:r>
            <w:proofErr w:type="spellEnd"/>
            <w:r w:rsidRPr="00A54D67">
              <w:rPr>
                <w:rFonts w:eastAsia="Calibri"/>
              </w:rPr>
              <w:t xml:space="preserve"> (64</w:t>
            </w:r>
            <w:r w:rsidRPr="00A54D67">
              <w:rPr>
                <w:rFonts w:ascii="Cambria Math" w:eastAsia="Calibri" w:hAnsi="Cambria Math" w:cs="Cambria Math"/>
              </w:rPr>
              <w:t>‑</w:t>
            </w:r>
            <w:r w:rsidRPr="00A54D67">
              <w:rPr>
                <w:rFonts w:eastAsia="Calibri"/>
              </w:rPr>
              <w:t xml:space="preserve">byte L3 </w:t>
            </w:r>
            <w:proofErr w:type="spellStart"/>
            <w:r w:rsidRPr="00A54D67">
              <w:rPr>
                <w:rFonts w:eastAsia="Calibri"/>
              </w:rPr>
              <w:t>packets</w:t>
            </w:r>
            <w:proofErr w:type="spellEnd"/>
            <w:r w:rsidRPr="00A54D67">
              <w:rPr>
                <w:rFonts w:eastAsia="Calibri"/>
              </w:rPr>
              <w:t xml:space="preserve">) 1G     min. 77 </w:t>
            </w:r>
            <w:proofErr w:type="spellStart"/>
            <w:r w:rsidRPr="00A54D67">
              <w:rPr>
                <w:rFonts w:eastAsia="Calibri"/>
              </w:rPr>
              <w:t>Mpps</w:t>
            </w:r>
            <w:proofErr w:type="spellEnd"/>
          </w:p>
          <w:p w14:paraId="7104F011" w14:textId="77777777" w:rsidR="00A54D67" w:rsidRPr="00A54D67" w:rsidRDefault="00A54D67" w:rsidP="00A54D67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Switching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 10</w:t>
            </w:r>
            <w:proofErr w:type="gramEnd"/>
            <w:r w:rsidRPr="00A54D67">
              <w:rPr>
                <w:rFonts w:eastAsia="Calibri"/>
              </w:rPr>
              <w:t xml:space="preserve">G     min.176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  <w:p w14:paraId="302F5A15" w14:textId="77777777" w:rsidR="00A54D67" w:rsidRPr="00A54D67" w:rsidRDefault="00A54D67" w:rsidP="00A54D67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Switching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 1</w:t>
            </w:r>
            <w:proofErr w:type="gramEnd"/>
            <w:r w:rsidRPr="00A54D67">
              <w:rPr>
                <w:rFonts w:eastAsia="Calibri"/>
              </w:rPr>
              <w:t xml:space="preserve">G       min.104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  <w:p w14:paraId="1F1B721E" w14:textId="77777777" w:rsidR="00A54D67" w:rsidRPr="00A54D67" w:rsidRDefault="00A54D67" w:rsidP="00A54D67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10G   min.88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  <w:p w14:paraId="28C33F3F" w14:textId="3CEFAFDD" w:rsidR="001D1F25" w:rsidRPr="00C50283" w:rsidRDefault="00A54D67" w:rsidP="00A54D67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1G     min.52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</w:tc>
      </w:tr>
      <w:tr w:rsidR="00EA5C79" w14:paraId="5A60607C" w14:textId="77777777" w:rsidTr="00EA5C79">
        <w:trPr>
          <w:trHeight w:val="45"/>
        </w:trPr>
        <w:tc>
          <w:tcPr>
            <w:tcW w:w="5000" w:type="pct"/>
            <w:gridSpan w:val="2"/>
            <w:noWrap/>
          </w:tcPr>
          <w:p w14:paraId="677DA644" w14:textId="1A140E82" w:rsidR="00EA5C79" w:rsidRDefault="007A155C" w:rsidP="002F54CA">
            <w:pPr>
              <w:rPr>
                <w:rFonts w:eastAsia="Calibri"/>
              </w:rPr>
            </w:pPr>
            <w:r>
              <w:t xml:space="preserve">Záruka </w:t>
            </w:r>
            <w:r w:rsidR="008C588B">
              <w:t>60 měsíců na hardware od ukončení prodeje daného modelu</w:t>
            </w:r>
            <w:r w:rsidR="00EA5C79">
              <w:t xml:space="preserve"> u dodavatele i výrobce.</w:t>
            </w:r>
          </w:p>
        </w:tc>
      </w:tr>
    </w:tbl>
    <w:p w14:paraId="642D825E" w14:textId="77777777" w:rsidR="00994A63" w:rsidRDefault="00994A63" w:rsidP="00994A63">
      <w:pPr>
        <w:rPr>
          <w:rFonts w:ascii="Tahoma" w:eastAsia="Calibri" w:hAnsi="Tahoma" w:cs="Tahoma"/>
          <w:sz w:val="22"/>
          <w:szCs w:val="22"/>
        </w:rPr>
      </w:pPr>
    </w:p>
    <w:p w14:paraId="0511688E" w14:textId="73C25572" w:rsidR="00E46250" w:rsidRDefault="00E46250" w:rsidP="00E46250">
      <w:pPr>
        <w:pStyle w:val="Nadpis3"/>
      </w:pPr>
      <w:r>
        <w:rPr>
          <w:rFonts w:ascii="Tahoma" w:eastAsia="Calibri" w:hAnsi="Tahoma" w:cs="Tahoma"/>
          <w:sz w:val="22"/>
          <w:szCs w:val="22"/>
        </w:rPr>
        <w:t xml:space="preserve">5. </w:t>
      </w:r>
      <w:r w:rsidRPr="00E46250">
        <w:t>SFP modul</w:t>
      </w:r>
    </w:p>
    <w:p w14:paraId="26944A5D" w14:textId="77777777" w:rsidR="0031749B" w:rsidRPr="0031749B" w:rsidRDefault="0031749B" w:rsidP="0031749B"/>
    <w:p w14:paraId="45CC21AD" w14:textId="77777777" w:rsidR="00FC3C90" w:rsidRPr="00B934BE" w:rsidRDefault="002E0019">
      <w:pPr>
        <w:rPr>
          <w:rStyle w:val="dot"/>
        </w:rPr>
      </w:pPr>
      <w:r w:rsidRPr="00B934BE">
        <w:rPr>
          <w:rStyle w:val="dot"/>
        </w:rPr>
        <w:t xml:space="preserve">Zásuvný modul </w:t>
      </w:r>
      <w:r w:rsidR="006718BD" w:rsidRPr="00B934BE">
        <w:rPr>
          <w:rStyle w:val="dot"/>
        </w:rPr>
        <w:t xml:space="preserve">určený pro switche. </w:t>
      </w:r>
    </w:p>
    <w:p w14:paraId="5D0448EC" w14:textId="7BDC63EA" w:rsidR="00FC3C90" w:rsidRPr="00B934BE" w:rsidRDefault="00DC1315">
      <w:pPr>
        <w:rPr>
          <w:rStyle w:val="dot"/>
        </w:rPr>
      </w:pPr>
      <w:r w:rsidRPr="00DC1315">
        <w:rPr>
          <w:rStyle w:val="dot"/>
        </w:rPr>
        <w:t xml:space="preserve">SFP+ modul 10Gb/s </w:t>
      </w:r>
      <w:r w:rsidR="008C7E42">
        <w:rPr>
          <w:rStyle w:val="dot"/>
        </w:rPr>
        <w:t>na vzdálenost 10 km</w:t>
      </w:r>
      <w:r w:rsidR="00F70753">
        <w:rPr>
          <w:rStyle w:val="dot"/>
        </w:rPr>
        <w:t xml:space="preserve">, </w:t>
      </w:r>
      <w:r w:rsidRPr="00DC1315">
        <w:rPr>
          <w:rStyle w:val="dot"/>
        </w:rPr>
        <w:t>SM LC</w:t>
      </w:r>
      <w:r w:rsidR="00C9266C">
        <w:rPr>
          <w:rStyle w:val="dot"/>
        </w:rPr>
        <w:t>.</w:t>
      </w:r>
      <w:r w:rsidRPr="00DC1315">
        <w:rPr>
          <w:rStyle w:val="dot"/>
        </w:rPr>
        <w:t xml:space="preserve"> </w:t>
      </w:r>
      <w:r w:rsidR="00C9266C">
        <w:rPr>
          <w:rStyle w:val="dot"/>
        </w:rPr>
        <w:br/>
        <w:t xml:space="preserve">Modul </w:t>
      </w:r>
      <w:r w:rsidRPr="00DC1315">
        <w:rPr>
          <w:rStyle w:val="dot"/>
        </w:rPr>
        <w:t>kompatibilní s dodanými prvky (položka 2., 3. a 4.)</w:t>
      </w:r>
      <w:r w:rsidR="00C9266C">
        <w:rPr>
          <w:rStyle w:val="dot"/>
        </w:rPr>
        <w:t>.</w:t>
      </w:r>
      <w:r w:rsidR="008C7E42">
        <w:rPr>
          <w:rStyle w:val="dot"/>
        </w:rPr>
        <w:t xml:space="preserve"> </w:t>
      </w:r>
      <w:r w:rsidR="00F70753">
        <w:rPr>
          <w:rStyle w:val="dot"/>
        </w:rPr>
        <w:t>P</w:t>
      </w:r>
      <w:r w:rsidR="008C7E42">
        <w:t>řipouští</w:t>
      </w:r>
      <w:r w:rsidR="00F70753">
        <w:t>me</w:t>
      </w:r>
      <w:r w:rsidR="008C7E42">
        <w:t xml:space="preserve"> OEM verzi</w:t>
      </w:r>
      <w:r w:rsidR="00F70753">
        <w:t>.</w:t>
      </w:r>
    </w:p>
    <w:p w14:paraId="48E0822C" w14:textId="77777777" w:rsidR="00FB73AA" w:rsidRDefault="00FB73AA">
      <w:pPr>
        <w:rPr>
          <w:rFonts w:ascii="Tahoma" w:eastAsia="Calibri" w:hAnsi="Tahoma" w:cs="Tahoma"/>
          <w:sz w:val="22"/>
          <w:szCs w:val="22"/>
        </w:rPr>
      </w:pPr>
    </w:p>
    <w:p w14:paraId="297D7B3B" w14:textId="1E2C5F44" w:rsidR="00FB73AA" w:rsidRDefault="00FB73AA" w:rsidP="00FB73AA">
      <w:pPr>
        <w:pStyle w:val="Nadpis3"/>
      </w:pPr>
      <w:r>
        <w:rPr>
          <w:rFonts w:ascii="Tahoma" w:eastAsia="Calibri" w:hAnsi="Tahoma" w:cs="Tahoma"/>
          <w:sz w:val="22"/>
          <w:szCs w:val="22"/>
        </w:rPr>
        <w:t xml:space="preserve">6. </w:t>
      </w:r>
      <w:r w:rsidR="009336E9" w:rsidRPr="009336E9">
        <w:t xml:space="preserve">NAS uložiště s 10 </w:t>
      </w:r>
      <w:proofErr w:type="spellStart"/>
      <w:r w:rsidR="009336E9" w:rsidRPr="009336E9">
        <w:t>Gb</w:t>
      </w:r>
      <w:proofErr w:type="spellEnd"/>
      <w:r w:rsidR="009336E9" w:rsidRPr="009336E9">
        <w:t xml:space="preserve"> síťovou kartou a disky</w:t>
      </w:r>
    </w:p>
    <w:p w14:paraId="18C96230" w14:textId="77777777" w:rsidR="0031749B" w:rsidRPr="0031749B" w:rsidRDefault="0031749B" w:rsidP="0031749B"/>
    <w:tbl>
      <w:tblPr>
        <w:tblW w:w="9346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  <w:gridCol w:w="3597"/>
      </w:tblGrid>
      <w:tr w:rsidR="008D5724" w:rsidRPr="008D5724" w14:paraId="1269FF76" w14:textId="77777777" w:rsidTr="008D5724">
        <w:trPr>
          <w:trHeight w:val="153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9103C0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Zařízení určené pro montáž do 19” datového rozvaděče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49C07A" w14:textId="347D3C8D" w:rsidR="008D5724" w:rsidRPr="008D5724" w:rsidRDefault="008D5724" w:rsidP="008D5724">
            <w:pPr>
              <w:rPr>
                <w:rStyle w:val="dot"/>
              </w:rPr>
            </w:pPr>
            <w:r>
              <w:rPr>
                <w:rStyle w:val="dot"/>
              </w:rPr>
              <w:t>NE</w:t>
            </w:r>
          </w:p>
        </w:tc>
      </w:tr>
      <w:tr w:rsidR="008D5724" w:rsidRPr="008D5724" w14:paraId="26FCDA59" w14:textId="77777777" w:rsidTr="008D5724">
        <w:trPr>
          <w:trHeight w:val="19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A602EE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Paměť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CB2FFC" w14:textId="79CCEF15" w:rsidR="008D5724" w:rsidRPr="008D5724" w:rsidRDefault="005456F8" w:rsidP="008D5724">
            <w:pPr>
              <w:rPr>
                <w:rStyle w:val="dot"/>
              </w:rPr>
            </w:pPr>
            <w:r>
              <w:rPr>
                <w:rStyle w:val="dot"/>
              </w:rPr>
              <w:t xml:space="preserve">4 </w:t>
            </w:r>
            <w:r w:rsidR="008D5724" w:rsidRPr="008D5724">
              <w:rPr>
                <w:rStyle w:val="dot"/>
              </w:rPr>
              <w:t>GB</w:t>
            </w:r>
            <w:r>
              <w:rPr>
                <w:rStyle w:val="dot"/>
              </w:rPr>
              <w:t xml:space="preserve"> (roz</w:t>
            </w:r>
            <w:r w:rsidR="004E00A3">
              <w:rPr>
                <w:rStyle w:val="dot"/>
              </w:rPr>
              <w:t>šířitelné na 32 GB)</w:t>
            </w:r>
          </w:p>
        </w:tc>
      </w:tr>
      <w:tr w:rsidR="008D5724" w:rsidRPr="008D5724" w14:paraId="2DB8E0FA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514F4A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Pozice pro pevné disky 3,5” nebo 2,5”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5BA43F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4</w:t>
            </w:r>
          </w:p>
        </w:tc>
      </w:tr>
      <w:tr w:rsidR="006D17B3" w:rsidRPr="008D5724" w14:paraId="50090BED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41A957" w14:textId="5BB35382" w:rsidR="006D17B3" w:rsidRPr="008D5724" w:rsidRDefault="009241CB" w:rsidP="008D5724">
            <w:pPr>
              <w:rPr>
                <w:rStyle w:val="dot"/>
              </w:rPr>
            </w:pPr>
            <w:r>
              <w:t>M.2 Drive</w:t>
            </w:r>
            <w:r w:rsidR="00DD14F4">
              <w:t xml:space="preserve"> (</w:t>
            </w:r>
            <w:proofErr w:type="spellStart"/>
            <w:proofErr w:type="gramStart"/>
            <w:r w:rsidR="00DD14F4">
              <w:t>NVMe</w:t>
            </w:r>
            <w:proofErr w:type="spellEnd"/>
            <w:r w:rsidR="00DD14F4">
              <w:t xml:space="preserve">) </w:t>
            </w:r>
            <w:r>
              <w:t xml:space="preserve"> pozice</w:t>
            </w:r>
            <w:proofErr w:type="gramEnd"/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0A37BD" w14:textId="591FB9F3" w:rsidR="006D17B3" w:rsidRPr="008D5724" w:rsidRDefault="00DD14F4" w:rsidP="008D5724">
            <w:pPr>
              <w:rPr>
                <w:rStyle w:val="dot"/>
              </w:rPr>
            </w:pPr>
            <w:r>
              <w:rPr>
                <w:rStyle w:val="dot"/>
              </w:rPr>
              <w:t>2</w:t>
            </w:r>
          </w:p>
        </w:tc>
      </w:tr>
      <w:tr w:rsidR="00DD14F4" w:rsidRPr="008D5724" w14:paraId="49385B5C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EEF75" w14:textId="6C329227" w:rsidR="00DD14F4" w:rsidRDefault="00DD14F4" w:rsidP="008D5724">
            <w:r>
              <w:t>Podporovan</w:t>
            </w:r>
            <w:r w:rsidR="008B1466">
              <w:t xml:space="preserve">é </w:t>
            </w:r>
            <w:r w:rsidR="007216EF">
              <w:t>disky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68A0B" w14:textId="033A7AF5" w:rsidR="007216EF" w:rsidRPr="007216EF" w:rsidRDefault="007216EF" w:rsidP="007216EF">
            <w:pPr>
              <w:rPr>
                <w:rStyle w:val="dot"/>
              </w:rPr>
            </w:pPr>
            <w:r w:rsidRPr="007216EF">
              <w:rPr>
                <w:rStyle w:val="dot"/>
              </w:rPr>
              <w:t>3.5" SATA HDD</w:t>
            </w:r>
            <w:r w:rsidR="00105AFF">
              <w:rPr>
                <w:rStyle w:val="dot"/>
              </w:rPr>
              <w:t xml:space="preserve"> (</w:t>
            </w:r>
            <w:r w:rsidR="00105AFF">
              <w:t xml:space="preserve">Hot </w:t>
            </w:r>
            <w:proofErr w:type="spellStart"/>
            <w:r w:rsidR="00105AFF">
              <w:t>Swappable</w:t>
            </w:r>
            <w:proofErr w:type="spellEnd"/>
            <w:r w:rsidR="00105AFF">
              <w:t>)</w:t>
            </w:r>
          </w:p>
          <w:p w14:paraId="711AAAE6" w14:textId="05AC41CD" w:rsidR="007216EF" w:rsidRPr="007216EF" w:rsidRDefault="007216EF" w:rsidP="007216EF">
            <w:pPr>
              <w:rPr>
                <w:rStyle w:val="dot"/>
              </w:rPr>
            </w:pPr>
            <w:r w:rsidRPr="007216EF">
              <w:rPr>
                <w:rStyle w:val="dot"/>
              </w:rPr>
              <w:t>2.5" SATA SSD</w:t>
            </w:r>
            <w:r w:rsidR="00105AFF">
              <w:rPr>
                <w:rStyle w:val="dot"/>
              </w:rPr>
              <w:t xml:space="preserve"> (</w:t>
            </w:r>
            <w:r w:rsidR="00105AFF">
              <w:t xml:space="preserve">Hot </w:t>
            </w:r>
            <w:proofErr w:type="spellStart"/>
            <w:r w:rsidR="00105AFF">
              <w:t>Swappable</w:t>
            </w:r>
            <w:proofErr w:type="spellEnd"/>
            <w:r w:rsidR="00105AFF">
              <w:t>)</w:t>
            </w:r>
          </w:p>
          <w:p w14:paraId="255501F2" w14:textId="11C9F827" w:rsidR="00DD14F4" w:rsidRDefault="007216EF" w:rsidP="008D5724">
            <w:pPr>
              <w:rPr>
                <w:rStyle w:val="dot"/>
              </w:rPr>
            </w:pPr>
            <w:r w:rsidRPr="007216EF">
              <w:rPr>
                <w:rStyle w:val="dot"/>
              </w:rPr>
              <w:t xml:space="preserve">M.2 2280 </w:t>
            </w:r>
            <w:proofErr w:type="spellStart"/>
            <w:r w:rsidRPr="007216EF">
              <w:rPr>
                <w:rStyle w:val="dot"/>
              </w:rPr>
              <w:t>NVMe</w:t>
            </w:r>
            <w:proofErr w:type="spellEnd"/>
            <w:r w:rsidRPr="007216EF">
              <w:rPr>
                <w:rStyle w:val="dot"/>
              </w:rPr>
              <w:t xml:space="preserve"> SSD</w:t>
            </w:r>
          </w:p>
        </w:tc>
      </w:tr>
      <w:tr w:rsidR="006D17B3" w:rsidRPr="008D5724" w14:paraId="41A56F76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4BBEF7" w14:textId="70AF2B26" w:rsidR="006D17B3" w:rsidRPr="008D5724" w:rsidRDefault="006D17B3" w:rsidP="008D5724">
            <w:pPr>
              <w:rPr>
                <w:rStyle w:val="dot"/>
              </w:rPr>
            </w:pPr>
            <w:r>
              <w:rPr>
                <w:rStyle w:val="dot"/>
              </w:rPr>
              <w:lastRenderedPageBreak/>
              <w:t>Maximální kapacita uložiště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A17F2" w14:textId="64F1DBC8" w:rsidR="006D17B3" w:rsidRPr="008D5724" w:rsidRDefault="00645DD6" w:rsidP="008D5724">
            <w:pPr>
              <w:rPr>
                <w:rStyle w:val="dot"/>
              </w:rPr>
            </w:pPr>
            <w:r>
              <w:rPr>
                <w:rStyle w:val="dot"/>
              </w:rPr>
              <w:t>50</w:t>
            </w:r>
            <w:r w:rsidR="006D17B3">
              <w:rPr>
                <w:rStyle w:val="dot"/>
              </w:rPr>
              <w:t xml:space="preserve"> TB</w:t>
            </w:r>
            <w:r>
              <w:rPr>
                <w:rStyle w:val="dot"/>
              </w:rPr>
              <w:t xml:space="preserve"> (</w:t>
            </w:r>
            <w:r w:rsidR="0090733B">
              <w:rPr>
                <w:rStyle w:val="dot"/>
              </w:rPr>
              <w:t>rozšířitelné na 120 TB s přídavným zařízením)</w:t>
            </w:r>
          </w:p>
        </w:tc>
      </w:tr>
      <w:tr w:rsidR="008D5724" w:rsidRPr="008D5724" w14:paraId="570A4B51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9B935D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RJ-45 1GbE LAN port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7127A1" w14:textId="3843916D" w:rsidR="008D5724" w:rsidRPr="008D5724" w:rsidRDefault="002F6AC3" w:rsidP="008D5724">
            <w:pPr>
              <w:rPr>
                <w:rStyle w:val="dot"/>
              </w:rPr>
            </w:pPr>
            <w:r>
              <w:rPr>
                <w:rStyle w:val="dot"/>
              </w:rPr>
              <w:t>2</w:t>
            </w:r>
          </w:p>
        </w:tc>
      </w:tr>
      <w:tr w:rsidR="008D5724" w:rsidRPr="008D5724" w14:paraId="11AE0193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44BCC4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Podpora agregace linek na ethernetu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0A6414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ANO</w:t>
            </w:r>
          </w:p>
        </w:tc>
      </w:tr>
      <w:tr w:rsidR="000A47F0" w:rsidRPr="008D5724" w14:paraId="3B7D13D5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90A134" w14:textId="1EBC6BA3" w:rsidR="000A47F0" w:rsidRPr="008D5724" w:rsidRDefault="00BB242B" w:rsidP="008D5724">
            <w:pPr>
              <w:rPr>
                <w:rStyle w:val="dot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1x</w:t>
            </w:r>
            <w:r w:rsidR="00581B7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4A70BB" w:rsidRPr="007324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LAN </w:t>
            </w:r>
            <w:proofErr w:type="gramStart"/>
            <w:r w:rsidR="004A70BB" w:rsidRPr="007324F3">
              <w:rPr>
                <w:rFonts w:ascii="Tahoma" w:hAnsi="Tahoma" w:cs="Tahoma"/>
                <w:color w:val="000000"/>
                <w:sz w:val="22"/>
                <w:szCs w:val="22"/>
              </w:rPr>
              <w:t>port - přídavná</w:t>
            </w:r>
            <w:proofErr w:type="gramEnd"/>
            <w:r w:rsidR="004A70BB" w:rsidRPr="007324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síťová karta</w:t>
            </w:r>
            <w:r w:rsidR="00581B7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581B7D">
              <w:t>1x 10GbE RJ-45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85222F" w14:textId="6DAB3390" w:rsidR="000A47F0" w:rsidRPr="008D5724" w:rsidRDefault="004A70BB" w:rsidP="008D5724">
            <w:pPr>
              <w:rPr>
                <w:rStyle w:val="dot"/>
              </w:rPr>
            </w:pPr>
            <w:r>
              <w:rPr>
                <w:rStyle w:val="dot"/>
              </w:rPr>
              <w:t>ANO</w:t>
            </w:r>
          </w:p>
        </w:tc>
      </w:tr>
      <w:tr w:rsidR="008D5724" w:rsidRPr="008D5724" w14:paraId="36E02F52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7F219E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 xml:space="preserve">Port </w:t>
            </w:r>
            <w:proofErr w:type="spellStart"/>
            <w:r w:rsidRPr="008D5724">
              <w:rPr>
                <w:rStyle w:val="dot"/>
              </w:rPr>
              <w:t>eSATA</w:t>
            </w:r>
            <w:proofErr w:type="spellEnd"/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399399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1</w:t>
            </w:r>
          </w:p>
        </w:tc>
      </w:tr>
      <w:tr w:rsidR="008D5724" w:rsidRPr="008D5724" w14:paraId="076A4626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84355B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Port 3.2 Gen 1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FFB25C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2</w:t>
            </w:r>
          </w:p>
        </w:tc>
      </w:tr>
      <w:tr w:rsidR="008D5724" w:rsidRPr="008D5724" w14:paraId="208452A6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11C14D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Podpora systému souborů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3161DE" w14:textId="27E96F89" w:rsidR="008D5724" w:rsidRPr="008D5724" w:rsidRDefault="008D5724" w:rsidP="008D5724">
            <w:pPr>
              <w:rPr>
                <w:rStyle w:val="dot"/>
              </w:rPr>
            </w:pPr>
            <w:proofErr w:type="spellStart"/>
            <w:r w:rsidRPr="008D5724">
              <w:rPr>
                <w:rStyle w:val="dot"/>
              </w:rPr>
              <w:t>Btrfs</w:t>
            </w:r>
            <w:proofErr w:type="spellEnd"/>
            <w:r w:rsidRPr="008D5724">
              <w:rPr>
                <w:rStyle w:val="dot"/>
              </w:rPr>
              <w:t>, EXT4</w:t>
            </w:r>
          </w:p>
        </w:tc>
      </w:tr>
      <w:tr w:rsidR="008D5724" w:rsidRPr="008D5724" w14:paraId="1F16B51E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636B59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Podpora SSD TRIM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19DBEB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ANO</w:t>
            </w:r>
          </w:p>
        </w:tc>
      </w:tr>
      <w:tr w:rsidR="008D5724" w:rsidRPr="008D5724" w14:paraId="2802C903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2F055B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Podpora RAID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ED5C82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JBOD, RAID 0, RAID 1, RAID 5, RAID 6, RAID 10</w:t>
            </w:r>
          </w:p>
        </w:tc>
      </w:tr>
      <w:tr w:rsidR="008D5724" w:rsidRPr="008D5724" w14:paraId="0FAC7E6E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E62D24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Souborové protokoly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5E88A2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SMB/AFP/NFS/FTP/</w:t>
            </w:r>
            <w:proofErr w:type="spellStart"/>
            <w:r w:rsidRPr="008D5724">
              <w:rPr>
                <w:rStyle w:val="dot"/>
              </w:rPr>
              <w:t>WebDAV</w:t>
            </w:r>
            <w:proofErr w:type="spellEnd"/>
          </w:p>
        </w:tc>
      </w:tr>
      <w:tr w:rsidR="008D5724" w:rsidRPr="008D5724" w14:paraId="21624348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7AF1B0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Počet souběžných připojení SMB/AFP/FTP (s rozšířením RAM)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96E1D3" w14:textId="2FFCADE3" w:rsidR="008D5724" w:rsidRPr="008D5724" w:rsidRDefault="00F552C6" w:rsidP="008D5724">
            <w:pPr>
              <w:rPr>
                <w:rStyle w:val="dot"/>
              </w:rPr>
            </w:pPr>
            <w:r>
              <w:rPr>
                <w:rStyle w:val="dot"/>
              </w:rPr>
              <w:t>1000 (2000 s rozšířenou RAM)</w:t>
            </w:r>
          </w:p>
        </w:tc>
      </w:tr>
      <w:tr w:rsidR="008D5724" w:rsidRPr="008D5724" w14:paraId="02DCC644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BBDCB9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Ověřování pomocí NFS Kerberos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0F8E8F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ANO</w:t>
            </w:r>
          </w:p>
        </w:tc>
      </w:tr>
      <w:tr w:rsidR="00F44A88" w:rsidRPr="008D5724" w14:paraId="513877A0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08D34" w14:textId="75B85065" w:rsidR="00F44A88" w:rsidRPr="008D5724" w:rsidRDefault="00592E34" w:rsidP="008D5724">
            <w:pPr>
              <w:rPr>
                <w:rStyle w:val="dot"/>
              </w:rPr>
            </w:pPr>
            <w:r>
              <w:rPr>
                <w:rStyle w:val="dot"/>
              </w:rPr>
              <w:t>Funkce „Seznam Windows</w:t>
            </w:r>
            <w:r w:rsidR="00D2220C">
              <w:rPr>
                <w:rStyle w:val="dot"/>
              </w:rPr>
              <w:t xml:space="preserve"> </w:t>
            </w:r>
            <w:proofErr w:type="spellStart"/>
            <w:r w:rsidR="00D2220C">
              <w:rPr>
                <w:rStyle w:val="dot"/>
              </w:rPr>
              <w:t>přístopových</w:t>
            </w:r>
            <w:proofErr w:type="spellEnd"/>
            <w:r>
              <w:rPr>
                <w:rStyle w:val="dot"/>
              </w:rPr>
              <w:t xml:space="preserve"> oprávnění</w:t>
            </w:r>
            <w:r w:rsidR="000C19CF">
              <w:rPr>
                <w:rStyle w:val="dot"/>
              </w:rPr>
              <w:t xml:space="preserve"> ACL“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5D066" w14:textId="02AA3DEA" w:rsidR="00F44A88" w:rsidRPr="008D5724" w:rsidRDefault="000C19CF" w:rsidP="008D5724">
            <w:pPr>
              <w:rPr>
                <w:rStyle w:val="dot"/>
              </w:rPr>
            </w:pPr>
            <w:r>
              <w:rPr>
                <w:rStyle w:val="dot"/>
              </w:rPr>
              <w:t>ANO</w:t>
            </w:r>
          </w:p>
        </w:tc>
      </w:tr>
      <w:tr w:rsidR="008D5724" w:rsidRPr="008D5724" w14:paraId="2BA717E2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AEC8A9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Počet místních uživatelských účtů na NAS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54F0CF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2048</w:t>
            </w:r>
          </w:p>
        </w:tc>
      </w:tr>
      <w:tr w:rsidR="008D5724" w:rsidRPr="008D5724" w14:paraId="169B4EBA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4BF50B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Počet místních skupin na NAS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048CD3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256</w:t>
            </w:r>
          </w:p>
        </w:tc>
      </w:tr>
      <w:tr w:rsidR="008D5724" w:rsidRPr="008D5724" w14:paraId="2F1E3273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27E167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Počet sdílených složek na NAS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FF103A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512</w:t>
            </w:r>
          </w:p>
        </w:tc>
      </w:tr>
      <w:tr w:rsidR="008D5724" w:rsidRPr="008D5724" w14:paraId="1576BF3D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5EA35A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Licencované (součástí SW vybavení) aplikační vybavení pro zálohování a obnovu dat. Bez omezení přenesených dat, doby užívání nebo počtu zálohovaných strojů. Bez výpadku zálohovaných strojů a služeb na nic běžících, transparentní pro uživatele/správce. Plné zálohy, přírůstkové zálohy, rozdílové zálohy a plánovač pro každý zálohovaný cíl.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AD7D45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fyzických PC s OS Windows</w:t>
            </w:r>
          </w:p>
          <w:p w14:paraId="03ABCE82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fyzických serverů s OS Windows a Linux</w:t>
            </w:r>
          </w:p>
          <w:p w14:paraId="711E103D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 xml:space="preserve">virtuálních počítačů na platformě </w:t>
            </w:r>
            <w:proofErr w:type="spellStart"/>
            <w:r w:rsidRPr="008D5724">
              <w:rPr>
                <w:rStyle w:val="dot"/>
              </w:rPr>
              <w:t>VMware</w:t>
            </w:r>
            <w:proofErr w:type="spellEnd"/>
          </w:p>
          <w:p w14:paraId="2961EB26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virtuálních počítačů na platformě Hyper-V</w:t>
            </w:r>
          </w:p>
          <w:p w14:paraId="2C86D55E" w14:textId="77777777" w:rsidR="008D5724" w:rsidRPr="008D5724" w:rsidRDefault="008D5724" w:rsidP="008D5724">
            <w:pPr>
              <w:rPr>
                <w:rStyle w:val="dot"/>
              </w:rPr>
            </w:pPr>
            <w:r w:rsidRPr="008D5724">
              <w:rPr>
                <w:rStyle w:val="dot"/>
              </w:rPr>
              <w:t>cloudového obsahu Microsoft 365</w:t>
            </w:r>
          </w:p>
          <w:p w14:paraId="4BB43257" w14:textId="77777777" w:rsidR="008D5724" w:rsidRPr="008D5724" w:rsidRDefault="008D5724" w:rsidP="008D5724">
            <w:pPr>
              <w:rPr>
                <w:rStyle w:val="dot"/>
              </w:rPr>
            </w:pPr>
            <w:proofErr w:type="spellStart"/>
            <w:r w:rsidRPr="008D5724">
              <w:rPr>
                <w:rStyle w:val="dot"/>
              </w:rPr>
              <w:t>cloudového</w:t>
            </w:r>
            <w:proofErr w:type="spellEnd"/>
            <w:r w:rsidRPr="008D5724">
              <w:rPr>
                <w:rStyle w:val="dot"/>
              </w:rPr>
              <w:t xml:space="preserve"> obsahu Google </w:t>
            </w:r>
            <w:proofErr w:type="spellStart"/>
            <w:r w:rsidRPr="008D5724">
              <w:rPr>
                <w:rStyle w:val="dot"/>
              </w:rPr>
              <w:t>Workspace</w:t>
            </w:r>
            <w:proofErr w:type="spellEnd"/>
          </w:p>
          <w:p w14:paraId="5AFC207A" w14:textId="77777777" w:rsidR="008D5724" w:rsidRPr="008D5724" w:rsidRDefault="008D5724" w:rsidP="008D5724">
            <w:pPr>
              <w:rPr>
                <w:rStyle w:val="dot"/>
              </w:rPr>
            </w:pPr>
          </w:p>
        </w:tc>
      </w:tr>
      <w:tr w:rsidR="007003FF" w:rsidRPr="008D5724" w14:paraId="4A9BA207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B85358" w14:textId="66E7CEEE" w:rsidR="007003FF" w:rsidRPr="008D5724" w:rsidRDefault="00C81B11" w:rsidP="008D5724">
            <w:pPr>
              <w:rPr>
                <w:rStyle w:val="dot"/>
              </w:rPr>
            </w:pPr>
            <w:r>
              <w:rPr>
                <w:rStyle w:val="dot"/>
              </w:rPr>
              <w:t>Podporované služby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622113" w14:textId="5FBDD8C4" w:rsidR="007003FF" w:rsidRPr="008D5724" w:rsidRDefault="00C81B11" w:rsidP="008D5724">
            <w:pPr>
              <w:rPr>
                <w:rStyle w:val="dot"/>
              </w:rPr>
            </w:pPr>
            <w:r w:rsidRPr="00C81B11">
              <w:rPr>
                <w:rStyle w:val="dot"/>
              </w:rPr>
              <w:t xml:space="preserve">Sdílení souborů (SAMBA, HFS, CIFS), </w:t>
            </w:r>
            <w:proofErr w:type="spellStart"/>
            <w:r w:rsidRPr="00C81B11">
              <w:rPr>
                <w:rStyle w:val="dot"/>
              </w:rPr>
              <w:t>Print</w:t>
            </w:r>
            <w:proofErr w:type="spellEnd"/>
            <w:r w:rsidRPr="00C81B11">
              <w:rPr>
                <w:rStyle w:val="dot"/>
              </w:rPr>
              <w:t xml:space="preserve"> server, </w:t>
            </w:r>
            <w:proofErr w:type="spellStart"/>
            <w:r w:rsidRPr="00C81B11">
              <w:rPr>
                <w:rStyle w:val="dot"/>
              </w:rPr>
              <w:t>iSCSI</w:t>
            </w:r>
            <w:proofErr w:type="spellEnd"/>
            <w:r w:rsidRPr="00C81B11">
              <w:rPr>
                <w:rStyle w:val="dot"/>
              </w:rPr>
              <w:t>, Media server (DLNA), Nahrávání z IP kamer</w:t>
            </w:r>
          </w:p>
        </w:tc>
      </w:tr>
      <w:tr w:rsidR="00F04584" w:rsidRPr="008D5724" w14:paraId="4F3C7AE0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4ED65" w14:textId="1B7504E9" w:rsidR="00F04584" w:rsidRDefault="00856978" w:rsidP="008D572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t>K</w:t>
            </w:r>
            <w:r w:rsidR="00F04584">
              <w:t xml:space="preserve">ompatibilita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3FF0E" w14:textId="08223C0E" w:rsidR="00F04584" w:rsidRDefault="00F04584" w:rsidP="008D5724">
            <w:pPr>
              <w:rPr>
                <w:rStyle w:val="dot"/>
              </w:rPr>
            </w:pPr>
            <w:r>
              <w:t xml:space="preserve">Kompatibilita replikace dat se stávajícím diskovým polem </w:t>
            </w:r>
            <w:proofErr w:type="spellStart"/>
            <w:r w:rsidR="00D36EF5" w:rsidRPr="00D36EF5">
              <w:t>Synology</w:t>
            </w:r>
            <w:proofErr w:type="spellEnd"/>
            <w:r w:rsidR="00D36EF5" w:rsidRPr="00D36EF5">
              <w:t xml:space="preserve"> RS822+</w:t>
            </w:r>
          </w:p>
        </w:tc>
      </w:tr>
      <w:tr w:rsidR="00C77D74" w:rsidRPr="008D5724" w14:paraId="1BD2A05E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14B11F" w14:textId="6BD1D772" w:rsidR="00C77D74" w:rsidRPr="00D36EF5" w:rsidRDefault="00CC44D2" w:rsidP="008D5724">
            <w:pPr>
              <w:rPr>
                <w:rStyle w:val="dot"/>
              </w:rPr>
            </w:pPr>
            <w:r w:rsidRPr="00D36EF5">
              <w:rPr>
                <w:rStyle w:val="dot"/>
              </w:rPr>
              <w:t>Osazení HDD 3,5” SATA, 7200 otáček, 8TB kompatibilní s NAS z pohledu výrobce NAS a určený pro běh v NAS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DBD6F7" w14:textId="0729361A" w:rsidR="00C77D74" w:rsidRPr="00C81B11" w:rsidRDefault="004A22E8" w:rsidP="008D5724">
            <w:pPr>
              <w:rPr>
                <w:rStyle w:val="dot"/>
              </w:rPr>
            </w:pPr>
            <w:r>
              <w:rPr>
                <w:rStyle w:val="dot"/>
              </w:rPr>
              <w:t>4 ks</w:t>
            </w:r>
          </w:p>
        </w:tc>
      </w:tr>
      <w:tr w:rsidR="00C77D74" w:rsidRPr="008D5724" w14:paraId="4F3E6281" w14:textId="77777777" w:rsidTr="008D5724">
        <w:trPr>
          <w:trHeight w:val="1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EF96E" w14:textId="1C6EC391" w:rsidR="00C77D74" w:rsidRDefault="006219D1" w:rsidP="008D5724">
            <w:pPr>
              <w:rPr>
                <w:rStyle w:val="dot"/>
              </w:rPr>
            </w:pPr>
            <w:r>
              <w:rPr>
                <w:rStyle w:val="dot"/>
              </w:rPr>
              <w:t>Záruka na zařízení, síťovou kartu a disky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93F583" w14:textId="6DC11B2B" w:rsidR="00C77D74" w:rsidRPr="00C81B11" w:rsidRDefault="006219D1" w:rsidP="008D5724">
            <w:pPr>
              <w:rPr>
                <w:rStyle w:val="dot"/>
              </w:rPr>
            </w:pPr>
            <w:r>
              <w:rPr>
                <w:rStyle w:val="dot"/>
              </w:rPr>
              <w:t>36 měsíců</w:t>
            </w:r>
          </w:p>
        </w:tc>
      </w:tr>
    </w:tbl>
    <w:p w14:paraId="7D1A6802" w14:textId="77777777" w:rsidR="00B2097D" w:rsidRDefault="00B2097D" w:rsidP="00293CBE">
      <w:pPr>
        <w:rPr>
          <w:rStyle w:val="dot"/>
        </w:rPr>
      </w:pPr>
    </w:p>
    <w:p w14:paraId="38ED7EEA" w14:textId="2DDF8E3E" w:rsidR="00B2097D" w:rsidRPr="007216EF" w:rsidRDefault="009336E9" w:rsidP="00B147A0">
      <w:pPr>
        <w:pStyle w:val="Nadpis3"/>
      </w:pPr>
      <w:r>
        <w:t>7</w:t>
      </w:r>
      <w:r w:rsidR="00B147A0" w:rsidRPr="00B147A0">
        <w:t>. Balík kabeláže</w:t>
      </w:r>
    </w:p>
    <w:p w14:paraId="17D69B80" w14:textId="3F83DADD" w:rsidR="00F03331" w:rsidRPr="006F573B" w:rsidRDefault="005879EC">
      <w:pPr>
        <w:rPr>
          <w:rStyle w:val="dot"/>
        </w:rPr>
      </w:pPr>
      <w:r w:rsidRPr="006F573B">
        <w:rPr>
          <w:rStyle w:val="dot"/>
        </w:rPr>
        <w:t>10x FTP CAT.6 patch</w:t>
      </w:r>
      <w:r w:rsidR="00720311" w:rsidRPr="006F573B">
        <w:rPr>
          <w:rStyle w:val="dot"/>
        </w:rPr>
        <w:t xml:space="preserve">, </w:t>
      </w:r>
      <w:r w:rsidR="00803903" w:rsidRPr="006F573B">
        <w:rPr>
          <w:rStyle w:val="dot"/>
        </w:rPr>
        <w:t xml:space="preserve">vodiče jsou </w:t>
      </w:r>
      <w:r w:rsidR="00720311" w:rsidRPr="006F573B">
        <w:rPr>
          <w:rStyle w:val="dot"/>
        </w:rPr>
        <w:t>100%</w:t>
      </w:r>
      <w:r w:rsidRPr="006F573B">
        <w:rPr>
          <w:rStyle w:val="dot"/>
        </w:rPr>
        <w:t xml:space="preserve"> </w:t>
      </w:r>
      <w:r w:rsidR="00803903" w:rsidRPr="006F573B">
        <w:rPr>
          <w:rStyle w:val="dot"/>
        </w:rPr>
        <w:t xml:space="preserve">měděné, </w:t>
      </w:r>
      <w:r w:rsidRPr="006F573B">
        <w:rPr>
          <w:rStyle w:val="dot"/>
        </w:rPr>
        <w:t xml:space="preserve">kabel </w:t>
      </w:r>
      <w:r w:rsidR="009F7E30" w:rsidRPr="006F573B">
        <w:rPr>
          <w:rStyle w:val="dot"/>
        </w:rPr>
        <w:t>0,5 m</w:t>
      </w:r>
    </w:p>
    <w:p w14:paraId="48B9AD21" w14:textId="04307FA1" w:rsidR="009F7E30" w:rsidRPr="006F573B" w:rsidRDefault="009F7E30" w:rsidP="009F7E30">
      <w:pPr>
        <w:rPr>
          <w:rStyle w:val="dot"/>
        </w:rPr>
      </w:pPr>
      <w:r w:rsidRPr="006F573B">
        <w:rPr>
          <w:rStyle w:val="dot"/>
        </w:rPr>
        <w:t>10x FTP CAT.6 patch</w:t>
      </w:r>
      <w:r w:rsidR="00803903" w:rsidRPr="006F573B">
        <w:rPr>
          <w:rStyle w:val="dot"/>
        </w:rPr>
        <w:t xml:space="preserve">, vodiče jsou 100% měděné, </w:t>
      </w:r>
      <w:r w:rsidRPr="006F573B">
        <w:rPr>
          <w:rStyle w:val="dot"/>
        </w:rPr>
        <w:t>kabel 1 m</w:t>
      </w:r>
    </w:p>
    <w:p w14:paraId="553BD6B7" w14:textId="539D0041" w:rsidR="009F7E30" w:rsidRPr="006F573B" w:rsidRDefault="009F7E30" w:rsidP="009F7E30">
      <w:pPr>
        <w:rPr>
          <w:rStyle w:val="dot"/>
        </w:rPr>
      </w:pPr>
      <w:r w:rsidRPr="006F573B">
        <w:rPr>
          <w:rStyle w:val="dot"/>
        </w:rPr>
        <w:t>10x FTP CAT.6 patch</w:t>
      </w:r>
      <w:r w:rsidR="00803903" w:rsidRPr="006F573B">
        <w:rPr>
          <w:rStyle w:val="dot"/>
        </w:rPr>
        <w:t xml:space="preserve">, vodiče jsou 100% měděné, </w:t>
      </w:r>
      <w:r w:rsidRPr="006F573B">
        <w:rPr>
          <w:rStyle w:val="dot"/>
        </w:rPr>
        <w:t>kabel 2 m</w:t>
      </w:r>
    </w:p>
    <w:p w14:paraId="5DCB1A40" w14:textId="77777777" w:rsidR="00803903" w:rsidRDefault="00803903" w:rsidP="009F7E30">
      <w:pPr>
        <w:rPr>
          <w:rFonts w:ascii="Tahoma" w:eastAsia="Calibri" w:hAnsi="Tahoma" w:cs="Tahoma"/>
          <w:sz w:val="22"/>
          <w:szCs w:val="22"/>
        </w:rPr>
      </w:pPr>
    </w:p>
    <w:p w14:paraId="0600CCB3" w14:textId="77777777" w:rsidR="00803903" w:rsidRDefault="00803903" w:rsidP="009F7E30">
      <w:pPr>
        <w:rPr>
          <w:rFonts w:ascii="Tahoma" w:eastAsia="Calibri" w:hAnsi="Tahoma" w:cs="Tahoma"/>
          <w:sz w:val="22"/>
          <w:szCs w:val="22"/>
        </w:rPr>
      </w:pPr>
    </w:p>
    <w:p w14:paraId="4D773CC3" w14:textId="77777777" w:rsidR="00803903" w:rsidRDefault="00803903" w:rsidP="009F7E30">
      <w:pPr>
        <w:rPr>
          <w:rFonts w:ascii="Tahoma" w:eastAsia="Calibri" w:hAnsi="Tahoma" w:cs="Tahoma"/>
          <w:sz w:val="22"/>
          <w:szCs w:val="22"/>
        </w:rPr>
      </w:pPr>
    </w:p>
    <w:p w14:paraId="3669AF3D" w14:textId="77777777" w:rsidR="007856C7" w:rsidRDefault="007856C7" w:rsidP="009F7E30">
      <w:pPr>
        <w:rPr>
          <w:rFonts w:ascii="Tahoma" w:eastAsia="Calibri" w:hAnsi="Tahoma" w:cs="Tahoma"/>
          <w:sz w:val="22"/>
          <w:szCs w:val="22"/>
        </w:rPr>
      </w:pPr>
    </w:p>
    <w:p w14:paraId="5852D05F" w14:textId="77777777" w:rsidR="00803903" w:rsidRDefault="00803903" w:rsidP="009F7E30">
      <w:pPr>
        <w:rPr>
          <w:rFonts w:ascii="Tahoma" w:eastAsia="Calibri" w:hAnsi="Tahoma" w:cs="Tahoma"/>
          <w:sz w:val="22"/>
          <w:szCs w:val="22"/>
        </w:rPr>
      </w:pPr>
    </w:p>
    <w:p w14:paraId="4AF9E39D" w14:textId="77777777" w:rsidR="00BD6F07" w:rsidRDefault="00BD6F07">
      <w:pPr>
        <w:rPr>
          <w:rFonts w:ascii="Tahoma" w:eastAsia="Calibri" w:hAnsi="Tahoma" w:cs="Tahoma"/>
          <w:sz w:val="22"/>
          <w:szCs w:val="22"/>
        </w:rPr>
      </w:pPr>
    </w:p>
    <w:p w14:paraId="3F34195E" w14:textId="74FE58CB" w:rsidR="00592AAE" w:rsidRPr="00B934BE" w:rsidRDefault="003B4CB9">
      <w:pPr>
        <w:rPr>
          <w:rStyle w:val="dot"/>
        </w:rPr>
      </w:pPr>
      <w:bookmarkStart w:id="0" w:name="_GoBack"/>
      <w:bookmarkEnd w:id="0"/>
      <w:r w:rsidRPr="00B934BE">
        <w:rPr>
          <w:rStyle w:val="dot"/>
        </w:rPr>
        <w:t>ředitel školy</w:t>
      </w:r>
    </w:p>
    <w:sectPr w:rsidR="00592AAE" w:rsidRPr="00B934BE" w:rsidSect="00CB78CF">
      <w:headerReference w:type="default" r:id="rId11"/>
      <w:footerReference w:type="default" r:id="rId12"/>
      <w:pgSz w:w="11906" w:h="16838"/>
      <w:pgMar w:top="1985" w:right="1106" w:bottom="1417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6160E" w14:textId="77777777" w:rsidR="00E32377" w:rsidRDefault="00E32377" w:rsidP="00A75EFF">
      <w:r>
        <w:separator/>
      </w:r>
    </w:p>
  </w:endnote>
  <w:endnote w:type="continuationSeparator" w:id="0">
    <w:p w14:paraId="4901A8F2" w14:textId="77777777" w:rsidR="00E32377" w:rsidRDefault="00E32377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21E8" w14:textId="2607E119"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1BA61E" wp14:editId="0DC096A2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449597934" name="Obrázek 449597934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67D">
      <w:t xml:space="preserve">Kontaktní email: </w:t>
    </w:r>
    <w:r w:rsidR="007E5724" w:rsidRPr="007F3355">
      <w:t>martin.glac@oao.cz</w:t>
    </w:r>
    <w:r w:rsidR="007E5724">
      <w:tab/>
      <w:t>str</w:t>
    </w:r>
    <w:r w:rsidR="007F3355">
      <w:t xml:space="preserve">. </w:t>
    </w:r>
    <w:r w:rsidR="007F3355">
      <w:fldChar w:fldCharType="begin"/>
    </w:r>
    <w:r w:rsidR="007F3355">
      <w:instrText>PAGE   \* MERGEFORMAT</w:instrText>
    </w:r>
    <w:r w:rsidR="007F3355">
      <w:fldChar w:fldCharType="separate"/>
    </w:r>
    <w:r w:rsidR="007F3355">
      <w:t>1</w:t>
    </w:r>
    <w:r w:rsidR="007F335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E31F" w14:textId="77777777" w:rsidR="00E32377" w:rsidRDefault="00E32377" w:rsidP="00A75EFF">
      <w:r>
        <w:separator/>
      </w:r>
    </w:p>
  </w:footnote>
  <w:footnote w:type="continuationSeparator" w:id="0">
    <w:p w14:paraId="468C97B4" w14:textId="77777777" w:rsidR="00E32377" w:rsidRDefault="00E32377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6E8D" w14:textId="68A2FB24" w:rsidR="007A7E49" w:rsidRPr="000272BB" w:rsidRDefault="0055039D" w:rsidP="007A7E49">
    <w:pPr>
      <w:spacing w:before="100" w:beforeAutospacing="1" w:after="100" w:afterAutospacing="1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5897436" wp14:editId="4CCD8FCA">
          <wp:simplePos x="0" y="0"/>
          <wp:positionH relativeFrom="column">
            <wp:posOffset>-166548</wp:posOffset>
          </wp:positionH>
          <wp:positionV relativeFrom="paragraph">
            <wp:posOffset>46355</wp:posOffset>
          </wp:positionV>
          <wp:extent cx="1894636" cy="688202"/>
          <wp:effectExtent l="0" t="0" r="0" b="0"/>
          <wp:wrapNone/>
          <wp:docPr id="2052825665" name="Obrázek 1" descr="Obsah obrázku Grafika, logo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825665" name="Obrázek 1" descr="Obsah obrázku Grafika, logo, Písmo, grafický design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02" b="31860"/>
                  <a:stretch/>
                </pic:blipFill>
                <pic:spPr bwMode="auto">
                  <a:xfrm>
                    <a:off x="0" y="0"/>
                    <a:ext cx="1894636" cy="688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E49" w:rsidRPr="000272BB">
      <w:rPr>
        <w:b/>
        <w:bCs/>
        <w:sz w:val="24"/>
        <w:szCs w:val="24"/>
      </w:rPr>
      <w:t xml:space="preserve">Obchodní akademie a Vyšší odborná škola sociální, </w:t>
    </w:r>
    <w:r w:rsidR="007A7E49" w:rsidRPr="000272BB">
      <w:rPr>
        <w:sz w:val="24"/>
        <w:szCs w:val="24"/>
      </w:rPr>
      <w:br/>
    </w:r>
    <w:r w:rsidR="007A7E49" w:rsidRPr="000272BB">
      <w:rPr>
        <w:b/>
        <w:bCs/>
        <w:sz w:val="24"/>
        <w:szCs w:val="24"/>
      </w:rPr>
      <w:t>Ostrava-Mariánské Hory, příspěvková organizace</w:t>
    </w:r>
  </w:p>
  <w:p w14:paraId="5BE51B05" w14:textId="59F66BFE" w:rsidR="007A7E49" w:rsidRDefault="007A7E49" w:rsidP="007A7E49">
    <w:pPr>
      <w:pStyle w:val="Zhlav"/>
    </w:pPr>
    <w:r w:rsidRPr="00C01711">
      <w:t>Karasova 16, 709 00</w:t>
    </w:r>
    <w:r w:rsidR="00FB340C">
      <w:t>,</w:t>
    </w:r>
    <w:r w:rsidRPr="00C01711">
      <w:t xml:space="preserve"> Ostrava-Mariánské Hory</w:t>
    </w:r>
  </w:p>
  <w:p w14:paraId="4B89BC99" w14:textId="6B810E61" w:rsidR="00A75EFF" w:rsidRDefault="00322C40" w:rsidP="007A7E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119E64" wp14:editId="3D9A2E89">
              <wp:simplePos x="0" y="0"/>
              <wp:positionH relativeFrom="column">
                <wp:posOffset>-166370</wp:posOffset>
              </wp:positionH>
              <wp:positionV relativeFrom="paragraph">
                <wp:posOffset>172720</wp:posOffset>
              </wp:positionV>
              <wp:extent cx="3362325" cy="0"/>
              <wp:effectExtent l="0" t="0" r="0" b="0"/>
              <wp:wrapNone/>
              <wp:docPr id="1841781559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35EC4D2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13.6pt" to="25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" strokecolor="#7f7f7f [1612]" strokeweight="1pt"/>
          </w:pict>
        </mc:Fallback>
      </mc:AlternateContent>
    </w:r>
    <w:r w:rsidR="007A7E49">
      <w:t xml:space="preserve">599 524 211, </w:t>
    </w:r>
    <w:r w:rsidR="007A7E49" w:rsidRPr="00FA2E52">
      <w:t>oa@oao.cz</w:t>
    </w:r>
    <w:r w:rsidR="007A7E49">
      <w:t xml:space="preserve">, </w:t>
    </w:r>
    <w:r w:rsidR="007A7E49" w:rsidRPr="00A75EFF">
      <w:rPr>
        <w:b/>
      </w:rPr>
      <w:t>www.</w:t>
    </w:r>
    <w:r w:rsidR="007A7E49">
      <w:rPr>
        <w:b/>
      </w:rPr>
      <w:t>oao</w:t>
    </w:r>
    <w:r w:rsidR="007A7E49" w:rsidRPr="00A75EFF">
      <w:rPr>
        <w:b/>
      </w:rPr>
      <w:t>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04F06"/>
    <w:multiLevelType w:val="hybridMultilevel"/>
    <w:tmpl w:val="23803F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0CA3"/>
    <w:multiLevelType w:val="hybridMultilevel"/>
    <w:tmpl w:val="23803F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4D3F"/>
    <w:multiLevelType w:val="multilevel"/>
    <w:tmpl w:val="61EA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C5425"/>
    <w:multiLevelType w:val="hybridMultilevel"/>
    <w:tmpl w:val="23803F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6BC1"/>
    <w:multiLevelType w:val="hybridMultilevel"/>
    <w:tmpl w:val="23803F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004F5"/>
    <w:rsid w:val="00014ADB"/>
    <w:rsid w:val="00024F29"/>
    <w:rsid w:val="00025D71"/>
    <w:rsid w:val="000272BB"/>
    <w:rsid w:val="00030D68"/>
    <w:rsid w:val="00042BC5"/>
    <w:rsid w:val="00053221"/>
    <w:rsid w:val="000542F6"/>
    <w:rsid w:val="000544C8"/>
    <w:rsid w:val="00057DED"/>
    <w:rsid w:val="00062E11"/>
    <w:rsid w:val="000671C8"/>
    <w:rsid w:val="00077734"/>
    <w:rsid w:val="00087892"/>
    <w:rsid w:val="000969AC"/>
    <w:rsid w:val="000A47F0"/>
    <w:rsid w:val="000B0F06"/>
    <w:rsid w:val="000B64B9"/>
    <w:rsid w:val="000B6C5B"/>
    <w:rsid w:val="000C19CF"/>
    <w:rsid w:val="000D0EB8"/>
    <w:rsid w:val="000D1D3B"/>
    <w:rsid w:val="00105988"/>
    <w:rsid w:val="00105AFF"/>
    <w:rsid w:val="00114B67"/>
    <w:rsid w:val="00114DF8"/>
    <w:rsid w:val="00116A28"/>
    <w:rsid w:val="00177EF2"/>
    <w:rsid w:val="001808EB"/>
    <w:rsid w:val="00185ADA"/>
    <w:rsid w:val="001936BF"/>
    <w:rsid w:val="001957AF"/>
    <w:rsid w:val="001B3BAE"/>
    <w:rsid w:val="001B434F"/>
    <w:rsid w:val="001B583B"/>
    <w:rsid w:val="001D1F25"/>
    <w:rsid w:val="001E75CB"/>
    <w:rsid w:val="001F0FAA"/>
    <w:rsid w:val="001F2EF6"/>
    <w:rsid w:val="00210AC6"/>
    <w:rsid w:val="00223A0B"/>
    <w:rsid w:val="002355D6"/>
    <w:rsid w:val="002422CD"/>
    <w:rsid w:val="00247C43"/>
    <w:rsid w:val="00255604"/>
    <w:rsid w:val="00271025"/>
    <w:rsid w:val="00282730"/>
    <w:rsid w:val="00287756"/>
    <w:rsid w:val="002904D8"/>
    <w:rsid w:val="002906EA"/>
    <w:rsid w:val="00293CBE"/>
    <w:rsid w:val="002A3AB7"/>
    <w:rsid w:val="002A6C37"/>
    <w:rsid w:val="002B647E"/>
    <w:rsid w:val="002C52F4"/>
    <w:rsid w:val="002E0019"/>
    <w:rsid w:val="002E6246"/>
    <w:rsid w:val="002F6AC3"/>
    <w:rsid w:val="002F6C78"/>
    <w:rsid w:val="002F753A"/>
    <w:rsid w:val="00301BA4"/>
    <w:rsid w:val="00303BAE"/>
    <w:rsid w:val="00304AA9"/>
    <w:rsid w:val="0031749B"/>
    <w:rsid w:val="00320597"/>
    <w:rsid w:val="003225DA"/>
    <w:rsid w:val="00322C40"/>
    <w:rsid w:val="00323F84"/>
    <w:rsid w:val="003242BD"/>
    <w:rsid w:val="003334C1"/>
    <w:rsid w:val="00334A48"/>
    <w:rsid w:val="00340B56"/>
    <w:rsid w:val="0034460E"/>
    <w:rsid w:val="003569D7"/>
    <w:rsid w:val="00361A71"/>
    <w:rsid w:val="003633EB"/>
    <w:rsid w:val="003657C5"/>
    <w:rsid w:val="003B0D9C"/>
    <w:rsid w:val="003B4CB9"/>
    <w:rsid w:val="003B565A"/>
    <w:rsid w:val="003C1795"/>
    <w:rsid w:val="003C2BF7"/>
    <w:rsid w:val="003C59B5"/>
    <w:rsid w:val="003D1EE1"/>
    <w:rsid w:val="003E0CA1"/>
    <w:rsid w:val="003E642F"/>
    <w:rsid w:val="00410B21"/>
    <w:rsid w:val="00414266"/>
    <w:rsid w:val="0042467D"/>
    <w:rsid w:val="00443A7C"/>
    <w:rsid w:val="00453844"/>
    <w:rsid w:val="00476408"/>
    <w:rsid w:val="00492F6C"/>
    <w:rsid w:val="004A22E8"/>
    <w:rsid w:val="004A70BB"/>
    <w:rsid w:val="004B03B7"/>
    <w:rsid w:val="004C666D"/>
    <w:rsid w:val="004E00A3"/>
    <w:rsid w:val="004E210F"/>
    <w:rsid w:val="004E38B8"/>
    <w:rsid w:val="004F1E17"/>
    <w:rsid w:val="005045BC"/>
    <w:rsid w:val="00517A4D"/>
    <w:rsid w:val="00530C97"/>
    <w:rsid w:val="00530D76"/>
    <w:rsid w:val="00532A0A"/>
    <w:rsid w:val="005409AC"/>
    <w:rsid w:val="00544A2F"/>
    <w:rsid w:val="005456F8"/>
    <w:rsid w:val="0055039D"/>
    <w:rsid w:val="00553FA0"/>
    <w:rsid w:val="00561709"/>
    <w:rsid w:val="00562122"/>
    <w:rsid w:val="0056600C"/>
    <w:rsid w:val="00573FC9"/>
    <w:rsid w:val="00581B7D"/>
    <w:rsid w:val="00582FF7"/>
    <w:rsid w:val="0058422B"/>
    <w:rsid w:val="00584A8A"/>
    <w:rsid w:val="005879EC"/>
    <w:rsid w:val="00592AAE"/>
    <w:rsid w:val="00592E34"/>
    <w:rsid w:val="005930A1"/>
    <w:rsid w:val="005A77FA"/>
    <w:rsid w:val="005C4B54"/>
    <w:rsid w:val="005C5851"/>
    <w:rsid w:val="005D13AA"/>
    <w:rsid w:val="005E4A23"/>
    <w:rsid w:val="005E4F16"/>
    <w:rsid w:val="005F3B5A"/>
    <w:rsid w:val="005F43F8"/>
    <w:rsid w:val="00603D56"/>
    <w:rsid w:val="00604266"/>
    <w:rsid w:val="006051E7"/>
    <w:rsid w:val="00606753"/>
    <w:rsid w:val="00606E90"/>
    <w:rsid w:val="00614A77"/>
    <w:rsid w:val="00617CD9"/>
    <w:rsid w:val="006219D1"/>
    <w:rsid w:val="00630769"/>
    <w:rsid w:val="006322E9"/>
    <w:rsid w:val="00635315"/>
    <w:rsid w:val="00645DD6"/>
    <w:rsid w:val="00646860"/>
    <w:rsid w:val="00650AC6"/>
    <w:rsid w:val="00657161"/>
    <w:rsid w:val="00670C69"/>
    <w:rsid w:val="0067189A"/>
    <w:rsid w:val="006718BD"/>
    <w:rsid w:val="006866C0"/>
    <w:rsid w:val="006A7BDA"/>
    <w:rsid w:val="006C70EF"/>
    <w:rsid w:val="006D17B3"/>
    <w:rsid w:val="006D5774"/>
    <w:rsid w:val="006F4B6B"/>
    <w:rsid w:val="006F573B"/>
    <w:rsid w:val="006F6E26"/>
    <w:rsid w:val="007003FF"/>
    <w:rsid w:val="00710C9C"/>
    <w:rsid w:val="00716D2E"/>
    <w:rsid w:val="00720311"/>
    <w:rsid w:val="0072112B"/>
    <w:rsid w:val="007216EF"/>
    <w:rsid w:val="00726B92"/>
    <w:rsid w:val="00730229"/>
    <w:rsid w:val="007324F3"/>
    <w:rsid w:val="0073429C"/>
    <w:rsid w:val="0074195F"/>
    <w:rsid w:val="0075045A"/>
    <w:rsid w:val="007635BA"/>
    <w:rsid w:val="007856C7"/>
    <w:rsid w:val="0078577D"/>
    <w:rsid w:val="00792421"/>
    <w:rsid w:val="00796D92"/>
    <w:rsid w:val="007A0D5D"/>
    <w:rsid w:val="007A155C"/>
    <w:rsid w:val="007A2B6A"/>
    <w:rsid w:val="007A5FC5"/>
    <w:rsid w:val="007A7E49"/>
    <w:rsid w:val="007B11A1"/>
    <w:rsid w:val="007B5C92"/>
    <w:rsid w:val="007C1D02"/>
    <w:rsid w:val="007C4150"/>
    <w:rsid w:val="007E5724"/>
    <w:rsid w:val="007F221B"/>
    <w:rsid w:val="007F3355"/>
    <w:rsid w:val="00800001"/>
    <w:rsid w:val="00801DEE"/>
    <w:rsid w:val="00803903"/>
    <w:rsid w:val="00807092"/>
    <w:rsid w:val="00812289"/>
    <w:rsid w:val="00813EC7"/>
    <w:rsid w:val="00821005"/>
    <w:rsid w:val="00821613"/>
    <w:rsid w:val="00842C2A"/>
    <w:rsid w:val="008462BF"/>
    <w:rsid w:val="00856978"/>
    <w:rsid w:val="00866545"/>
    <w:rsid w:val="0086659E"/>
    <w:rsid w:val="00867A93"/>
    <w:rsid w:val="00871A40"/>
    <w:rsid w:val="00874333"/>
    <w:rsid w:val="008856D6"/>
    <w:rsid w:val="00890FBF"/>
    <w:rsid w:val="008A3398"/>
    <w:rsid w:val="008B1466"/>
    <w:rsid w:val="008B495B"/>
    <w:rsid w:val="008C55BE"/>
    <w:rsid w:val="008C588B"/>
    <w:rsid w:val="008C7E42"/>
    <w:rsid w:val="008D5724"/>
    <w:rsid w:val="008E522C"/>
    <w:rsid w:val="008E5E29"/>
    <w:rsid w:val="008E7122"/>
    <w:rsid w:val="008F5976"/>
    <w:rsid w:val="00902B5B"/>
    <w:rsid w:val="00906EBD"/>
    <w:rsid w:val="0090733B"/>
    <w:rsid w:val="00911F69"/>
    <w:rsid w:val="00920666"/>
    <w:rsid w:val="00921304"/>
    <w:rsid w:val="009241CB"/>
    <w:rsid w:val="00927315"/>
    <w:rsid w:val="009336E9"/>
    <w:rsid w:val="0096235F"/>
    <w:rsid w:val="00963B3B"/>
    <w:rsid w:val="0099439F"/>
    <w:rsid w:val="00994A63"/>
    <w:rsid w:val="009A45C7"/>
    <w:rsid w:val="009A46A5"/>
    <w:rsid w:val="009B6C00"/>
    <w:rsid w:val="009E6BB3"/>
    <w:rsid w:val="009F4FAE"/>
    <w:rsid w:val="009F744B"/>
    <w:rsid w:val="009F7E30"/>
    <w:rsid w:val="00A13E0F"/>
    <w:rsid w:val="00A155BF"/>
    <w:rsid w:val="00A24CA8"/>
    <w:rsid w:val="00A308D4"/>
    <w:rsid w:val="00A30C56"/>
    <w:rsid w:val="00A33E6C"/>
    <w:rsid w:val="00A36B9E"/>
    <w:rsid w:val="00A43731"/>
    <w:rsid w:val="00A51554"/>
    <w:rsid w:val="00A53D60"/>
    <w:rsid w:val="00A54D67"/>
    <w:rsid w:val="00A629D6"/>
    <w:rsid w:val="00A64EE9"/>
    <w:rsid w:val="00A73551"/>
    <w:rsid w:val="00A75EFF"/>
    <w:rsid w:val="00A86DFB"/>
    <w:rsid w:val="00A86F27"/>
    <w:rsid w:val="00A92F38"/>
    <w:rsid w:val="00AA3F46"/>
    <w:rsid w:val="00AC0A55"/>
    <w:rsid w:val="00AE4654"/>
    <w:rsid w:val="00AE483F"/>
    <w:rsid w:val="00AE6E05"/>
    <w:rsid w:val="00B06727"/>
    <w:rsid w:val="00B147A0"/>
    <w:rsid w:val="00B2097D"/>
    <w:rsid w:val="00B233D7"/>
    <w:rsid w:val="00B31881"/>
    <w:rsid w:val="00B50012"/>
    <w:rsid w:val="00B5152C"/>
    <w:rsid w:val="00B52B3D"/>
    <w:rsid w:val="00B56BBB"/>
    <w:rsid w:val="00B639D3"/>
    <w:rsid w:val="00B647F8"/>
    <w:rsid w:val="00B70074"/>
    <w:rsid w:val="00B92852"/>
    <w:rsid w:val="00B934BE"/>
    <w:rsid w:val="00B965A9"/>
    <w:rsid w:val="00BA1597"/>
    <w:rsid w:val="00BB242B"/>
    <w:rsid w:val="00BB6D1F"/>
    <w:rsid w:val="00BD0D55"/>
    <w:rsid w:val="00BD6F07"/>
    <w:rsid w:val="00BE1394"/>
    <w:rsid w:val="00BE7347"/>
    <w:rsid w:val="00BF685C"/>
    <w:rsid w:val="00C01711"/>
    <w:rsid w:val="00C0525B"/>
    <w:rsid w:val="00C1149B"/>
    <w:rsid w:val="00C36B82"/>
    <w:rsid w:val="00C50283"/>
    <w:rsid w:val="00C56AA4"/>
    <w:rsid w:val="00C708DA"/>
    <w:rsid w:val="00C77D74"/>
    <w:rsid w:val="00C810A7"/>
    <w:rsid w:val="00C81B11"/>
    <w:rsid w:val="00C87B61"/>
    <w:rsid w:val="00C9266C"/>
    <w:rsid w:val="00C94483"/>
    <w:rsid w:val="00C97629"/>
    <w:rsid w:val="00CA120C"/>
    <w:rsid w:val="00CB1B3F"/>
    <w:rsid w:val="00CB2722"/>
    <w:rsid w:val="00CB48EE"/>
    <w:rsid w:val="00CB5867"/>
    <w:rsid w:val="00CB78CF"/>
    <w:rsid w:val="00CC44D2"/>
    <w:rsid w:val="00CD06C6"/>
    <w:rsid w:val="00CE0B70"/>
    <w:rsid w:val="00CE26FE"/>
    <w:rsid w:val="00D02B35"/>
    <w:rsid w:val="00D03192"/>
    <w:rsid w:val="00D04847"/>
    <w:rsid w:val="00D14993"/>
    <w:rsid w:val="00D2220C"/>
    <w:rsid w:val="00D25BBB"/>
    <w:rsid w:val="00D3695D"/>
    <w:rsid w:val="00D36EF5"/>
    <w:rsid w:val="00D46D59"/>
    <w:rsid w:val="00D51723"/>
    <w:rsid w:val="00D52711"/>
    <w:rsid w:val="00D6184B"/>
    <w:rsid w:val="00D65744"/>
    <w:rsid w:val="00D91456"/>
    <w:rsid w:val="00D94D95"/>
    <w:rsid w:val="00DC1315"/>
    <w:rsid w:val="00DC1980"/>
    <w:rsid w:val="00DD14F4"/>
    <w:rsid w:val="00DE5F28"/>
    <w:rsid w:val="00DF08AE"/>
    <w:rsid w:val="00DF5205"/>
    <w:rsid w:val="00E267B6"/>
    <w:rsid w:val="00E32377"/>
    <w:rsid w:val="00E406AA"/>
    <w:rsid w:val="00E435E1"/>
    <w:rsid w:val="00E46250"/>
    <w:rsid w:val="00E51C6C"/>
    <w:rsid w:val="00E5332C"/>
    <w:rsid w:val="00E60C27"/>
    <w:rsid w:val="00E71330"/>
    <w:rsid w:val="00E75BB6"/>
    <w:rsid w:val="00E825C4"/>
    <w:rsid w:val="00E84698"/>
    <w:rsid w:val="00EA5C79"/>
    <w:rsid w:val="00EA77D4"/>
    <w:rsid w:val="00EB0F0B"/>
    <w:rsid w:val="00EB4382"/>
    <w:rsid w:val="00EC2C8B"/>
    <w:rsid w:val="00EC494F"/>
    <w:rsid w:val="00EC5D1E"/>
    <w:rsid w:val="00EC7B79"/>
    <w:rsid w:val="00ED176F"/>
    <w:rsid w:val="00EE0807"/>
    <w:rsid w:val="00EE5C67"/>
    <w:rsid w:val="00F03331"/>
    <w:rsid w:val="00F04584"/>
    <w:rsid w:val="00F04CC9"/>
    <w:rsid w:val="00F12256"/>
    <w:rsid w:val="00F12A01"/>
    <w:rsid w:val="00F13516"/>
    <w:rsid w:val="00F15369"/>
    <w:rsid w:val="00F20EF6"/>
    <w:rsid w:val="00F23250"/>
    <w:rsid w:val="00F2543E"/>
    <w:rsid w:val="00F44A88"/>
    <w:rsid w:val="00F552C6"/>
    <w:rsid w:val="00F70753"/>
    <w:rsid w:val="00F74368"/>
    <w:rsid w:val="00FA2E52"/>
    <w:rsid w:val="00FA53E6"/>
    <w:rsid w:val="00FB206B"/>
    <w:rsid w:val="00FB340C"/>
    <w:rsid w:val="00FB73AA"/>
    <w:rsid w:val="00FC3C90"/>
    <w:rsid w:val="00FC60C5"/>
    <w:rsid w:val="00FD3463"/>
    <w:rsid w:val="00FD6A47"/>
    <w:rsid w:val="00FD70F7"/>
    <w:rsid w:val="00FF2E59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D99AA"/>
  <w15:docId w15:val="{ACD14282-F92B-4023-A7FC-5B7A650A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2F3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B43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4150"/>
    <w:pPr>
      <w:keepNext/>
      <w:keepLines/>
      <w:pBdr>
        <w:bottom w:val="single" w:sz="12" w:space="1" w:color="808080" w:themeColor="background1" w:themeShade="80"/>
      </w:pBdr>
      <w:spacing w:before="40"/>
      <w:ind w:left="-284" w:right="1701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5369"/>
    <w:pPr>
      <w:keepNext/>
      <w:keepLines/>
      <w:spacing w:before="40"/>
      <w:outlineLvl w:val="2"/>
    </w:pPr>
    <w:rPr>
      <w:rFonts w:eastAsiaTheme="majorEastAsia" w:cstheme="majorBidi"/>
      <w:b/>
      <w:color w:val="404040" w:themeColor="text1" w:themeTint="BF"/>
      <w:sz w:val="26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92F38"/>
    <w:pPr>
      <w:keepNext/>
      <w:spacing w:line="360" w:lineRule="auto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92F38"/>
    <w:rPr>
      <w:rFonts w:ascii="Century Gothic" w:eastAsia="Times New Roman" w:hAnsi="Century Gothic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43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825C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C4150"/>
    <w:rPr>
      <w:rFonts w:asciiTheme="majorHAnsi" w:eastAsiaTheme="majorEastAsia" w:hAnsiTheme="majorHAnsi" w:cstheme="majorBidi"/>
      <w:color w:val="404040" w:themeColor="text1" w:themeTint="BF"/>
      <w:sz w:val="28"/>
      <w:szCs w:val="26"/>
      <w:lang w:eastAsia="cs-CZ"/>
    </w:rPr>
  </w:style>
  <w:style w:type="character" w:styleId="Zdraznn">
    <w:name w:val="Emphasis"/>
    <w:basedOn w:val="Standardnpsmoodstavce"/>
    <w:uiPriority w:val="20"/>
    <w:qFormat/>
    <w:rsid w:val="00210AC6"/>
    <w:rPr>
      <w:i/>
      <w:iCs/>
    </w:rPr>
  </w:style>
  <w:style w:type="paragraph" w:customStyle="1" w:styleId="Default">
    <w:name w:val="Default"/>
    <w:rsid w:val="00F122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15369"/>
    <w:rPr>
      <w:rFonts w:ascii="Century Gothic" w:eastAsiaTheme="majorEastAsia" w:hAnsi="Century Gothic" w:cstheme="majorBidi"/>
      <w:b/>
      <w:color w:val="404040" w:themeColor="text1" w:themeTint="BF"/>
      <w:sz w:val="26"/>
      <w:szCs w:val="24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21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2122"/>
  </w:style>
  <w:style w:type="character" w:customStyle="1" w:styleId="TextkomenteChar">
    <w:name w:val="Text komentáře Char"/>
    <w:basedOn w:val="Standardnpsmoodstavce"/>
    <w:link w:val="Textkomente"/>
    <w:uiPriority w:val="99"/>
    <w:rsid w:val="005621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1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272BB"/>
    <w:rPr>
      <w:b/>
      <w:bCs/>
    </w:rPr>
  </w:style>
  <w:style w:type="character" w:customStyle="1" w:styleId="dot">
    <w:name w:val="dot"/>
    <w:basedOn w:val="Standardnpsmoodstavce"/>
    <w:rsid w:val="00C50283"/>
  </w:style>
  <w:style w:type="character" w:styleId="Nevyeenzmnka">
    <w:name w:val="Unresolved Mention"/>
    <w:basedOn w:val="Standardnpsmoodstavce"/>
    <w:uiPriority w:val="99"/>
    <w:semiHidden/>
    <w:unhideWhenUsed/>
    <w:rsid w:val="007E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8053FE17C2A4A8EEFE6BFB419C6BA" ma:contentTypeVersion="12" ma:contentTypeDescription="Vytvoří nový dokument" ma:contentTypeScope="" ma:versionID="0343ea173ae6245234c218666a6868ef">
  <xsd:schema xmlns:xsd="http://www.w3.org/2001/XMLSchema" xmlns:xs="http://www.w3.org/2001/XMLSchema" xmlns:p="http://schemas.microsoft.com/office/2006/metadata/properties" xmlns:ns3="cdabc638-c2a3-4337-b843-873ff21f8d7d" targetNamespace="http://schemas.microsoft.com/office/2006/metadata/properties" ma:root="true" ma:fieldsID="50df7c6c03cfba05fae15851e9f66d14" ns3:_="">
    <xsd:import namespace="cdabc638-c2a3-4337-b843-873ff21f8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c638-c2a3-4337-b843-873ff21f8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493B-9FAA-44C5-9A1C-FB4E69BF2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A9D2C-D985-4440-AE5C-E1DFEA0A8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bc638-c2a3-4337-b843-873ff21f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3C4A3-5953-465A-BEEF-2D1B8715C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7FB4D-D565-4AA2-8864-1FCD124D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2061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Ludmila Kostalova</cp:lastModifiedBy>
  <cp:revision>41</cp:revision>
  <cp:lastPrinted>2022-06-07T09:45:00Z</cp:lastPrinted>
  <dcterms:created xsi:type="dcterms:W3CDTF">2023-10-20T11:58:00Z</dcterms:created>
  <dcterms:modified xsi:type="dcterms:W3CDTF">2023-11-23T12:28:00Z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2023-07-10T15:24:51Z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fc489a1f-acd8-48a2-9f0f-8093cfd5bb38</vt:lpwstr>
  </property>
  <property fmtid="{D5CDD505-2E9C-101B-9397-08002B2CF9AE}" pid="8" name="MSIP_Label_bc18e8b5-cf04-4356-9f73-4b8f937bc4ae_ContentBits">
    <vt:lpwstr>0</vt:lpwstr>
  </property>
  <property fmtid="{D5CDD505-2E9C-101B-9397-08002B2CF9AE}" pid="9" name="ContentTypeId">
    <vt:lpwstr>0x0101004008053FE17C2A4A8EEFE6BFB419C6BA</vt:lpwstr>
  </property>
</Properties>
</file>