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490C" w14:textId="77777777" w:rsidR="00C075C0" w:rsidRDefault="00C075C0" w:rsidP="00920A47">
      <w:pPr>
        <w:pStyle w:val="Nadpis3"/>
      </w:pPr>
    </w:p>
    <w:p w14:paraId="2037490D" w14:textId="77777777" w:rsidR="004629C2" w:rsidRDefault="00C7202C" w:rsidP="009A59B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Smlouva o spolupráci</w:t>
      </w:r>
    </w:p>
    <w:p w14:paraId="2037490E" w14:textId="77777777" w:rsidR="004446D5" w:rsidRDefault="004446D5" w:rsidP="004446D5">
      <w:pPr>
        <w:jc w:val="both"/>
        <w:rPr>
          <w:b/>
          <w:sz w:val="36"/>
          <w:szCs w:val="36"/>
        </w:rPr>
      </w:pPr>
    </w:p>
    <w:p w14:paraId="2037490F" w14:textId="77777777" w:rsidR="004446D5" w:rsidRDefault="008B0841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Příloha č. 3</w:t>
      </w:r>
    </w:p>
    <w:p w14:paraId="2287A88C" w14:textId="77777777" w:rsidR="002A6A79" w:rsidRDefault="008B0841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Cenov</w:t>
      </w:r>
      <w:r w:rsidR="005E197D">
        <w:rPr>
          <w:sz w:val="36"/>
          <w:szCs w:val="36"/>
        </w:rPr>
        <w:t>ý</w:t>
      </w:r>
      <w:r>
        <w:rPr>
          <w:sz w:val="36"/>
          <w:szCs w:val="36"/>
        </w:rPr>
        <w:t xml:space="preserve"> vzor</w:t>
      </w:r>
      <w:r w:rsidR="005E197D">
        <w:rPr>
          <w:sz w:val="36"/>
          <w:szCs w:val="36"/>
        </w:rPr>
        <w:t>e</w:t>
      </w:r>
      <w:r>
        <w:rPr>
          <w:sz w:val="36"/>
          <w:szCs w:val="36"/>
        </w:rPr>
        <w:t>c</w:t>
      </w:r>
      <w:r w:rsidR="002A6A79">
        <w:rPr>
          <w:sz w:val="36"/>
          <w:szCs w:val="36"/>
        </w:rPr>
        <w:t xml:space="preserve"> pro výpočet ceny tepelné energie</w:t>
      </w:r>
      <w:r w:rsidR="005E197D">
        <w:rPr>
          <w:sz w:val="36"/>
          <w:szCs w:val="36"/>
        </w:rPr>
        <w:t xml:space="preserve">, </w:t>
      </w:r>
    </w:p>
    <w:p w14:paraId="20374910" w14:textId="2E64FB83" w:rsidR="004446D5" w:rsidRDefault="002A6A79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Výše </w:t>
      </w:r>
      <w:r w:rsidR="005E197D">
        <w:rPr>
          <w:sz w:val="36"/>
          <w:szCs w:val="36"/>
        </w:rPr>
        <w:t>nájem</w:t>
      </w:r>
      <w:r>
        <w:rPr>
          <w:sz w:val="36"/>
          <w:szCs w:val="36"/>
        </w:rPr>
        <w:t>ného</w:t>
      </w:r>
    </w:p>
    <w:p w14:paraId="20374911" w14:textId="77777777" w:rsidR="00A22727" w:rsidRDefault="00A22727" w:rsidP="004446D5">
      <w:pPr>
        <w:jc w:val="both"/>
        <w:rPr>
          <w:sz w:val="36"/>
          <w:szCs w:val="36"/>
        </w:rPr>
      </w:pPr>
    </w:p>
    <w:p w14:paraId="20374912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20374913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20374914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20374915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20374916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20374917" w14:textId="77777777" w:rsidR="00B650DC" w:rsidRDefault="00B650DC">
      <w:pPr>
        <w:rPr>
          <w:rFonts w:eastAsiaTheme="majorEastAsia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20374918" w14:textId="77777777" w:rsidR="008B0841" w:rsidRPr="008B0841" w:rsidRDefault="008B0841" w:rsidP="006134EE">
      <w:pPr>
        <w:pStyle w:val="Nadpis1"/>
        <w:numPr>
          <w:ilvl w:val="0"/>
          <w:numId w:val="1"/>
        </w:numPr>
        <w:spacing w:after="240"/>
        <w:ind w:left="284" w:hanging="142"/>
        <w:jc w:val="both"/>
        <w:rPr>
          <w:sz w:val="32"/>
          <w:szCs w:val="32"/>
        </w:rPr>
      </w:pPr>
      <w:r w:rsidRPr="008B0841">
        <w:rPr>
          <w:sz w:val="32"/>
          <w:szCs w:val="32"/>
        </w:rPr>
        <w:lastRenderedPageBreak/>
        <w:t xml:space="preserve">Cenový vzorec pro výpočet ceny tepelné energie </w:t>
      </w:r>
    </w:p>
    <w:p w14:paraId="20374919" w14:textId="77777777" w:rsidR="008B0841" w:rsidRDefault="008B0841" w:rsidP="008B0841">
      <w:pPr>
        <w:jc w:val="both"/>
      </w:pPr>
      <w:r>
        <w:t xml:space="preserve">Výpočet ceny tepla z provozu kogenerační jednotky bude </w:t>
      </w:r>
      <w:r w:rsidR="004E3835">
        <w:t>vázán</w:t>
      </w:r>
      <w:r>
        <w:t xml:space="preserve"> na cenu </w:t>
      </w:r>
      <w:r w:rsidR="000771C7">
        <w:t>zemního plynu</w:t>
      </w:r>
      <w:r>
        <w:t xml:space="preserve"> nakupovaného</w:t>
      </w:r>
      <w:r w:rsidR="002973E6">
        <w:t xml:space="preserve"> TEPLOSPOLEM</w:t>
      </w:r>
      <w:r>
        <w:t>. Cena pak bude stanovena dle vzorce:</w:t>
      </w:r>
    </w:p>
    <w:p w14:paraId="2037491A" w14:textId="1F611271" w:rsidR="008B0841" w:rsidRPr="00CE035E" w:rsidRDefault="00BB35A0" w:rsidP="008B0841">
      <w:pPr>
        <w:shd w:val="clear" w:color="auto" w:fill="BFBFBF" w:themeFill="background1" w:themeFillShade="BF"/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highlight w:val="black"/>
            </w:rPr>
            <m:t>xxxxxxxxxxxx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highlight w:val="black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black"/>
                </w:rPr>
                <m:t>xxx xxx xxx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highlight w:val="black"/>
                </w:rPr>
                <m:t>xxx xxx xxx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highlight w:val="black"/>
            </w:rPr>
            <m:t>*</m:t>
          </m:r>
          <m:r>
            <m:rPr>
              <m:sty m:val="b"/>
            </m:rPr>
            <w:rPr>
              <w:rFonts w:ascii="Cambria Math" w:hAnsi="Cambria Math" w:cstheme="minorHAnsi"/>
              <w:highlight w:val="black"/>
            </w:rPr>
            <m:t>xxx xxx xxx</m:t>
          </m:r>
        </m:oMath>
      </m:oMathPara>
    </w:p>
    <w:p w14:paraId="2037491B" w14:textId="0C88DB5C" w:rsidR="008B0841" w:rsidRDefault="008B0841" w:rsidP="008B0841">
      <w:pPr>
        <w:jc w:val="both"/>
      </w:pPr>
      <w:r>
        <w:t xml:space="preserve">kde </w:t>
      </w:r>
      <w:proofErr w:type="spellStart"/>
      <w:r w:rsidR="00F24995">
        <w:rPr>
          <w:b/>
        </w:rPr>
        <w:t>C</w:t>
      </w:r>
      <w:r w:rsidR="00F24995" w:rsidRPr="00F24995">
        <w:rPr>
          <w:b/>
          <w:vertAlign w:val="subscript"/>
        </w:rPr>
        <w:t>tepeln</w:t>
      </w:r>
      <w:r w:rsidR="00EC6CAC">
        <w:rPr>
          <w:b/>
          <w:vertAlign w:val="subscript"/>
        </w:rPr>
        <w:t>á</w:t>
      </w:r>
      <w:proofErr w:type="spellEnd"/>
      <w:r w:rsidR="00F24995" w:rsidRPr="00F24995">
        <w:rPr>
          <w:b/>
          <w:vertAlign w:val="subscript"/>
        </w:rPr>
        <w:t xml:space="preserve"> energie</w:t>
      </w:r>
      <w:r w:rsidR="000771C7">
        <w:rPr>
          <w:b/>
          <w:vertAlign w:val="subscript"/>
        </w:rPr>
        <w:t xml:space="preserve"> KJ</w:t>
      </w:r>
      <w:r w:rsidRPr="00F24995">
        <w:rPr>
          <w:b/>
          <w:vertAlign w:val="subscript"/>
        </w:rPr>
        <w:t xml:space="preserve"> </w:t>
      </w:r>
      <w:r>
        <w:t xml:space="preserve">je cena tepla z kogenerační jednotky nakupovaného od </w:t>
      </w:r>
      <w:r w:rsidR="004357A6">
        <w:t>ECE</w:t>
      </w:r>
      <w:r>
        <w:t xml:space="preserve">, </w:t>
      </w:r>
      <w:proofErr w:type="spellStart"/>
      <w:r w:rsidRPr="008B0841">
        <w:rPr>
          <w:b/>
        </w:rPr>
        <w:t>C</w:t>
      </w:r>
      <w:r w:rsidR="000771C7">
        <w:rPr>
          <w:b/>
          <w:vertAlign w:val="subscript"/>
        </w:rPr>
        <w:t>zemní</w:t>
      </w:r>
      <w:proofErr w:type="spellEnd"/>
      <w:r w:rsidR="000771C7">
        <w:rPr>
          <w:b/>
          <w:vertAlign w:val="subscript"/>
        </w:rPr>
        <w:t xml:space="preserve"> plyn</w:t>
      </w:r>
      <w:r>
        <w:t xml:space="preserve"> je </w:t>
      </w:r>
      <w:r w:rsidR="0092655E" w:rsidRPr="0092655E">
        <w:t>předpokládaná jednotková cena zemního plynu v Kč/GJ výhřevnosti paliva, která je pro daný kalendářní rok zasmluvněna odběratelem s jeho dodavatelem zemního plynu. Tato uvažovaná cena zemního plynu je včetně daně ze zemního plynu, tedy rovna ceně nahrazeného paliva pro kotle</w:t>
      </w:r>
      <w:r>
        <w:t xml:space="preserve">, </w:t>
      </w:r>
      <w:r w:rsidR="00B75E2F">
        <w:t xml:space="preserve">koeficient </w:t>
      </w:r>
      <w:proofErr w:type="spellStart"/>
      <w:r w:rsidR="00B75E2F">
        <w:rPr>
          <w:rFonts w:ascii="Cambria Math" w:hAnsi="Cambria Math" w:cstheme="minorHAnsi"/>
          <w:b/>
        </w:rPr>
        <w:t>η</w:t>
      </w:r>
      <w:r w:rsidR="00B75E2F">
        <w:rPr>
          <w:b/>
          <w:vertAlign w:val="subscript"/>
        </w:rPr>
        <w:t>výroby</w:t>
      </w:r>
      <w:proofErr w:type="spellEnd"/>
      <w:r w:rsidR="00B75E2F">
        <w:rPr>
          <w:b/>
          <w:vertAlign w:val="subscript"/>
        </w:rPr>
        <w:t xml:space="preserve"> tepla</w:t>
      </w:r>
      <w:r w:rsidR="00B75E2F">
        <w:t xml:space="preserve"> znázorňuje účinnost výroby tepla ve stávajících kotlích (</w:t>
      </w:r>
      <w:proofErr w:type="spellStart"/>
      <w:r w:rsidR="00B75E2F">
        <w:rPr>
          <w:rFonts w:ascii="Cambria Math" w:hAnsi="Cambria Math" w:cstheme="minorHAnsi"/>
        </w:rPr>
        <w:t>η</w:t>
      </w:r>
      <w:r w:rsidR="00B75E2F">
        <w:rPr>
          <w:vertAlign w:val="subscript"/>
        </w:rPr>
        <w:t>výroby</w:t>
      </w:r>
      <w:proofErr w:type="spellEnd"/>
      <w:r w:rsidR="00B75E2F" w:rsidRPr="000771C7">
        <w:rPr>
          <w:vertAlign w:val="subscript"/>
        </w:rPr>
        <w:t xml:space="preserve"> tepla</w:t>
      </w:r>
      <w:r w:rsidR="00B75E2F">
        <w:t xml:space="preserve"> = 0,</w:t>
      </w:r>
      <w:r w:rsidR="00264B1A">
        <w:t>9</w:t>
      </w:r>
      <w:r w:rsidR="00B23A26">
        <w:t>5</w:t>
      </w:r>
      <w:r w:rsidR="00B75E2F">
        <w:t>)</w:t>
      </w:r>
      <w:r w:rsidR="00B75E2F" w:rsidRPr="00F24995">
        <w:t xml:space="preserve"> koeficient </w:t>
      </w:r>
      <w:proofErr w:type="spellStart"/>
      <w:r w:rsidR="00B75E2F" w:rsidRPr="00F24995">
        <w:rPr>
          <w:b/>
        </w:rPr>
        <w:t>K</w:t>
      </w:r>
      <w:r w:rsidR="00B75E2F">
        <w:rPr>
          <w:b/>
          <w:vertAlign w:val="subscript"/>
        </w:rPr>
        <w:t>úspora</w:t>
      </w:r>
      <w:proofErr w:type="spellEnd"/>
      <w:r w:rsidR="00B75E2F" w:rsidRPr="00F24995">
        <w:t xml:space="preserve"> znázorňuje slevu (úsporu) na teple ve výši </w:t>
      </w:r>
      <w:proofErr w:type="spellStart"/>
      <w:r w:rsidR="00366664" w:rsidRPr="00366664">
        <w:rPr>
          <w:highlight w:val="black"/>
        </w:rPr>
        <w:t>xxx</w:t>
      </w:r>
      <w:proofErr w:type="spellEnd"/>
      <w:r w:rsidR="00264B1A" w:rsidRPr="00F24995">
        <w:t xml:space="preserve"> </w:t>
      </w:r>
      <w:r w:rsidR="00B75E2F" w:rsidRPr="00F24995">
        <w:t>%</w:t>
      </w:r>
      <w:r w:rsidR="00B75E2F">
        <w:t>.</w:t>
      </w:r>
      <w:r w:rsidR="00B75E2F" w:rsidRPr="00F24995">
        <w:t xml:space="preserve"> </w:t>
      </w:r>
      <w:r w:rsidR="00B75E2F" w:rsidRPr="00B650DC">
        <w:t>(</w:t>
      </w:r>
      <w:proofErr w:type="spellStart"/>
      <w:r w:rsidR="00B75E2F" w:rsidRPr="00B650DC">
        <w:t>K</w:t>
      </w:r>
      <w:r w:rsidR="00B75E2F" w:rsidRPr="00B650DC">
        <w:rPr>
          <w:vertAlign w:val="subscript"/>
        </w:rPr>
        <w:t>úspora</w:t>
      </w:r>
      <w:proofErr w:type="spellEnd"/>
      <w:r w:rsidR="00B75E2F" w:rsidRPr="00B650DC">
        <w:t xml:space="preserve"> = </w:t>
      </w:r>
      <w:proofErr w:type="spellStart"/>
      <w:r w:rsidR="00366664" w:rsidRPr="00366664">
        <w:rPr>
          <w:highlight w:val="black"/>
        </w:rPr>
        <w:t>xxxxxxxxxxxxxxx</w:t>
      </w:r>
      <w:proofErr w:type="spellEnd"/>
      <w:r w:rsidR="00B75E2F" w:rsidRPr="00B650DC">
        <w:t>).</w:t>
      </w:r>
      <w:r w:rsidR="00B75E2F">
        <w:t xml:space="preserve"> </w:t>
      </w:r>
      <w:r>
        <w:t xml:space="preserve">Takto stanovená cena bude transparentní a každoročně aktualizována k ceně </w:t>
      </w:r>
      <w:r w:rsidR="000771C7">
        <w:t xml:space="preserve">zemního </w:t>
      </w:r>
      <w:r>
        <w:t>plynu pro daný rok.</w:t>
      </w:r>
    </w:p>
    <w:p w14:paraId="2037491C" w14:textId="77777777" w:rsidR="0092655E" w:rsidRPr="0092655E" w:rsidRDefault="0092655E" w:rsidP="0092655E">
      <w:pPr>
        <w:spacing w:line="240" w:lineRule="auto"/>
        <w:jc w:val="both"/>
        <w:rPr>
          <w:rFonts w:cstheme="minorHAnsi"/>
          <w:i/>
        </w:rPr>
      </w:pPr>
      <w:r w:rsidRPr="0092655E">
        <w:rPr>
          <w:rFonts w:cstheme="minorHAnsi"/>
          <w:i/>
        </w:rPr>
        <w:t>Pozn: Pro odstranění jakýchkoli pochybností uvádíme koeficient vyjadřující přepočet spalného tepla zemního plynu v MWh, který je uváděn na fakturách za zemní plyn, na výhřevnost zemního plynu v GJ.</w:t>
      </w:r>
    </w:p>
    <w:p w14:paraId="2037491D" w14:textId="77777777" w:rsidR="0092655E" w:rsidRPr="0092655E" w:rsidRDefault="0092655E" w:rsidP="0092655E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 w:rsidRPr="0092655E">
        <w:rPr>
          <w:rFonts w:cstheme="minorHAnsi"/>
          <w:i/>
        </w:rPr>
        <w:t>1 MWh spalného tepla = 0,9 MWh výhřevnosti = 3,24 GJ</w:t>
      </w:r>
    </w:p>
    <w:p w14:paraId="2037491E" w14:textId="77777777" w:rsidR="003B535D" w:rsidRDefault="003B535D" w:rsidP="003B535D">
      <w:pPr>
        <w:jc w:val="both"/>
      </w:pPr>
      <w:r>
        <w:t xml:space="preserve">Příklad výpočtu: </w:t>
      </w:r>
    </w:p>
    <w:p w14:paraId="2037491F" w14:textId="77777777" w:rsidR="003B535D" w:rsidRPr="003B535D" w:rsidRDefault="003B535D" w:rsidP="003B535D">
      <w:pPr>
        <w:numPr>
          <w:ilvl w:val="0"/>
          <w:numId w:val="21"/>
        </w:numPr>
        <w:spacing w:before="240" w:after="0" w:line="288" w:lineRule="auto"/>
        <w:ind w:left="284" w:hanging="284"/>
      </w:pPr>
      <w:r w:rsidRPr="003B535D">
        <w:rPr>
          <w:b/>
        </w:rPr>
        <w:t>Předpokládaná</w:t>
      </w:r>
      <w:r w:rsidRPr="00D27269">
        <w:t xml:space="preserve"> průměrná cena zemního plynu pro kalendářní rok: </w:t>
      </w:r>
    </w:p>
    <w:p w14:paraId="20374920" w14:textId="1A3A0DDE" w:rsidR="003B535D" w:rsidRPr="005C50A1" w:rsidRDefault="003B535D" w:rsidP="003B535D">
      <w:pPr>
        <w:spacing w:line="288" w:lineRule="auto"/>
        <w:ind w:left="2136"/>
        <w:rPr>
          <w:rFonts w:cstheme="minorHAnsi"/>
        </w:rPr>
      </w:pPr>
      <w:r w:rsidRPr="005C50A1">
        <w:rPr>
          <w:rFonts w:cstheme="minorHAnsi"/>
          <w:b/>
        </w:rPr>
        <w:t xml:space="preserve">   </w:t>
      </w:r>
      <w:r w:rsidRPr="00365A93">
        <w:rPr>
          <w:rFonts w:cstheme="minorHAnsi"/>
          <w:b/>
          <w:sz w:val="28"/>
        </w:rPr>
        <w:t xml:space="preserve"> </w:t>
      </w:r>
      <w:r w:rsidRPr="00365A93">
        <w:rPr>
          <w:rFonts w:asciiTheme="majorHAnsi" w:hAnsiTheme="majorHAnsi" w:cstheme="minorHAnsi"/>
          <w:b/>
          <w:sz w:val="28"/>
        </w:rPr>
        <w:t>C</w:t>
      </w:r>
      <w:r w:rsidRPr="00365A93">
        <w:rPr>
          <w:rFonts w:asciiTheme="majorHAnsi" w:hAnsiTheme="majorHAnsi" w:cstheme="minorHAnsi"/>
          <w:b/>
          <w:sz w:val="28"/>
          <w:vertAlign w:val="subscript"/>
        </w:rPr>
        <w:t xml:space="preserve">ZP </w:t>
      </w:r>
      <w:r w:rsidRPr="005C50A1">
        <w:rPr>
          <w:rFonts w:cstheme="minorHAnsi"/>
        </w:rPr>
        <w:tab/>
        <w:t xml:space="preserve"> </w:t>
      </w:r>
      <w:proofErr w:type="gramStart"/>
      <w:r w:rsidRPr="005C50A1">
        <w:rPr>
          <w:rFonts w:cstheme="minorHAnsi"/>
        </w:rPr>
        <w:t xml:space="preserve">   (</w:t>
      </w:r>
      <w:proofErr w:type="gramEnd"/>
      <w:r w:rsidRPr="005C50A1">
        <w:rPr>
          <w:rFonts w:cstheme="minorHAnsi"/>
        </w:rPr>
        <w:t>např. C</w:t>
      </w:r>
      <w:r w:rsidRPr="005C50A1">
        <w:rPr>
          <w:rFonts w:cstheme="minorHAnsi"/>
          <w:vertAlign w:val="subscript"/>
        </w:rPr>
        <w:t xml:space="preserve">ZP </w:t>
      </w:r>
      <w:r w:rsidRPr="005C50A1">
        <w:rPr>
          <w:rFonts w:cstheme="minorHAnsi"/>
        </w:rPr>
        <w:t xml:space="preserve">= </w:t>
      </w:r>
      <w:r w:rsidR="005A42EE" w:rsidRPr="005A42EE">
        <w:rPr>
          <w:rFonts w:cstheme="minorHAnsi"/>
          <w:highlight w:val="black"/>
        </w:rPr>
        <w:t>….,.</w:t>
      </w:r>
      <w:r w:rsidR="00264B1A" w:rsidRPr="005C50A1">
        <w:rPr>
          <w:rFonts w:cstheme="minorHAnsi"/>
        </w:rPr>
        <w:t xml:space="preserve"> </w:t>
      </w:r>
      <w:r w:rsidRPr="005C50A1">
        <w:rPr>
          <w:rFonts w:cstheme="minorHAnsi"/>
        </w:rPr>
        <w:t>Kč/GJ)</w:t>
      </w:r>
    </w:p>
    <w:p w14:paraId="20374921" w14:textId="77777777" w:rsidR="003B535D" w:rsidRPr="00D27269" w:rsidRDefault="003B535D" w:rsidP="003B535D">
      <w:pPr>
        <w:numPr>
          <w:ilvl w:val="0"/>
          <w:numId w:val="21"/>
        </w:numPr>
        <w:spacing w:before="240" w:after="0" w:line="288" w:lineRule="auto"/>
        <w:ind w:left="284" w:hanging="284"/>
      </w:pPr>
      <w:r w:rsidRPr="00D27269">
        <w:rPr>
          <w:b/>
        </w:rPr>
        <w:t>Předpokládaná</w:t>
      </w:r>
      <w:r w:rsidRPr="00D27269">
        <w:t xml:space="preserve"> cen</w:t>
      </w:r>
      <w:r>
        <w:t>a tepelné energie</w:t>
      </w:r>
      <w:r w:rsidRPr="00D27269">
        <w:t xml:space="preserve"> z kogenerační jednotky</w:t>
      </w:r>
      <w:r>
        <w:t xml:space="preserve"> v kotelně</w:t>
      </w:r>
      <w:r w:rsidRPr="00D27269">
        <w:t>:</w:t>
      </w:r>
    </w:p>
    <w:p w14:paraId="20374922" w14:textId="11343D02" w:rsidR="003B535D" w:rsidRDefault="00366664" w:rsidP="003B535D">
      <w:pPr>
        <w:spacing w:line="288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tepelná energie KJ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highlight w:val="black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black"/>
                </w:rPr>
                <m:t>xxx,x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highlight w:val="black"/>
                </w:rPr>
                <m:t>xxxx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highlight w:val="black"/>
            </w:rPr>
            <m:t>*</m:t>
          </m:r>
          <m:r>
            <m:rPr>
              <m:sty m:val="b"/>
            </m:rPr>
            <w:rPr>
              <w:rFonts w:ascii="Cambria Math" w:hAnsi="Cambria Math" w:cstheme="minorHAnsi"/>
              <w:highlight w:val="black"/>
            </w:rPr>
            <m:t>x,xx=xxx,xx</m:t>
          </m:r>
          <m:r>
            <m:rPr>
              <m:sty m:val="b"/>
            </m:rPr>
            <w:rPr>
              <w:rFonts w:ascii="Cambria Math" w:hAnsi="Cambria Math" w:cstheme="minorHAnsi"/>
            </w:rPr>
            <m:t xml:space="preserve"> Kč/GJ</m:t>
          </m:r>
        </m:oMath>
      </m:oMathPara>
    </w:p>
    <w:p w14:paraId="20374923" w14:textId="6301D1E9" w:rsidR="00245B8C" w:rsidRPr="00B35C1D" w:rsidRDefault="00CC2472" w:rsidP="006134EE">
      <w:pPr>
        <w:pStyle w:val="Nadpis1"/>
        <w:numPr>
          <w:ilvl w:val="0"/>
          <w:numId w:val="1"/>
        </w:numPr>
        <w:spacing w:after="240"/>
        <w:ind w:left="284" w:hanging="142"/>
        <w:jc w:val="both"/>
        <w:rPr>
          <w:sz w:val="32"/>
          <w:szCs w:val="32"/>
        </w:rPr>
      </w:pPr>
      <w:r>
        <w:rPr>
          <w:sz w:val="32"/>
          <w:szCs w:val="32"/>
        </w:rPr>
        <w:t>Výše</w:t>
      </w:r>
      <w:r w:rsidR="00245B8C">
        <w:rPr>
          <w:sz w:val="32"/>
          <w:szCs w:val="32"/>
        </w:rPr>
        <w:t xml:space="preserve"> </w:t>
      </w:r>
      <w:r w:rsidR="00245B8C" w:rsidRPr="008B0841">
        <w:rPr>
          <w:sz w:val="32"/>
          <w:szCs w:val="32"/>
        </w:rPr>
        <w:t>nájemného</w:t>
      </w:r>
    </w:p>
    <w:p w14:paraId="20374924" w14:textId="189FC476" w:rsidR="00E90E74" w:rsidRDefault="007D1637" w:rsidP="00827343">
      <w:pPr>
        <w:jc w:val="both"/>
      </w:pPr>
      <w:r>
        <w:t xml:space="preserve">Výše nájemného pro </w:t>
      </w:r>
      <w:r w:rsidR="002973E6">
        <w:t>TEPLOSPOL</w:t>
      </w:r>
      <w:r>
        <w:t xml:space="preserve"> bude ve výši </w:t>
      </w:r>
      <w:proofErr w:type="spellStart"/>
      <w:r w:rsidR="00BB35A0" w:rsidRPr="00BB35A0">
        <w:rPr>
          <w:highlight w:val="black"/>
        </w:rPr>
        <w:t>xxx</w:t>
      </w:r>
      <w:proofErr w:type="spellEnd"/>
      <w:r w:rsidR="00BB35A0" w:rsidRPr="00BB35A0">
        <w:rPr>
          <w:highlight w:val="black"/>
        </w:rPr>
        <w:t xml:space="preserve"> </w:t>
      </w:r>
      <w:proofErr w:type="spellStart"/>
      <w:r w:rsidR="00BB35A0" w:rsidRPr="00BB35A0">
        <w:rPr>
          <w:highlight w:val="black"/>
        </w:rPr>
        <w:t>xxx</w:t>
      </w:r>
      <w:proofErr w:type="spellEnd"/>
      <w:r>
        <w:t xml:space="preserve"> Kč/rok bez DPH</w:t>
      </w:r>
      <w:r w:rsidR="006134EE">
        <w:t xml:space="preserve"> při každoroční valorizaci o 2</w:t>
      </w:r>
      <w:r w:rsidR="001F11E6">
        <w:t>,0 </w:t>
      </w:r>
      <w:r w:rsidR="006134EE">
        <w:t>%</w:t>
      </w:r>
      <w:r>
        <w:t xml:space="preserve">. </w:t>
      </w:r>
      <w:r w:rsidR="00693D13">
        <w:t xml:space="preserve">Přesné podmínky budou stanoveny ve smlouvě o </w:t>
      </w:r>
      <w:r w:rsidR="005B076D">
        <w:t>nájmu prostoru sloužícího podnikání</w:t>
      </w:r>
      <w:r w:rsidR="00693D13">
        <w:t xml:space="preserve">, která bude podepsána </w:t>
      </w:r>
      <w:r w:rsidR="005B076D">
        <w:t xml:space="preserve">do </w:t>
      </w:r>
      <w:r w:rsidR="007E23DE">
        <w:t>3 měsíců po podpisu smlouvy o spolupráci.</w:t>
      </w:r>
      <w:r w:rsidR="00CF7B34">
        <w:t xml:space="preserve"> </w:t>
      </w:r>
    </w:p>
    <w:sectPr w:rsidR="00E90E74" w:rsidSect="00834DC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542E" w14:textId="77777777" w:rsidR="00A91EB1" w:rsidRDefault="00A91EB1" w:rsidP="009532F2">
      <w:pPr>
        <w:spacing w:after="0" w:line="240" w:lineRule="auto"/>
      </w:pPr>
      <w:r>
        <w:separator/>
      </w:r>
    </w:p>
  </w:endnote>
  <w:endnote w:type="continuationSeparator" w:id="0">
    <w:p w14:paraId="5BE5FB63" w14:textId="77777777" w:rsidR="00A91EB1" w:rsidRDefault="00A91EB1" w:rsidP="0095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4931" w14:textId="77777777" w:rsidR="006F06E7" w:rsidRPr="0045265F" w:rsidRDefault="006F06E7" w:rsidP="0045265F">
    <w:pPr>
      <w:pStyle w:val="Zhlav"/>
      <w:spacing w:line="360" w:lineRule="auto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20374932" w14:textId="77777777" w:rsidR="006F06E7" w:rsidRPr="00D75445" w:rsidRDefault="006F06E7" w:rsidP="0045265F">
    <w:pPr>
      <w:spacing w:after="0" w:line="240" w:lineRule="auto"/>
      <w:jc w:val="right"/>
      <w:rPr>
        <w:rFonts w:ascii="Calibri" w:hAnsi="Calibri"/>
        <w:color w:val="A6A6A6" w:themeColor="background1" w:themeShade="A6"/>
        <w:sz w:val="20"/>
        <w:szCs w:val="20"/>
      </w:rPr>
    </w:pP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PAGE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920A47">
      <w:rPr>
        <w:rFonts w:ascii="Calibri" w:hAnsi="Calibri"/>
        <w:noProof/>
        <w:color w:val="A6A6A6" w:themeColor="background1" w:themeShade="A6"/>
        <w:sz w:val="20"/>
        <w:szCs w:val="20"/>
      </w:rPr>
      <w:t>2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  <w:r w:rsidRPr="00D75445">
      <w:rPr>
        <w:rFonts w:ascii="Calibri" w:hAnsi="Calibri"/>
        <w:color w:val="A6A6A6" w:themeColor="background1" w:themeShade="A6"/>
        <w:sz w:val="20"/>
        <w:szCs w:val="20"/>
      </w:rPr>
      <w:t xml:space="preserve"> / 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NUMPAGES 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920A47">
      <w:rPr>
        <w:rFonts w:ascii="Calibri" w:hAnsi="Calibri"/>
        <w:noProof/>
        <w:color w:val="A6A6A6" w:themeColor="background1" w:themeShade="A6"/>
        <w:sz w:val="20"/>
        <w:szCs w:val="20"/>
      </w:rPr>
      <w:t>2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C1C7" w14:textId="77777777" w:rsidR="00A91EB1" w:rsidRDefault="00A91EB1" w:rsidP="009532F2">
      <w:pPr>
        <w:spacing w:after="0" w:line="240" w:lineRule="auto"/>
      </w:pPr>
      <w:r>
        <w:separator/>
      </w:r>
    </w:p>
  </w:footnote>
  <w:footnote w:type="continuationSeparator" w:id="0">
    <w:p w14:paraId="48EE8536" w14:textId="77777777" w:rsidR="00A91EB1" w:rsidRDefault="00A91EB1" w:rsidP="0095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492B" w14:textId="77777777" w:rsidR="00C131B2" w:rsidRDefault="00366664">
    <w:pPr>
      <w:pStyle w:val="Zhlav"/>
    </w:pPr>
    <w:r>
      <w:rPr>
        <w:noProof/>
      </w:rPr>
      <w:pict w14:anchorId="20374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2141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492C" w14:textId="77777777" w:rsidR="006F06E7" w:rsidRPr="0045265F" w:rsidRDefault="00366664" w:rsidP="00C7202C">
    <w:pPr>
      <w:pStyle w:val="Zhlav"/>
      <w:jc w:val="center"/>
      <w:rPr>
        <w:b/>
        <w:sz w:val="20"/>
        <w:szCs w:val="20"/>
      </w:rPr>
    </w:pPr>
    <w:r>
      <w:rPr>
        <w:noProof/>
      </w:rPr>
      <w:pict w14:anchorId="20374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2142" o:spid="_x0000_s1027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C7202C">
      <w:rPr>
        <w:b/>
        <w:sz w:val="20"/>
        <w:szCs w:val="20"/>
      </w:rPr>
      <w:t>Smlouva o spolupráci</w:t>
    </w:r>
    <w:r w:rsidR="004446D5">
      <w:rPr>
        <w:b/>
        <w:sz w:val="20"/>
        <w:szCs w:val="20"/>
      </w:rPr>
      <w:t xml:space="preserve"> – Příloha č. </w:t>
    </w:r>
    <w:r w:rsidR="008B0841">
      <w:rPr>
        <w:b/>
        <w:sz w:val="20"/>
        <w:szCs w:val="20"/>
      </w:rPr>
      <w:t>3</w:t>
    </w:r>
    <w:r w:rsidR="004446D5">
      <w:rPr>
        <w:b/>
        <w:sz w:val="20"/>
        <w:szCs w:val="20"/>
      </w:rPr>
      <w:t xml:space="preserve"> </w:t>
    </w:r>
  </w:p>
  <w:p w14:paraId="2037492D" w14:textId="1E9FF07A" w:rsidR="006F06E7" w:rsidRPr="0045265F" w:rsidRDefault="00C7202C" w:rsidP="0045265F">
    <w:pPr>
      <w:pStyle w:val="Zhlav"/>
      <w:rPr>
        <w:b/>
        <w:sz w:val="20"/>
        <w:szCs w:val="20"/>
      </w:rPr>
    </w:pPr>
    <w:r>
      <w:rPr>
        <w:b/>
        <w:sz w:val="20"/>
        <w:szCs w:val="20"/>
      </w:rPr>
      <w:t xml:space="preserve">E.ON </w:t>
    </w:r>
    <w:r w:rsidR="004357A6">
      <w:rPr>
        <w:b/>
        <w:sz w:val="20"/>
        <w:szCs w:val="20"/>
      </w:rPr>
      <w:t>Energie, a.s.</w:t>
    </w:r>
    <w:r w:rsidR="006F06E7" w:rsidRPr="0045265F">
      <w:rPr>
        <w:b/>
        <w:sz w:val="20"/>
        <w:szCs w:val="20"/>
      </w:rPr>
      <w:tab/>
    </w:r>
    <w:r w:rsidR="001F1162">
      <w:rPr>
        <w:b/>
        <w:sz w:val="20"/>
        <w:szCs w:val="20"/>
      </w:rPr>
      <w:t>Jindřichův Hradec</w:t>
    </w:r>
    <w:r w:rsidR="006F06E7" w:rsidRPr="0045265F">
      <w:rPr>
        <w:b/>
        <w:sz w:val="20"/>
        <w:szCs w:val="20"/>
      </w:rPr>
      <w:tab/>
    </w:r>
    <w:r w:rsidR="002973E6">
      <w:rPr>
        <w:b/>
        <w:bCs/>
        <w:sz w:val="20"/>
        <w:szCs w:val="20"/>
      </w:rPr>
      <w:t>Teplospol a.s.</w:t>
    </w:r>
  </w:p>
  <w:p w14:paraId="2037492E" w14:textId="77777777" w:rsidR="006F06E7" w:rsidRDefault="006F06E7" w:rsidP="0045265F">
    <w:pPr>
      <w:pStyle w:val="Zhlav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2037492F" w14:textId="77777777" w:rsidR="006F06E7" w:rsidRPr="003C66DF" w:rsidRDefault="006F06E7" w:rsidP="0045265F">
    <w:pPr>
      <w:pStyle w:val="Zhlav"/>
      <w:rPr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4933" w14:textId="77777777" w:rsidR="004B5DA9" w:rsidRDefault="00366664">
    <w:pPr>
      <w:pStyle w:val="Zhlav"/>
    </w:pPr>
    <w:r>
      <w:rPr>
        <w:noProof/>
      </w:rPr>
      <w:pict w14:anchorId="203749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2140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6F06E7">
      <w:tab/>
    </w:r>
    <w:r w:rsidR="006F06E7">
      <w:tab/>
    </w:r>
  </w:p>
  <w:p w14:paraId="20374934" w14:textId="77777777" w:rsidR="006F06E7" w:rsidRPr="0045265F" w:rsidRDefault="004B5DA9">
    <w:pPr>
      <w:pStyle w:val="Zhlav"/>
      <w:rPr>
        <w:b/>
        <w:sz w:val="20"/>
        <w:szCs w:val="20"/>
      </w:rPr>
    </w:pPr>
    <w:r>
      <w:tab/>
    </w:r>
    <w:r>
      <w:tab/>
    </w:r>
  </w:p>
  <w:p w14:paraId="20374935" w14:textId="77777777" w:rsidR="006F06E7" w:rsidRPr="00C075C0" w:rsidRDefault="006F06E7">
    <w:pPr>
      <w:pStyle w:val="Zhlav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E3"/>
    <w:multiLevelType w:val="hybridMultilevel"/>
    <w:tmpl w:val="FCA84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BC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E525F"/>
    <w:multiLevelType w:val="multilevel"/>
    <w:tmpl w:val="10FC0E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EC3992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D5EA5"/>
    <w:multiLevelType w:val="multilevel"/>
    <w:tmpl w:val="3544F58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22727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B6A8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B6EF1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D1315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2697D"/>
    <w:multiLevelType w:val="hybridMultilevel"/>
    <w:tmpl w:val="99D06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48D3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121BA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846AD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E3D83"/>
    <w:multiLevelType w:val="hybridMultilevel"/>
    <w:tmpl w:val="FBC2C642"/>
    <w:lvl w:ilvl="0" w:tplc="95C8921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657D8"/>
    <w:multiLevelType w:val="hybridMultilevel"/>
    <w:tmpl w:val="85CA1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D49D0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B1328"/>
    <w:multiLevelType w:val="hybridMultilevel"/>
    <w:tmpl w:val="ED740AD8"/>
    <w:lvl w:ilvl="0" w:tplc="ECA4F30A">
      <w:start w:val="19"/>
      <w:numFmt w:val="bullet"/>
      <w:lvlText w:val="▪"/>
      <w:lvlJc w:val="left"/>
      <w:pPr>
        <w:ind w:left="36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27B42"/>
    <w:multiLevelType w:val="multilevel"/>
    <w:tmpl w:val="10FC0E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607B01"/>
    <w:multiLevelType w:val="multilevel"/>
    <w:tmpl w:val="6396E81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7D0046"/>
    <w:multiLevelType w:val="multilevel"/>
    <w:tmpl w:val="10FC0E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95791C"/>
    <w:multiLevelType w:val="hybridMultilevel"/>
    <w:tmpl w:val="2FB6DD28"/>
    <w:lvl w:ilvl="0" w:tplc="7C6832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47134"/>
    <w:multiLevelType w:val="hybridMultilevel"/>
    <w:tmpl w:val="545A8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72F7"/>
    <w:multiLevelType w:val="hybridMultilevel"/>
    <w:tmpl w:val="8F981DE6"/>
    <w:lvl w:ilvl="0" w:tplc="ECA4F30A">
      <w:start w:val="19"/>
      <w:numFmt w:val="bullet"/>
      <w:lvlText w:val="▪"/>
      <w:lvlJc w:val="left"/>
      <w:pPr>
        <w:ind w:left="1428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8741002">
    <w:abstractNumId w:val="4"/>
  </w:num>
  <w:num w:numId="2" w16cid:durableId="1336614585">
    <w:abstractNumId w:val="22"/>
  </w:num>
  <w:num w:numId="3" w16cid:durableId="1373504186">
    <w:abstractNumId w:val="14"/>
  </w:num>
  <w:num w:numId="4" w16cid:durableId="980620159">
    <w:abstractNumId w:val="21"/>
  </w:num>
  <w:num w:numId="5" w16cid:durableId="427309538">
    <w:abstractNumId w:val="0"/>
  </w:num>
  <w:num w:numId="6" w16cid:durableId="366107014">
    <w:abstractNumId w:val="3"/>
  </w:num>
  <w:num w:numId="7" w16cid:durableId="2146501554">
    <w:abstractNumId w:val="5"/>
  </w:num>
  <w:num w:numId="8" w16cid:durableId="1249382468">
    <w:abstractNumId w:val="7"/>
  </w:num>
  <w:num w:numId="9" w16cid:durableId="694573016">
    <w:abstractNumId w:val="6"/>
  </w:num>
  <w:num w:numId="10" w16cid:durableId="699669785">
    <w:abstractNumId w:val="12"/>
  </w:num>
  <w:num w:numId="11" w16cid:durableId="1075013570">
    <w:abstractNumId w:val="10"/>
  </w:num>
  <w:num w:numId="12" w16cid:durableId="676155612">
    <w:abstractNumId w:val="11"/>
  </w:num>
  <w:num w:numId="13" w16cid:durableId="908006204">
    <w:abstractNumId w:val="1"/>
  </w:num>
  <w:num w:numId="14" w16cid:durableId="265190933">
    <w:abstractNumId w:val="8"/>
  </w:num>
  <w:num w:numId="15" w16cid:durableId="781920371">
    <w:abstractNumId w:val="15"/>
  </w:num>
  <w:num w:numId="16" w16cid:durableId="965350565">
    <w:abstractNumId w:val="16"/>
  </w:num>
  <w:num w:numId="17" w16cid:durableId="1142890372">
    <w:abstractNumId w:val="9"/>
  </w:num>
  <w:num w:numId="18" w16cid:durableId="975449888">
    <w:abstractNumId w:val="19"/>
  </w:num>
  <w:num w:numId="19" w16cid:durableId="756437320">
    <w:abstractNumId w:val="17"/>
  </w:num>
  <w:num w:numId="20" w16cid:durableId="2110150894">
    <w:abstractNumId w:val="18"/>
  </w:num>
  <w:num w:numId="21" w16cid:durableId="2011518538">
    <w:abstractNumId w:val="20"/>
  </w:num>
  <w:num w:numId="22" w16cid:durableId="769349212">
    <w:abstractNumId w:val="13"/>
  </w:num>
  <w:num w:numId="23" w16cid:durableId="154344331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66"/>
    <w:rsid w:val="00007DF7"/>
    <w:rsid w:val="000123AB"/>
    <w:rsid w:val="000221CE"/>
    <w:rsid w:val="000307F2"/>
    <w:rsid w:val="00033D0A"/>
    <w:rsid w:val="00037058"/>
    <w:rsid w:val="00045018"/>
    <w:rsid w:val="00047AF2"/>
    <w:rsid w:val="00055BEA"/>
    <w:rsid w:val="00063F86"/>
    <w:rsid w:val="00065726"/>
    <w:rsid w:val="00065731"/>
    <w:rsid w:val="0006693B"/>
    <w:rsid w:val="0007173A"/>
    <w:rsid w:val="00072593"/>
    <w:rsid w:val="00074C25"/>
    <w:rsid w:val="000751D7"/>
    <w:rsid w:val="000771C7"/>
    <w:rsid w:val="000951AA"/>
    <w:rsid w:val="000A1B6A"/>
    <w:rsid w:val="000A1C63"/>
    <w:rsid w:val="000A57AC"/>
    <w:rsid w:val="000B00FE"/>
    <w:rsid w:val="000B20C2"/>
    <w:rsid w:val="000B2536"/>
    <w:rsid w:val="000B3FE6"/>
    <w:rsid w:val="000B4B25"/>
    <w:rsid w:val="000B52AC"/>
    <w:rsid w:val="000C5BFB"/>
    <w:rsid w:val="000D349B"/>
    <w:rsid w:val="000D6297"/>
    <w:rsid w:val="000E7E4E"/>
    <w:rsid w:val="000F0B89"/>
    <w:rsid w:val="000F48A6"/>
    <w:rsid w:val="000F5E68"/>
    <w:rsid w:val="000F6924"/>
    <w:rsid w:val="001010AC"/>
    <w:rsid w:val="0010197F"/>
    <w:rsid w:val="001053F5"/>
    <w:rsid w:val="00106BE1"/>
    <w:rsid w:val="00131E79"/>
    <w:rsid w:val="001345CC"/>
    <w:rsid w:val="001354DC"/>
    <w:rsid w:val="00140F4B"/>
    <w:rsid w:val="00141C42"/>
    <w:rsid w:val="001421B9"/>
    <w:rsid w:val="001439A9"/>
    <w:rsid w:val="0015151E"/>
    <w:rsid w:val="00153B77"/>
    <w:rsid w:val="00157D22"/>
    <w:rsid w:val="001648AA"/>
    <w:rsid w:val="0016542B"/>
    <w:rsid w:val="0017501C"/>
    <w:rsid w:val="00176682"/>
    <w:rsid w:val="001804BA"/>
    <w:rsid w:val="00187F35"/>
    <w:rsid w:val="00190246"/>
    <w:rsid w:val="00190F94"/>
    <w:rsid w:val="00197B2D"/>
    <w:rsid w:val="001A0CC5"/>
    <w:rsid w:val="001A0CF3"/>
    <w:rsid w:val="001B61F2"/>
    <w:rsid w:val="001C1D59"/>
    <w:rsid w:val="001C254B"/>
    <w:rsid w:val="001C5FD0"/>
    <w:rsid w:val="001C6E6C"/>
    <w:rsid w:val="001C7E7B"/>
    <w:rsid w:val="001D251B"/>
    <w:rsid w:val="001E1F27"/>
    <w:rsid w:val="001E2174"/>
    <w:rsid w:val="001E41F2"/>
    <w:rsid w:val="001F1162"/>
    <w:rsid w:val="001F11E6"/>
    <w:rsid w:val="001F1A1F"/>
    <w:rsid w:val="001F2934"/>
    <w:rsid w:val="001F55BB"/>
    <w:rsid w:val="002034CA"/>
    <w:rsid w:val="0020556A"/>
    <w:rsid w:val="00205E3E"/>
    <w:rsid w:val="00214F8C"/>
    <w:rsid w:val="002201E0"/>
    <w:rsid w:val="00223E22"/>
    <w:rsid w:val="0023593F"/>
    <w:rsid w:val="00240820"/>
    <w:rsid w:val="00240F3F"/>
    <w:rsid w:val="00244433"/>
    <w:rsid w:val="00245B8C"/>
    <w:rsid w:val="00245F05"/>
    <w:rsid w:val="00250FD2"/>
    <w:rsid w:val="002525CF"/>
    <w:rsid w:val="00252643"/>
    <w:rsid w:val="002529BC"/>
    <w:rsid w:val="00260583"/>
    <w:rsid w:val="00264B1A"/>
    <w:rsid w:val="00270502"/>
    <w:rsid w:val="0027666B"/>
    <w:rsid w:val="002856BC"/>
    <w:rsid w:val="0029031E"/>
    <w:rsid w:val="002973E6"/>
    <w:rsid w:val="002A6A79"/>
    <w:rsid w:val="002B0468"/>
    <w:rsid w:val="002B1B72"/>
    <w:rsid w:val="002B2143"/>
    <w:rsid w:val="002C0A30"/>
    <w:rsid w:val="002C25E7"/>
    <w:rsid w:val="002C4F70"/>
    <w:rsid w:val="002C6657"/>
    <w:rsid w:val="002D5426"/>
    <w:rsid w:val="002D5CE7"/>
    <w:rsid w:val="002E4D18"/>
    <w:rsid w:val="002F296F"/>
    <w:rsid w:val="002F53DF"/>
    <w:rsid w:val="00304EF1"/>
    <w:rsid w:val="003068AF"/>
    <w:rsid w:val="00313099"/>
    <w:rsid w:val="00316D6B"/>
    <w:rsid w:val="00321388"/>
    <w:rsid w:val="00325943"/>
    <w:rsid w:val="0033233B"/>
    <w:rsid w:val="00337464"/>
    <w:rsid w:val="00340CAF"/>
    <w:rsid w:val="00354C15"/>
    <w:rsid w:val="00362D47"/>
    <w:rsid w:val="00366664"/>
    <w:rsid w:val="00374845"/>
    <w:rsid w:val="00377F2D"/>
    <w:rsid w:val="003B1C56"/>
    <w:rsid w:val="003B535D"/>
    <w:rsid w:val="003B55B0"/>
    <w:rsid w:val="003B5784"/>
    <w:rsid w:val="003B6C6B"/>
    <w:rsid w:val="003C1512"/>
    <w:rsid w:val="003C2531"/>
    <w:rsid w:val="003C2D3C"/>
    <w:rsid w:val="003C4A55"/>
    <w:rsid w:val="003C6224"/>
    <w:rsid w:val="003C66DF"/>
    <w:rsid w:val="003C6C86"/>
    <w:rsid w:val="003D5BC6"/>
    <w:rsid w:val="003E2AAB"/>
    <w:rsid w:val="003E3EB4"/>
    <w:rsid w:val="003F19EF"/>
    <w:rsid w:val="003F3938"/>
    <w:rsid w:val="003F6A78"/>
    <w:rsid w:val="00400CA2"/>
    <w:rsid w:val="00401F9A"/>
    <w:rsid w:val="0040456E"/>
    <w:rsid w:val="00405F51"/>
    <w:rsid w:val="00407248"/>
    <w:rsid w:val="00415406"/>
    <w:rsid w:val="0042215D"/>
    <w:rsid w:val="00423980"/>
    <w:rsid w:val="004253A1"/>
    <w:rsid w:val="004253AE"/>
    <w:rsid w:val="004305EE"/>
    <w:rsid w:val="004312C1"/>
    <w:rsid w:val="00431907"/>
    <w:rsid w:val="0043537D"/>
    <w:rsid w:val="004357A6"/>
    <w:rsid w:val="00441ABB"/>
    <w:rsid w:val="00442BB0"/>
    <w:rsid w:val="004446D5"/>
    <w:rsid w:val="004460FD"/>
    <w:rsid w:val="00447E6F"/>
    <w:rsid w:val="004508BD"/>
    <w:rsid w:val="0045265F"/>
    <w:rsid w:val="00453916"/>
    <w:rsid w:val="00462155"/>
    <w:rsid w:val="004629C2"/>
    <w:rsid w:val="00466A56"/>
    <w:rsid w:val="0046761D"/>
    <w:rsid w:val="0046790D"/>
    <w:rsid w:val="00467FA0"/>
    <w:rsid w:val="00470FC2"/>
    <w:rsid w:val="00473C19"/>
    <w:rsid w:val="004900E8"/>
    <w:rsid w:val="004904D2"/>
    <w:rsid w:val="00492995"/>
    <w:rsid w:val="00497DA9"/>
    <w:rsid w:val="004A48F7"/>
    <w:rsid w:val="004B5DA9"/>
    <w:rsid w:val="004B76CD"/>
    <w:rsid w:val="004C08F3"/>
    <w:rsid w:val="004D09FB"/>
    <w:rsid w:val="004D1AEE"/>
    <w:rsid w:val="004E2953"/>
    <w:rsid w:val="004E2E69"/>
    <w:rsid w:val="004E3835"/>
    <w:rsid w:val="004E655F"/>
    <w:rsid w:val="004F350C"/>
    <w:rsid w:val="00501114"/>
    <w:rsid w:val="005040ED"/>
    <w:rsid w:val="00507C50"/>
    <w:rsid w:val="00507D51"/>
    <w:rsid w:val="0051139D"/>
    <w:rsid w:val="005138F3"/>
    <w:rsid w:val="00513933"/>
    <w:rsid w:val="00514B82"/>
    <w:rsid w:val="00514D38"/>
    <w:rsid w:val="00516CCA"/>
    <w:rsid w:val="00520075"/>
    <w:rsid w:val="00522560"/>
    <w:rsid w:val="00523ABF"/>
    <w:rsid w:val="00524B29"/>
    <w:rsid w:val="00526AE6"/>
    <w:rsid w:val="00530F22"/>
    <w:rsid w:val="005325FC"/>
    <w:rsid w:val="00533185"/>
    <w:rsid w:val="00534678"/>
    <w:rsid w:val="00537B22"/>
    <w:rsid w:val="005536F8"/>
    <w:rsid w:val="005551DD"/>
    <w:rsid w:val="00555A90"/>
    <w:rsid w:val="0055624A"/>
    <w:rsid w:val="00556717"/>
    <w:rsid w:val="005615AB"/>
    <w:rsid w:val="00562008"/>
    <w:rsid w:val="00563DE9"/>
    <w:rsid w:val="00564530"/>
    <w:rsid w:val="0057687F"/>
    <w:rsid w:val="005775EB"/>
    <w:rsid w:val="005840DC"/>
    <w:rsid w:val="00584C4E"/>
    <w:rsid w:val="00587D99"/>
    <w:rsid w:val="00591FE2"/>
    <w:rsid w:val="005927E8"/>
    <w:rsid w:val="00593701"/>
    <w:rsid w:val="005958AB"/>
    <w:rsid w:val="00597520"/>
    <w:rsid w:val="005A1724"/>
    <w:rsid w:val="005A23F3"/>
    <w:rsid w:val="005A42EE"/>
    <w:rsid w:val="005B076D"/>
    <w:rsid w:val="005B0A16"/>
    <w:rsid w:val="005B4C13"/>
    <w:rsid w:val="005C10C4"/>
    <w:rsid w:val="005D34C8"/>
    <w:rsid w:val="005D356A"/>
    <w:rsid w:val="005D5FB8"/>
    <w:rsid w:val="005E197D"/>
    <w:rsid w:val="005F4303"/>
    <w:rsid w:val="005F6B74"/>
    <w:rsid w:val="00601DE9"/>
    <w:rsid w:val="00605A37"/>
    <w:rsid w:val="00612DFC"/>
    <w:rsid w:val="006134EE"/>
    <w:rsid w:val="00615F8B"/>
    <w:rsid w:val="00617E95"/>
    <w:rsid w:val="0062012E"/>
    <w:rsid w:val="00627459"/>
    <w:rsid w:val="00631A59"/>
    <w:rsid w:val="006325EF"/>
    <w:rsid w:val="00633724"/>
    <w:rsid w:val="00640A42"/>
    <w:rsid w:val="006459A5"/>
    <w:rsid w:val="00647D0C"/>
    <w:rsid w:val="006507B8"/>
    <w:rsid w:val="006601A6"/>
    <w:rsid w:val="00666759"/>
    <w:rsid w:val="00670DA1"/>
    <w:rsid w:val="00684F3A"/>
    <w:rsid w:val="00686C41"/>
    <w:rsid w:val="00686D25"/>
    <w:rsid w:val="00693D13"/>
    <w:rsid w:val="006A3048"/>
    <w:rsid w:val="006A3FF5"/>
    <w:rsid w:val="006A40E0"/>
    <w:rsid w:val="006A69D3"/>
    <w:rsid w:val="006B2A36"/>
    <w:rsid w:val="006B5BC3"/>
    <w:rsid w:val="006B769B"/>
    <w:rsid w:val="006C0C18"/>
    <w:rsid w:val="006C399A"/>
    <w:rsid w:val="006C7894"/>
    <w:rsid w:val="006D3671"/>
    <w:rsid w:val="006D64EC"/>
    <w:rsid w:val="006E6A21"/>
    <w:rsid w:val="006F06E7"/>
    <w:rsid w:val="006F2D7D"/>
    <w:rsid w:val="006F395A"/>
    <w:rsid w:val="0070756B"/>
    <w:rsid w:val="00714658"/>
    <w:rsid w:val="007149CA"/>
    <w:rsid w:val="0071577E"/>
    <w:rsid w:val="007213DB"/>
    <w:rsid w:val="00723C66"/>
    <w:rsid w:val="007343D4"/>
    <w:rsid w:val="00743ADB"/>
    <w:rsid w:val="00743B12"/>
    <w:rsid w:val="00745587"/>
    <w:rsid w:val="0076214C"/>
    <w:rsid w:val="007748AA"/>
    <w:rsid w:val="007774A4"/>
    <w:rsid w:val="00777725"/>
    <w:rsid w:val="00785B6F"/>
    <w:rsid w:val="00794417"/>
    <w:rsid w:val="00796492"/>
    <w:rsid w:val="007A22EB"/>
    <w:rsid w:val="007B0054"/>
    <w:rsid w:val="007B14D7"/>
    <w:rsid w:val="007B3E93"/>
    <w:rsid w:val="007C2F1F"/>
    <w:rsid w:val="007C359D"/>
    <w:rsid w:val="007C5A15"/>
    <w:rsid w:val="007D1637"/>
    <w:rsid w:val="007D4FE8"/>
    <w:rsid w:val="007D5416"/>
    <w:rsid w:val="007D6537"/>
    <w:rsid w:val="007E2039"/>
    <w:rsid w:val="007E23DE"/>
    <w:rsid w:val="007E2E1D"/>
    <w:rsid w:val="007E63B5"/>
    <w:rsid w:val="007E7045"/>
    <w:rsid w:val="00803BE5"/>
    <w:rsid w:val="00815788"/>
    <w:rsid w:val="00816937"/>
    <w:rsid w:val="008207CA"/>
    <w:rsid w:val="00821630"/>
    <w:rsid w:val="00822B33"/>
    <w:rsid w:val="00827343"/>
    <w:rsid w:val="00834DC3"/>
    <w:rsid w:val="00835C9F"/>
    <w:rsid w:val="00841AD7"/>
    <w:rsid w:val="00845014"/>
    <w:rsid w:val="008478BA"/>
    <w:rsid w:val="00855FAA"/>
    <w:rsid w:val="00861C18"/>
    <w:rsid w:val="00862A18"/>
    <w:rsid w:val="00867022"/>
    <w:rsid w:val="00871D68"/>
    <w:rsid w:val="008954E8"/>
    <w:rsid w:val="008A3716"/>
    <w:rsid w:val="008A5D7F"/>
    <w:rsid w:val="008B0841"/>
    <w:rsid w:val="008B1F84"/>
    <w:rsid w:val="008B431C"/>
    <w:rsid w:val="008C334F"/>
    <w:rsid w:val="008C3F57"/>
    <w:rsid w:val="008C414A"/>
    <w:rsid w:val="008D4AC8"/>
    <w:rsid w:val="008D747D"/>
    <w:rsid w:val="008E37BA"/>
    <w:rsid w:val="008E3D9C"/>
    <w:rsid w:val="008E47B2"/>
    <w:rsid w:val="008E5EDB"/>
    <w:rsid w:val="008F08B3"/>
    <w:rsid w:val="008F0B35"/>
    <w:rsid w:val="008F14CA"/>
    <w:rsid w:val="008F15F1"/>
    <w:rsid w:val="008F50FA"/>
    <w:rsid w:val="008F64E6"/>
    <w:rsid w:val="00915D86"/>
    <w:rsid w:val="009204FC"/>
    <w:rsid w:val="00920A47"/>
    <w:rsid w:val="00921FD1"/>
    <w:rsid w:val="009222DB"/>
    <w:rsid w:val="0092655E"/>
    <w:rsid w:val="00930BCE"/>
    <w:rsid w:val="0093356B"/>
    <w:rsid w:val="0094030F"/>
    <w:rsid w:val="00943BAE"/>
    <w:rsid w:val="0094479C"/>
    <w:rsid w:val="00946F5E"/>
    <w:rsid w:val="00950E75"/>
    <w:rsid w:val="00951156"/>
    <w:rsid w:val="009532F2"/>
    <w:rsid w:val="0096408C"/>
    <w:rsid w:val="00966EED"/>
    <w:rsid w:val="009753AE"/>
    <w:rsid w:val="00975880"/>
    <w:rsid w:val="009834B1"/>
    <w:rsid w:val="00985C84"/>
    <w:rsid w:val="00986363"/>
    <w:rsid w:val="00990AE3"/>
    <w:rsid w:val="00991604"/>
    <w:rsid w:val="00991C31"/>
    <w:rsid w:val="009927BE"/>
    <w:rsid w:val="00994EF1"/>
    <w:rsid w:val="009951C9"/>
    <w:rsid w:val="009A59BA"/>
    <w:rsid w:val="009A6F89"/>
    <w:rsid w:val="009C19C9"/>
    <w:rsid w:val="009D3D68"/>
    <w:rsid w:val="009D67FB"/>
    <w:rsid w:val="009E04E4"/>
    <w:rsid w:val="009E3EE5"/>
    <w:rsid w:val="009E41FF"/>
    <w:rsid w:val="009E4B59"/>
    <w:rsid w:val="009E66DF"/>
    <w:rsid w:val="009F2765"/>
    <w:rsid w:val="009F6E4B"/>
    <w:rsid w:val="00A00392"/>
    <w:rsid w:val="00A0290A"/>
    <w:rsid w:val="00A10118"/>
    <w:rsid w:val="00A15692"/>
    <w:rsid w:val="00A217A5"/>
    <w:rsid w:val="00A22727"/>
    <w:rsid w:val="00A25CF7"/>
    <w:rsid w:val="00A27F9C"/>
    <w:rsid w:val="00A31558"/>
    <w:rsid w:val="00A3163C"/>
    <w:rsid w:val="00A31F0A"/>
    <w:rsid w:val="00A35349"/>
    <w:rsid w:val="00A3626B"/>
    <w:rsid w:val="00A37D99"/>
    <w:rsid w:val="00A45F51"/>
    <w:rsid w:val="00A50E7B"/>
    <w:rsid w:val="00A53FF5"/>
    <w:rsid w:val="00A64E4C"/>
    <w:rsid w:val="00A73387"/>
    <w:rsid w:val="00A735BD"/>
    <w:rsid w:val="00A7624A"/>
    <w:rsid w:val="00A826DD"/>
    <w:rsid w:val="00A82F11"/>
    <w:rsid w:val="00A84041"/>
    <w:rsid w:val="00A86BE6"/>
    <w:rsid w:val="00A91EB1"/>
    <w:rsid w:val="00A926EA"/>
    <w:rsid w:val="00AA2286"/>
    <w:rsid w:val="00AB4C00"/>
    <w:rsid w:val="00AC7B34"/>
    <w:rsid w:val="00AE380C"/>
    <w:rsid w:val="00AE74D3"/>
    <w:rsid w:val="00AF28D8"/>
    <w:rsid w:val="00AF62E8"/>
    <w:rsid w:val="00B005A5"/>
    <w:rsid w:val="00B00770"/>
    <w:rsid w:val="00B01BB3"/>
    <w:rsid w:val="00B03025"/>
    <w:rsid w:val="00B12F3F"/>
    <w:rsid w:val="00B15DF7"/>
    <w:rsid w:val="00B17AF5"/>
    <w:rsid w:val="00B20A2F"/>
    <w:rsid w:val="00B2287F"/>
    <w:rsid w:val="00B23A26"/>
    <w:rsid w:val="00B24F50"/>
    <w:rsid w:val="00B31363"/>
    <w:rsid w:val="00B330E4"/>
    <w:rsid w:val="00B33C4D"/>
    <w:rsid w:val="00B3565F"/>
    <w:rsid w:val="00B35C1D"/>
    <w:rsid w:val="00B36EA9"/>
    <w:rsid w:val="00B374D0"/>
    <w:rsid w:val="00B41F37"/>
    <w:rsid w:val="00B523C7"/>
    <w:rsid w:val="00B53759"/>
    <w:rsid w:val="00B53995"/>
    <w:rsid w:val="00B54A8F"/>
    <w:rsid w:val="00B61A82"/>
    <w:rsid w:val="00B650DC"/>
    <w:rsid w:val="00B74A2D"/>
    <w:rsid w:val="00B75E2F"/>
    <w:rsid w:val="00B87B76"/>
    <w:rsid w:val="00B9103E"/>
    <w:rsid w:val="00B937F8"/>
    <w:rsid w:val="00B93AB9"/>
    <w:rsid w:val="00B9547F"/>
    <w:rsid w:val="00B9551B"/>
    <w:rsid w:val="00B95EC3"/>
    <w:rsid w:val="00BA3DB7"/>
    <w:rsid w:val="00BA484D"/>
    <w:rsid w:val="00BB1223"/>
    <w:rsid w:val="00BB1AD2"/>
    <w:rsid w:val="00BB35A0"/>
    <w:rsid w:val="00BC24AB"/>
    <w:rsid w:val="00BC2CFD"/>
    <w:rsid w:val="00BC3DE0"/>
    <w:rsid w:val="00BD2286"/>
    <w:rsid w:val="00BD7779"/>
    <w:rsid w:val="00C0165A"/>
    <w:rsid w:val="00C021EF"/>
    <w:rsid w:val="00C075C0"/>
    <w:rsid w:val="00C12305"/>
    <w:rsid w:val="00C131B2"/>
    <w:rsid w:val="00C14CA5"/>
    <w:rsid w:val="00C263E6"/>
    <w:rsid w:val="00C302D3"/>
    <w:rsid w:val="00C30E61"/>
    <w:rsid w:val="00C34132"/>
    <w:rsid w:val="00C45F14"/>
    <w:rsid w:val="00C51541"/>
    <w:rsid w:val="00C52B22"/>
    <w:rsid w:val="00C579B0"/>
    <w:rsid w:val="00C6027A"/>
    <w:rsid w:val="00C6556C"/>
    <w:rsid w:val="00C7202C"/>
    <w:rsid w:val="00C75363"/>
    <w:rsid w:val="00C77FE3"/>
    <w:rsid w:val="00C8443D"/>
    <w:rsid w:val="00C84F17"/>
    <w:rsid w:val="00CA57EC"/>
    <w:rsid w:val="00CB0EA4"/>
    <w:rsid w:val="00CB3D54"/>
    <w:rsid w:val="00CC2472"/>
    <w:rsid w:val="00CC4AE7"/>
    <w:rsid w:val="00CD066B"/>
    <w:rsid w:val="00CD07F6"/>
    <w:rsid w:val="00CD1082"/>
    <w:rsid w:val="00CD2ADD"/>
    <w:rsid w:val="00CE035E"/>
    <w:rsid w:val="00CE291E"/>
    <w:rsid w:val="00CF001B"/>
    <w:rsid w:val="00CF2396"/>
    <w:rsid w:val="00CF5CCD"/>
    <w:rsid w:val="00CF6445"/>
    <w:rsid w:val="00CF6DFF"/>
    <w:rsid w:val="00CF7B34"/>
    <w:rsid w:val="00D005AA"/>
    <w:rsid w:val="00D02B67"/>
    <w:rsid w:val="00D113DA"/>
    <w:rsid w:val="00D13149"/>
    <w:rsid w:val="00D13752"/>
    <w:rsid w:val="00D1717E"/>
    <w:rsid w:val="00D204EB"/>
    <w:rsid w:val="00D34892"/>
    <w:rsid w:val="00D35C28"/>
    <w:rsid w:val="00D60683"/>
    <w:rsid w:val="00D63BE4"/>
    <w:rsid w:val="00D6472E"/>
    <w:rsid w:val="00D65135"/>
    <w:rsid w:val="00D73332"/>
    <w:rsid w:val="00D73399"/>
    <w:rsid w:val="00D74DE9"/>
    <w:rsid w:val="00D75445"/>
    <w:rsid w:val="00D779C4"/>
    <w:rsid w:val="00D8376F"/>
    <w:rsid w:val="00D83C16"/>
    <w:rsid w:val="00D84BDB"/>
    <w:rsid w:val="00D879CA"/>
    <w:rsid w:val="00D9316C"/>
    <w:rsid w:val="00DA7F5B"/>
    <w:rsid w:val="00DB44AB"/>
    <w:rsid w:val="00DB4FE0"/>
    <w:rsid w:val="00DC7A30"/>
    <w:rsid w:val="00DD04CE"/>
    <w:rsid w:val="00DD0C4E"/>
    <w:rsid w:val="00DD5C1F"/>
    <w:rsid w:val="00DE3DFA"/>
    <w:rsid w:val="00DF1E63"/>
    <w:rsid w:val="00DF2A38"/>
    <w:rsid w:val="00DF31D2"/>
    <w:rsid w:val="00DF4BE4"/>
    <w:rsid w:val="00E000C1"/>
    <w:rsid w:val="00E038C5"/>
    <w:rsid w:val="00E10445"/>
    <w:rsid w:val="00E21AAE"/>
    <w:rsid w:val="00E3134B"/>
    <w:rsid w:val="00E32B56"/>
    <w:rsid w:val="00E339C0"/>
    <w:rsid w:val="00E347DE"/>
    <w:rsid w:val="00E46CDE"/>
    <w:rsid w:val="00E53CDC"/>
    <w:rsid w:val="00E6604F"/>
    <w:rsid w:val="00E6734E"/>
    <w:rsid w:val="00E737C4"/>
    <w:rsid w:val="00E75731"/>
    <w:rsid w:val="00E76539"/>
    <w:rsid w:val="00E82E6B"/>
    <w:rsid w:val="00E85980"/>
    <w:rsid w:val="00E90E74"/>
    <w:rsid w:val="00E95864"/>
    <w:rsid w:val="00EA431B"/>
    <w:rsid w:val="00EC18F2"/>
    <w:rsid w:val="00EC5AC2"/>
    <w:rsid w:val="00EC60D6"/>
    <w:rsid w:val="00EC6CAC"/>
    <w:rsid w:val="00EC7161"/>
    <w:rsid w:val="00EC7952"/>
    <w:rsid w:val="00EE5342"/>
    <w:rsid w:val="00EE6DA1"/>
    <w:rsid w:val="00EF4B25"/>
    <w:rsid w:val="00EF740B"/>
    <w:rsid w:val="00F06B27"/>
    <w:rsid w:val="00F07B1A"/>
    <w:rsid w:val="00F1083C"/>
    <w:rsid w:val="00F143ED"/>
    <w:rsid w:val="00F2199F"/>
    <w:rsid w:val="00F24995"/>
    <w:rsid w:val="00F260A9"/>
    <w:rsid w:val="00F26E48"/>
    <w:rsid w:val="00F32CCB"/>
    <w:rsid w:val="00F33FB0"/>
    <w:rsid w:val="00F3411B"/>
    <w:rsid w:val="00F5552A"/>
    <w:rsid w:val="00F56B20"/>
    <w:rsid w:val="00F64448"/>
    <w:rsid w:val="00F650B0"/>
    <w:rsid w:val="00F67F99"/>
    <w:rsid w:val="00F70587"/>
    <w:rsid w:val="00F84740"/>
    <w:rsid w:val="00F865CD"/>
    <w:rsid w:val="00F90E21"/>
    <w:rsid w:val="00FA0139"/>
    <w:rsid w:val="00FA3442"/>
    <w:rsid w:val="00FB5EF0"/>
    <w:rsid w:val="00FC14C7"/>
    <w:rsid w:val="00FD5374"/>
    <w:rsid w:val="00FE4FA2"/>
    <w:rsid w:val="00FF2512"/>
    <w:rsid w:val="00FF2B48"/>
    <w:rsid w:val="00FF35B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490C"/>
  <w15:docId w15:val="{3952ED9C-2C73-454D-A4C9-9F97F850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FE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FE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7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C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2F2"/>
  </w:style>
  <w:style w:type="paragraph" w:styleId="Zpat">
    <w:name w:val="footer"/>
    <w:basedOn w:val="Normln"/>
    <w:link w:val="Zpat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2F2"/>
  </w:style>
  <w:style w:type="paragraph" w:styleId="Bezmezer">
    <w:name w:val="No Spacing"/>
    <w:link w:val="BezmezerChar"/>
    <w:uiPriority w:val="1"/>
    <w:qFormat/>
    <w:rsid w:val="00834DC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34DC3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0A1C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FE3"/>
    <w:rPr>
      <w:rFonts w:eastAsiaTheme="majorEastAsia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1A1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6542B"/>
    <w:pPr>
      <w:tabs>
        <w:tab w:val="left" w:pos="567"/>
        <w:tab w:val="right" w:leader="dot" w:pos="9062"/>
      </w:tabs>
      <w:spacing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F1A1F"/>
    <w:pPr>
      <w:spacing w:before="120" w:after="120"/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F1A1F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F1A1F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F1A1F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F1A1F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F1A1F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F1A1F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F1A1F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1A1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75445"/>
    <w:pPr>
      <w:spacing w:line="240" w:lineRule="auto"/>
    </w:pPr>
    <w:rPr>
      <w:bCs/>
      <w:sz w:val="20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75445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C77FE3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7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C075C0"/>
    <w:rPr>
      <w:color w:val="808080"/>
    </w:rPr>
  </w:style>
  <w:style w:type="table" w:styleId="Mkatabulky">
    <w:name w:val="Table Grid"/>
    <w:basedOn w:val="Normlntabulka"/>
    <w:uiPriority w:val="59"/>
    <w:rsid w:val="006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5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C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C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b74ff-7a6c-451b-a3d4-8b43d7c73b37">
      <Terms xmlns="http://schemas.microsoft.com/office/infopath/2007/PartnerControls"/>
    </lcf76f155ced4ddcb4097134ff3c332f>
    <TaxCatchAll xmlns="cfcd77c0-a467-45d7-bcb4-7e08505087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6D7BE74BD8F46AD048D466AB486E6" ma:contentTypeVersion="17" ma:contentTypeDescription="Create a new document." ma:contentTypeScope="" ma:versionID="985dc2b5fd62541f60eb2ad55c0a6a2c">
  <xsd:schema xmlns:xsd="http://www.w3.org/2001/XMLSchema" xmlns:xs="http://www.w3.org/2001/XMLSchema" xmlns:p="http://schemas.microsoft.com/office/2006/metadata/properties" xmlns:ns2="2f2b74ff-7a6c-451b-a3d4-8b43d7c73b37" xmlns:ns3="cfcd77c0-a467-45d7-bcb4-7e085050873c" targetNamespace="http://schemas.microsoft.com/office/2006/metadata/properties" ma:root="true" ma:fieldsID="484e15f9402bca403e322e33b232d828" ns2:_="" ns3:_="">
    <xsd:import namespace="2f2b74ff-7a6c-451b-a3d4-8b43d7c73b37"/>
    <xsd:import namespace="cfcd77c0-a467-45d7-bcb4-7e085050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4ff-7a6c-451b-a3d4-8b43d7c7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77c0-a467-45d7-bcb4-7e0850508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58a31-3698-4441-b991-199555f6adb5}" ma:internalName="TaxCatchAll" ma:showField="CatchAllData" ma:web="cfcd77c0-a467-45d7-bcb4-7e0850508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B1227-CFDC-4B2E-B29D-41773F864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64DA3-C5CE-49B7-BB47-D210BC6DB9A5}">
  <ds:schemaRefs>
    <ds:schemaRef ds:uri="http://schemas.microsoft.com/office/2006/metadata/properties"/>
    <ds:schemaRef ds:uri="http://schemas.microsoft.com/office/infopath/2007/PartnerControls"/>
    <ds:schemaRef ds:uri="2f2b74ff-7a6c-451b-a3d4-8b43d7c73b37"/>
    <ds:schemaRef ds:uri="cfcd77c0-a467-45d7-bcb4-7e085050873c"/>
  </ds:schemaRefs>
</ds:datastoreItem>
</file>

<file path=customXml/itemProps3.xml><?xml version="1.0" encoding="utf-8"?>
<ds:datastoreItem xmlns:ds="http://schemas.openxmlformats.org/officeDocument/2006/customXml" ds:itemID="{B4613E55-42A3-40EE-AD2D-AAA12BABA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30FCC-D96E-4BBD-97FD-4EEFE098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4ff-7a6c-451b-a3d4-8b43d7c73b37"/>
    <ds:schemaRef ds:uri="cfcd77c0-a467-45d7-bcb4-7e085050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Výtopna Mydlovary</vt:lpstr>
    </vt:vector>
  </TitlesOfParts>
  <Company>E.ON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Výtopna Mydlovary</dc:title>
  <dc:subject>Studie proveditelnosti</dc:subject>
  <dc:creator>r18529</dc:creator>
  <cp:lastModifiedBy>Iva Plachá</cp:lastModifiedBy>
  <cp:revision>31</cp:revision>
  <cp:lastPrinted>2017-12-04T10:40:00Z</cp:lastPrinted>
  <dcterms:created xsi:type="dcterms:W3CDTF">2023-09-01T08:33:00Z</dcterms:created>
  <dcterms:modified xsi:type="dcterms:W3CDTF">2023-11-23T12:00:00Z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0x0101007746D7BE74BD8F46AD048D466AB486E6</vt:lpwstr>
  </property>
  <property fmtid="{D5CDD505-2E9C-101B-9397-08002B2CF9AE}" pid="3" name="MediaServiceImageTags">
    <vt:lpwstr/>
  </property>
</Properties>
</file>