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70526" w14:textId="77777777" w:rsidR="005433EA" w:rsidRPr="00105AD7" w:rsidRDefault="005433EA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</w:rPr>
      </w:pPr>
      <w:r w:rsidRPr="00105AD7">
        <w:rPr>
          <w:rFonts w:asciiTheme="minorHAnsi" w:hAnsiTheme="minorHAnsi" w:cstheme="minorHAnsi"/>
          <w:spacing w:val="60"/>
          <w:sz w:val="22"/>
          <w:szCs w:val="22"/>
          <w:lang w:val="cs-CZ"/>
        </w:rPr>
        <w:t xml:space="preserve">Odůvodnění ke změně </w:t>
      </w:r>
      <w:r w:rsidRPr="00105AD7">
        <w:rPr>
          <w:rFonts w:asciiTheme="minorHAnsi" w:hAnsiTheme="minorHAnsi" w:cstheme="minorHAnsi"/>
          <w:spacing w:val="60"/>
          <w:sz w:val="22"/>
          <w:szCs w:val="22"/>
        </w:rPr>
        <w:t>S</w:t>
      </w:r>
      <w:r w:rsidRPr="00105AD7">
        <w:rPr>
          <w:rFonts w:asciiTheme="minorHAnsi" w:hAnsiTheme="minorHAnsi" w:cstheme="minorHAnsi"/>
          <w:spacing w:val="60"/>
          <w:sz w:val="22"/>
          <w:szCs w:val="22"/>
          <w:lang w:val="cs-CZ"/>
        </w:rPr>
        <w:t>mlouvy o provedení stavby</w:t>
      </w:r>
    </w:p>
    <w:p w14:paraId="133D536E" w14:textId="77777777" w:rsidR="005433EA" w:rsidRPr="00105AD7" w:rsidRDefault="005433EA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</w:pPr>
      <w:r w:rsidRPr="00105AD7">
        <w:rPr>
          <w:rFonts w:asciiTheme="minorHAnsi" w:hAnsiTheme="minorHAnsi" w:cstheme="minorHAnsi"/>
          <w:b w:val="0"/>
          <w:spacing w:val="60"/>
          <w:sz w:val="22"/>
          <w:szCs w:val="22"/>
          <w:lang w:val="cs-CZ"/>
        </w:rPr>
        <w:t>číslo smlouvy Objednatele: SML/2021/484</w:t>
      </w:r>
    </w:p>
    <w:p w14:paraId="32B66785" w14:textId="77777777" w:rsidR="005433EA" w:rsidRPr="00105AD7" w:rsidRDefault="005433EA" w:rsidP="000728CB">
      <w:pPr>
        <w:spacing w:after="120" w:line="252" w:lineRule="auto"/>
        <w:ind w:left="284"/>
        <w:jc w:val="center"/>
        <w:rPr>
          <w:rFonts w:cstheme="minorHAnsi"/>
        </w:rPr>
      </w:pPr>
      <w:r w:rsidRPr="00105AD7">
        <w:rPr>
          <w:rFonts w:cstheme="minorHAnsi"/>
        </w:rPr>
        <w:t>který uzavřely níže uvedeného dne, měsíce a roku tyto smluvní strany:</w:t>
      </w:r>
    </w:p>
    <w:p w14:paraId="1AAE3AE0" w14:textId="77777777" w:rsidR="005433EA" w:rsidRPr="00105AD7" w:rsidRDefault="005433EA" w:rsidP="000728CB">
      <w:pPr>
        <w:spacing w:line="252" w:lineRule="auto"/>
        <w:ind w:left="284"/>
        <w:jc w:val="center"/>
        <w:rPr>
          <w:rFonts w:cstheme="minorHAnsi"/>
        </w:rPr>
      </w:pPr>
    </w:p>
    <w:p w14:paraId="291569E2" w14:textId="77777777" w:rsidR="005433EA" w:rsidRPr="00105AD7" w:rsidRDefault="005433EA" w:rsidP="000728CB">
      <w:pPr>
        <w:numPr>
          <w:ilvl w:val="0"/>
          <w:numId w:val="1"/>
        </w:numPr>
        <w:spacing w:after="120" w:line="252" w:lineRule="auto"/>
        <w:ind w:left="284" w:hanging="567"/>
        <w:jc w:val="both"/>
        <w:rPr>
          <w:rFonts w:cstheme="minorHAnsi"/>
          <w:b/>
        </w:rPr>
      </w:pPr>
      <w:r w:rsidRPr="00105AD7">
        <w:rPr>
          <w:rFonts w:cstheme="minorHAnsi"/>
          <w:b/>
        </w:rPr>
        <w:t xml:space="preserve">Město Čelákovice </w:t>
      </w:r>
    </w:p>
    <w:p w14:paraId="358BDA05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Zastoupená: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  <w:t>Ing. Josefem Pátkem, starostou města</w:t>
      </w:r>
    </w:p>
    <w:p w14:paraId="5137C044" w14:textId="7832D2C0" w:rsidR="005433EA" w:rsidRPr="00105AD7" w:rsidRDefault="005433EA" w:rsidP="000728CB">
      <w:pP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Se sídlem: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  <w:t>náměstí 5. května 1, 250 88 Čelákovice</w:t>
      </w:r>
    </w:p>
    <w:p w14:paraId="62D7D15C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IČO: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  <w:t>00240117</w:t>
      </w:r>
    </w:p>
    <w:p w14:paraId="0C879C67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DIČ: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  <w:t>CZ00240117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</w:p>
    <w:p w14:paraId="4987D710" w14:textId="77777777" w:rsidR="005433EA" w:rsidRPr="00105AD7" w:rsidRDefault="005433EA" w:rsidP="000728CB">
      <w:pPr>
        <w:spacing w:line="252" w:lineRule="auto"/>
        <w:ind w:left="284" w:firstLine="142"/>
        <w:jc w:val="both"/>
        <w:rPr>
          <w:rFonts w:cstheme="minorHAnsi"/>
        </w:rPr>
      </w:pPr>
      <w:r w:rsidRPr="00105AD7">
        <w:rPr>
          <w:rFonts w:cstheme="minorHAnsi"/>
        </w:rPr>
        <w:t>(dále jen „</w:t>
      </w:r>
      <w:r w:rsidRPr="00105AD7">
        <w:rPr>
          <w:rFonts w:cstheme="minorHAnsi"/>
          <w:b/>
          <w:i/>
        </w:rPr>
        <w:t>Objednatel</w:t>
      </w:r>
      <w:r w:rsidRPr="00105AD7">
        <w:rPr>
          <w:rFonts w:cstheme="minorHAnsi"/>
        </w:rPr>
        <w:t>“)</w:t>
      </w:r>
    </w:p>
    <w:p w14:paraId="7B524AC3" w14:textId="77777777" w:rsidR="005433EA" w:rsidRPr="00105AD7" w:rsidRDefault="005433EA" w:rsidP="000728CB">
      <w:pPr>
        <w:spacing w:line="252" w:lineRule="auto"/>
        <w:ind w:left="284"/>
        <w:rPr>
          <w:rFonts w:cstheme="minorHAnsi"/>
          <w:b/>
        </w:rPr>
      </w:pPr>
      <w:r w:rsidRPr="00105AD7">
        <w:rPr>
          <w:rFonts w:cstheme="minorHAnsi"/>
          <w:b/>
        </w:rPr>
        <w:t>a</w:t>
      </w:r>
    </w:p>
    <w:p w14:paraId="1F0B25C2" w14:textId="77777777" w:rsidR="005433EA" w:rsidRPr="00105AD7" w:rsidRDefault="005433EA" w:rsidP="000728CB">
      <w:pPr>
        <w:numPr>
          <w:ilvl w:val="0"/>
          <w:numId w:val="1"/>
        </w:numPr>
        <w:spacing w:after="120" w:line="252" w:lineRule="auto"/>
        <w:ind w:left="284" w:hanging="567"/>
        <w:jc w:val="both"/>
        <w:rPr>
          <w:rFonts w:cstheme="minorHAnsi"/>
          <w:b/>
        </w:rPr>
      </w:pPr>
      <w:r w:rsidRPr="00105AD7">
        <w:rPr>
          <w:rFonts w:cstheme="minorHAnsi"/>
          <w:b/>
        </w:rPr>
        <w:t xml:space="preserve">Trigema Building a.s. </w:t>
      </w:r>
    </w:p>
    <w:p w14:paraId="09B45454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eastAsia="Calibri" w:cstheme="minorHAnsi"/>
          <w:color w:val="000000"/>
        </w:rPr>
      </w:pPr>
      <w:r w:rsidRPr="00105AD7">
        <w:rPr>
          <w:rFonts w:cstheme="minorHAnsi"/>
        </w:rPr>
        <w:t xml:space="preserve">Zastoupená: 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eastAsia="Calibri" w:cstheme="minorHAnsi"/>
          <w:color w:val="000000"/>
        </w:rPr>
        <w:t>Ing. Radimem Šponarem, předsedou představenstva</w:t>
      </w:r>
    </w:p>
    <w:p w14:paraId="6613CD9D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  <w:b/>
        </w:rPr>
      </w:pPr>
      <w:r w:rsidRPr="00105AD7">
        <w:rPr>
          <w:rFonts w:eastAsia="Calibri" w:cstheme="minorHAnsi"/>
          <w:color w:val="000000"/>
        </w:rPr>
        <w:tab/>
      </w:r>
      <w:r w:rsidRPr="00105AD7">
        <w:rPr>
          <w:rFonts w:eastAsia="Calibri" w:cstheme="minorHAnsi"/>
          <w:color w:val="000000"/>
        </w:rPr>
        <w:tab/>
      </w:r>
      <w:r w:rsidRPr="00105AD7">
        <w:rPr>
          <w:rFonts w:eastAsia="Calibri" w:cstheme="minorHAnsi"/>
          <w:color w:val="000000"/>
        </w:rPr>
        <w:tab/>
      </w:r>
      <w:r w:rsidRPr="00105AD7">
        <w:rPr>
          <w:rFonts w:eastAsia="Calibri" w:cstheme="minorHAnsi"/>
          <w:color w:val="000000"/>
        </w:rPr>
        <w:tab/>
        <w:t>Ing. Karlem Brandou, členem představenstva</w:t>
      </w:r>
    </w:p>
    <w:p w14:paraId="20C3FB98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</w:rPr>
      </w:pPr>
      <w:r w:rsidRPr="00105AD7">
        <w:rPr>
          <w:rFonts w:cstheme="minorHAnsi"/>
        </w:rPr>
        <w:t xml:space="preserve">Se sídlem: 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  <w:t>Bucharova 2641/14, 158 00 Praha 5 Stodůlky</w:t>
      </w:r>
    </w:p>
    <w:p w14:paraId="1997BDDA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</w:rPr>
      </w:pPr>
      <w:r w:rsidRPr="00105AD7">
        <w:rPr>
          <w:rFonts w:cstheme="minorHAnsi"/>
        </w:rPr>
        <w:t xml:space="preserve">IČO: 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eastAsia="Calibri" w:cstheme="minorHAnsi"/>
          <w:color w:val="000000"/>
        </w:rPr>
        <w:t>27653579</w:t>
      </w:r>
    </w:p>
    <w:p w14:paraId="6D5B208B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eastAsia="Calibri" w:cstheme="minorHAnsi"/>
          <w:color w:val="000000"/>
        </w:rPr>
      </w:pPr>
      <w:r w:rsidRPr="00105AD7">
        <w:rPr>
          <w:rFonts w:cstheme="minorHAnsi"/>
        </w:rPr>
        <w:t xml:space="preserve">DIČ: </w:t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cstheme="minorHAnsi"/>
        </w:rPr>
        <w:tab/>
      </w:r>
      <w:r w:rsidRPr="00105AD7">
        <w:rPr>
          <w:rFonts w:eastAsia="Calibri" w:cstheme="minorHAnsi"/>
          <w:color w:val="000000"/>
        </w:rPr>
        <w:t>CZ699000188</w:t>
      </w:r>
    </w:p>
    <w:p w14:paraId="5BFC7838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  <w:color w:val="000000"/>
        </w:rPr>
      </w:pPr>
      <w:r w:rsidRPr="00105AD7">
        <w:rPr>
          <w:rFonts w:cstheme="minorHAnsi"/>
          <w:color w:val="000000"/>
        </w:rPr>
        <w:t>(dále jen „</w:t>
      </w:r>
      <w:r w:rsidRPr="00105AD7">
        <w:rPr>
          <w:rFonts w:cstheme="minorHAnsi"/>
          <w:b/>
          <w:i/>
          <w:color w:val="000000"/>
        </w:rPr>
        <w:t>Zhotovitel</w:t>
      </w:r>
      <w:r w:rsidRPr="00105AD7">
        <w:rPr>
          <w:rFonts w:cstheme="minorHAnsi"/>
          <w:color w:val="000000"/>
        </w:rPr>
        <w:t>“)</w:t>
      </w:r>
    </w:p>
    <w:p w14:paraId="7F9CE2C4" w14:textId="77777777" w:rsidR="005433EA" w:rsidRPr="00105AD7" w:rsidRDefault="005433EA" w:rsidP="000728CB">
      <w:pPr>
        <w:spacing w:line="252" w:lineRule="auto"/>
        <w:ind w:left="284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4"/>
      </w:tblGrid>
      <w:tr w:rsidR="005433EA" w:rsidRPr="00105AD7" w14:paraId="685FE88E" w14:textId="77777777" w:rsidTr="00341EC8">
        <w:tc>
          <w:tcPr>
            <w:tcW w:w="8874" w:type="dxa"/>
            <w:vAlign w:val="center"/>
            <w:hideMark/>
          </w:tcPr>
          <w:p w14:paraId="40B48505" w14:textId="77777777" w:rsidR="005433EA" w:rsidRPr="00105AD7" w:rsidRDefault="005433EA" w:rsidP="000728CB">
            <w:pPr>
              <w:pStyle w:val="Nzev"/>
              <w:spacing w:after="120" w:line="252" w:lineRule="auto"/>
              <w:ind w:left="284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</w:pP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(</w:t>
            </w: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Objednatel</w:t>
            </w: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a </w:t>
            </w: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 w:eastAsia="en-US"/>
              </w:rPr>
              <w:t>Zhotovitel</w:t>
            </w: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 xml:space="preserve"> společně dále také jako „</w:t>
            </w:r>
            <w:r w:rsidRPr="00105AD7"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/>
              </w:rPr>
              <w:t>Smluvní strany</w:t>
            </w:r>
            <w:r w:rsidRPr="00105AD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eastAsia="en-US"/>
              </w:rPr>
              <w:t>“)</w:t>
            </w:r>
          </w:p>
        </w:tc>
      </w:tr>
    </w:tbl>
    <w:p w14:paraId="1477FF79" w14:textId="77777777" w:rsidR="00C3359B" w:rsidRPr="00105AD7" w:rsidRDefault="00C3359B" w:rsidP="000728CB">
      <w:pPr>
        <w:pBdr>
          <w:bottom w:val="single" w:sz="4" w:space="1" w:color="auto"/>
        </w:pBdr>
        <w:spacing w:line="252" w:lineRule="auto"/>
        <w:rPr>
          <w:rFonts w:cstheme="minorHAnsi"/>
        </w:rPr>
      </w:pPr>
    </w:p>
    <w:p w14:paraId="73B9885F" w14:textId="1444A9F6" w:rsidR="000728CB" w:rsidRPr="00105AD7" w:rsidRDefault="000728CB" w:rsidP="000728CB">
      <w:pPr>
        <w:spacing w:after="120" w:line="252" w:lineRule="auto"/>
        <w:ind w:left="284"/>
        <w:jc w:val="both"/>
        <w:rPr>
          <w:rFonts w:cstheme="minorHAnsi"/>
        </w:rPr>
      </w:pPr>
      <w:r w:rsidRPr="00105AD7">
        <w:rPr>
          <w:rFonts w:cstheme="minorHAnsi"/>
        </w:rPr>
        <w:t xml:space="preserve">Smluvní strany uzavřely </w:t>
      </w:r>
      <w:r w:rsidRPr="00105AD7">
        <w:rPr>
          <w:rFonts w:cstheme="minorHAnsi"/>
          <w:iCs/>
        </w:rPr>
        <w:t>v souladu s </w:t>
      </w:r>
      <w:r w:rsidRPr="00105AD7">
        <w:rPr>
          <w:rFonts w:cstheme="minorHAnsi"/>
          <w:color w:val="000000"/>
        </w:rPr>
        <w:t xml:space="preserve">§ 1746 odst. 2 zákona č. 89/2012 Sb., občanský zákoník, ve znění pozdějších předpisů (dále jen </w:t>
      </w:r>
      <w:r w:rsidRPr="00105AD7">
        <w:rPr>
          <w:rFonts w:cstheme="minorHAnsi"/>
          <w:b/>
          <w:bCs/>
          <w:i/>
          <w:iCs/>
          <w:color w:val="000000"/>
        </w:rPr>
        <w:t>„Občanský zákoník“</w:t>
      </w:r>
      <w:r w:rsidRPr="00105AD7">
        <w:rPr>
          <w:rFonts w:cstheme="minorHAnsi"/>
          <w:color w:val="000000"/>
        </w:rPr>
        <w:t>), za přiměřeného použití ustanovení upravujících dílo dle § 2586 a násl. Občanského zákoníku a příkaz dle § 2430 a násl. Občanského zákoníku</w:t>
      </w:r>
      <w:r w:rsidRPr="00105AD7">
        <w:rPr>
          <w:rFonts w:cstheme="minorHAnsi"/>
          <w:iCs/>
        </w:rPr>
        <w:t xml:space="preserve"> a § 222 odst. 4, 5</w:t>
      </w:r>
      <w:r w:rsidR="00105AD7">
        <w:rPr>
          <w:rFonts w:cstheme="minorHAnsi"/>
          <w:iCs/>
        </w:rPr>
        <w:t xml:space="preserve">, </w:t>
      </w:r>
      <w:r w:rsidRPr="00105AD7">
        <w:rPr>
          <w:rFonts w:cstheme="minorHAnsi"/>
          <w:iCs/>
        </w:rPr>
        <w:t xml:space="preserve">6 </w:t>
      </w:r>
      <w:r w:rsidR="00105AD7">
        <w:rPr>
          <w:rFonts w:cstheme="minorHAnsi"/>
          <w:iCs/>
        </w:rPr>
        <w:t xml:space="preserve">a 7 </w:t>
      </w:r>
      <w:r w:rsidRPr="00105AD7">
        <w:rPr>
          <w:rFonts w:cstheme="minorHAnsi"/>
          <w:iCs/>
        </w:rPr>
        <w:t xml:space="preserve">zákona č. 134/2016 Sb., o zadávání veřejných zakázek, ve znění pozdějších předpisů (dále jen </w:t>
      </w:r>
      <w:r w:rsidRPr="00105AD7">
        <w:rPr>
          <w:rFonts w:cstheme="minorHAnsi"/>
          <w:b/>
          <w:bCs/>
          <w:iCs/>
        </w:rPr>
        <w:t>„</w:t>
      </w:r>
      <w:r w:rsidRPr="00105AD7">
        <w:rPr>
          <w:rFonts w:cstheme="minorHAnsi"/>
          <w:b/>
          <w:bCs/>
          <w:i/>
        </w:rPr>
        <w:t>zákon o zadávání veřejných zakázek</w:t>
      </w:r>
      <w:r w:rsidRPr="00105AD7">
        <w:rPr>
          <w:rFonts w:cstheme="minorHAnsi"/>
          <w:b/>
          <w:bCs/>
          <w:iCs/>
        </w:rPr>
        <w:t>“</w:t>
      </w:r>
      <w:r w:rsidRPr="00105AD7">
        <w:rPr>
          <w:rFonts w:cstheme="minorHAnsi"/>
          <w:iCs/>
        </w:rPr>
        <w:t xml:space="preserve">) </w:t>
      </w:r>
      <w:r w:rsidRPr="00105AD7">
        <w:rPr>
          <w:rFonts w:cstheme="minorHAnsi"/>
        </w:rPr>
        <w:t>tento dodatek č. </w:t>
      </w:r>
      <w:r w:rsidR="00105AD7">
        <w:rPr>
          <w:rFonts w:cstheme="minorHAnsi"/>
        </w:rPr>
        <w:t>5</w:t>
      </w:r>
      <w:r w:rsidRPr="00105AD7">
        <w:rPr>
          <w:rFonts w:cstheme="minorHAnsi"/>
        </w:rPr>
        <w:t> ke Smlouvě o provedení stavby ze dne 13. 1. 2022, ve znění Dodatku č. 1 ze dne 19. 5. 2022, Dodatku č. 2 ze dne 10. 10. 2022</w:t>
      </w:r>
      <w:r w:rsidR="00105AD7">
        <w:rPr>
          <w:rFonts w:cstheme="minorHAnsi"/>
        </w:rPr>
        <w:t xml:space="preserve">, </w:t>
      </w:r>
      <w:r w:rsidRPr="00105AD7">
        <w:rPr>
          <w:rFonts w:cstheme="minorHAnsi"/>
        </w:rPr>
        <w:t xml:space="preserve">Dodatku č. 3 ze dne 20. 3. 2023 </w:t>
      </w:r>
      <w:r w:rsidR="00105AD7" w:rsidRPr="00105AD7">
        <w:rPr>
          <w:rFonts w:cstheme="minorHAnsi"/>
          <w:iCs/>
        </w:rPr>
        <w:t>a</w:t>
      </w:r>
      <w:r w:rsidR="00105AD7">
        <w:rPr>
          <w:rFonts w:cstheme="minorHAnsi"/>
          <w:iCs/>
        </w:rPr>
        <w:t> </w:t>
      </w:r>
      <w:r w:rsidR="00105AD7" w:rsidRPr="00105AD7">
        <w:rPr>
          <w:rFonts w:cstheme="minorHAnsi"/>
          <w:iCs/>
        </w:rPr>
        <w:t xml:space="preserve">Dodatku č. 4 ze dne 15. 6. 2023 </w:t>
      </w:r>
      <w:r w:rsidRPr="00105AD7">
        <w:rPr>
          <w:rFonts w:cstheme="minorHAnsi"/>
        </w:rPr>
        <w:t>(dále jen „</w:t>
      </w:r>
      <w:r w:rsidRPr="00105AD7">
        <w:rPr>
          <w:rFonts w:cstheme="minorHAnsi"/>
          <w:b/>
          <w:bCs/>
          <w:i/>
          <w:iCs/>
        </w:rPr>
        <w:t>Dodatek</w:t>
      </w:r>
      <w:r w:rsidRPr="00105AD7">
        <w:rPr>
          <w:rFonts w:cstheme="minorHAnsi"/>
        </w:rPr>
        <w:t>“).</w:t>
      </w:r>
      <w:r w:rsidRPr="00105AD7">
        <w:rPr>
          <w:rFonts w:cstheme="minorHAnsi"/>
        </w:rPr>
        <w:br w:type="page"/>
      </w:r>
    </w:p>
    <w:p w14:paraId="3237C90A" w14:textId="3F354686" w:rsidR="000728CB" w:rsidRPr="00105AD7" w:rsidRDefault="000728CB" w:rsidP="000728CB">
      <w:pPr>
        <w:spacing w:line="252" w:lineRule="auto"/>
        <w:ind w:left="284"/>
        <w:jc w:val="center"/>
        <w:rPr>
          <w:rFonts w:cstheme="minorHAnsi"/>
          <w:b/>
          <w:bCs/>
          <w:u w:val="single"/>
        </w:rPr>
      </w:pPr>
      <w:r w:rsidRPr="00105AD7">
        <w:rPr>
          <w:rFonts w:cstheme="minorHAnsi"/>
          <w:b/>
          <w:bCs/>
          <w:u w:val="single"/>
        </w:rPr>
        <w:lastRenderedPageBreak/>
        <w:t>Zákon o zadávání veřejných zakázek</w:t>
      </w:r>
    </w:p>
    <w:p w14:paraId="4C4DFF99" w14:textId="1DCBE5B3" w:rsidR="000728CB" w:rsidRPr="00105AD7" w:rsidRDefault="000728CB" w:rsidP="000728CB">
      <w:pPr>
        <w:spacing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 xml:space="preserve">§ 222 </w:t>
      </w:r>
      <w:r w:rsidRPr="00105AD7">
        <w:rPr>
          <w:rFonts w:cstheme="minorHAnsi"/>
          <w:b/>
          <w:bCs/>
          <w:iCs/>
        </w:rPr>
        <w:t>zákona č. 134/2016 Sb., o zadávání veřejných zakázek, ve znění pozdějších předpisů (dále jen „</w:t>
      </w:r>
      <w:r w:rsidRPr="00105AD7">
        <w:rPr>
          <w:rFonts w:cstheme="minorHAnsi"/>
          <w:b/>
          <w:bCs/>
          <w:i/>
        </w:rPr>
        <w:t>zákon o zadávání veřejných zakázek</w:t>
      </w:r>
      <w:r w:rsidRPr="00105AD7">
        <w:rPr>
          <w:rFonts w:cstheme="minorHAnsi"/>
          <w:b/>
          <w:bCs/>
          <w:iCs/>
        </w:rPr>
        <w:t>“)</w:t>
      </w:r>
    </w:p>
    <w:p w14:paraId="67536805" w14:textId="77777777" w:rsidR="000728CB" w:rsidRPr="00105AD7" w:rsidRDefault="000728CB" w:rsidP="000728CB">
      <w:pPr>
        <w:spacing w:after="120"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Změna závazku ze smlouvy na veřejnou zakázku</w:t>
      </w:r>
    </w:p>
    <w:p w14:paraId="05CA870C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(1)</w:t>
      </w:r>
      <w:r w:rsidRPr="00105AD7">
        <w:rPr>
          <w:rFonts w:cstheme="minorHAnsi"/>
        </w:rPr>
        <w:t> Není-li dále stanoveno jinak, nesmí zadavatel umožnit podstatnou změnu závazku ze smlouvy na veřejnou zakázku po dobu jeho trvání bez provedení nového zadávacího řízení podle tohoto zákona.</w:t>
      </w:r>
    </w:p>
    <w:p w14:paraId="45AB9B2B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(2)</w:t>
      </w:r>
      <w:r w:rsidRPr="00105AD7">
        <w:rPr>
          <w:rFonts w:cstheme="minorHAnsi"/>
        </w:rPr>
        <w:t> Za podstatnou změnu závazku ze smlouvy na veřejnou zakázku se nepovažuje uplatnění vyhrazených změn závazku sjednaných ve smlouvě na veřejnou zakázku na základě zadávacích podmínek podle § 100 odst. 1.</w:t>
      </w:r>
    </w:p>
    <w:p w14:paraId="636CA938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(3)</w:t>
      </w:r>
      <w:r w:rsidRPr="00105AD7">
        <w:rPr>
          <w:rFonts w:cstheme="minorHAnsi"/>
        </w:rPr>
        <w:t> Podstatnou změnou závazku ze smlouvy na veřejnou zakázku je taková změna smluvních podmínek, která by</w:t>
      </w:r>
    </w:p>
    <w:p w14:paraId="5AA4B90F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umožnila účast jiných dodavatelů nebo by mohla ovlivnit výběr dodavatele v původním zadávacím řízení, pokud by zadávací podmínky původního zadávacího řízení odpovídaly této změně,</w:t>
      </w:r>
    </w:p>
    <w:p w14:paraId="7C5C6DFB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b)</w:t>
      </w:r>
      <w:r w:rsidRPr="00105AD7">
        <w:rPr>
          <w:rFonts w:cstheme="minorHAnsi"/>
        </w:rPr>
        <w:t> měnila ekonomickou rovnováhu závazku ze smlouvy ve prospěch vybraného dodavatele, nebo</w:t>
      </w:r>
    </w:p>
    <w:p w14:paraId="00F427DB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c)</w:t>
      </w:r>
      <w:r w:rsidRPr="00105AD7">
        <w:rPr>
          <w:rFonts w:cstheme="minorHAnsi"/>
        </w:rPr>
        <w:t> vedla k významnému rozšíření rozsahu plnění veřejné zakázky.</w:t>
      </w:r>
    </w:p>
    <w:p w14:paraId="31A99ECD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(4)</w:t>
      </w:r>
      <w:r w:rsidRPr="00105AD7">
        <w:rPr>
          <w:rFonts w:cstheme="minorHAnsi"/>
        </w:rPr>
        <w:t> Za podstatnou změnu závazku ze smlouvy na veřejnou zakázku se nepovažuje změna, která nemění celkovou povahu veřejné zakázky a jejíž hodnota je</w:t>
      </w:r>
    </w:p>
    <w:p w14:paraId="533DF8B0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nižší než finanční limit pro nadlimitní veřejnou zakázku a</w:t>
      </w:r>
    </w:p>
    <w:p w14:paraId="0B7A5198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b)</w:t>
      </w:r>
      <w:r w:rsidRPr="00105AD7">
        <w:rPr>
          <w:rFonts w:cstheme="minorHAnsi"/>
        </w:rPr>
        <w:t> nižší než</w:t>
      </w:r>
    </w:p>
    <w:p w14:paraId="6E98E153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1.</w:t>
      </w:r>
      <w:r w:rsidRPr="00105AD7">
        <w:rPr>
          <w:rFonts w:cstheme="minorHAnsi"/>
        </w:rPr>
        <w:t> 10 % původní hodnoty závazku, nebo</w:t>
      </w:r>
    </w:p>
    <w:p w14:paraId="7A091453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2.</w:t>
      </w:r>
      <w:r w:rsidRPr="00105AD7">
        <w:rPr>
          <w:rFonts w:cstheme="minorHAnsi"/>
        </w:rPr>
        <w:t> 15 % původní hodnoty závazku ze smlouvy na veřejnou zakázku na stavební práce, která není koncesí.</w:t>
      </w:r>
    </w:p>
    <w:p w14:paraId="495DB900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</w:rPr>
        <w:t>Pokud bude provedeno více změn, je rozhodný součet hodnot všech těchto změn.</w:t>
      </w:r>
    </w:p>
    <w:p w14:paraId="2B8F10CA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(5)</w:t>
      </w:r>
      <w:r w:rsidRPr="00105AD7">
        <w:rPr>
          <w:rFonts w:cstheme="minorHAnsi"/>
        </w:rPr>
        <w:t> Za podstatnou změnu závazku ze smlouvy na veřejnou zakázku se nepovažují dodatečné stavební práce, služby nebo dodávky od dodavatele původní veřejné zakázky, které nebyly zahrnuty v původním závazku ze smlouvy na veřejnou zakázku, pokud jsou nezbytné a změna v osobě dodavatele</w:t>
      </w:r>
    </w:p>
    <w:p w14:paraId="2A83DC6B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není možná z ekonomických anebo technických důvodů spočívajících zejména v požadavcích na slučitelnost nebo interoperabilitu se stávajícím zařízením, službami nebo instalacemi pořízenými zadavatelem v původním zadávacím řízení,</w:t>
      </w:r>
    </w:p>
    <w:p w14:paraId="1FABAFD8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b)</w:t>
      </w:r>
      <w:r w:rsidRPr="00105AD7">
        <w:rPr>
          <w:rFonts w:cstheme="minorHAnsi"/>
        </w:rPr>
        <w:t> by způsobila zadavateli značné obtíže nebo výrazné zvýšení nákladů a</w:t>
      </w:r>
    </w:p>
    <w:p w14:paraId="1885A313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c)</w:t>
      </w:r>
      <w:r w:rsidRPr="00105AD7">
        <w:rPr>
          <w:rFonts w:cstheme="minorHAnsi"/>
        </w:rPr>
        <w:t> hodnota dodatečných stavebních prací, služeb nebo dodávek nepřekročí 50 % původní hodnoty závazku; pokud bude provedeno více změn, je rozhodný součet hodnoty všech změn podle tohoto odstavce.</w:t>
      </w:r>
    </w:p>
    <w:p w14:paraId="59CDCCD1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(6)</w:t>
      </w:r>
      <w:r w:rsidRPr="00105AD7">
        <w:rPr>
          <w:rFonts w:cstheme="minorHAnsi"/>
        </w:rPr>
        <w:t> Za podstatnou změnu závazku ze smlouvy na veřejnou zakázku se nepovažuje změna,</w:t>
      </w:r>
    </w:p>
    <w:p w14:paraId="4737619D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jejíž potřeba vznikla v důsledku okolností, které zadavatel jednající s náležitou péčí nemohl předvídat,</w:t>
      </w:r>
    </w:p>
    <w:p w14:paraId="32A8AF42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b)</w:t>
      </w:r>
      <w:r w:rsidRPr="00105AD7">
        <w:rPr>
          <w:rFonts w:cstheme="minorHAnsi"/>
        </w:rPr>
        <w:t> nemění celkovou povahu veřejné zakázky a</w:t>
      </w:r>
    </w:p>
    <w:p w14:paraId="0C584E0C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c)</w:t>
      </w:r>
      <w:r w:rsidRPr="00105AD7">
        <w:rPr>
          <w:rFonts w:cstheme="minorHAnsi"/>
        </w:rPr>
        <w:t> hodnota změny nepřekročí 50 % původní hodnoty závazku; pokud bude provedeno více změn, je rozhodný součet hodnoty všech změn podle tohoto odstavce.</w:t>
      </w:r>
    </w:p>
    <w:p w14:paraId="32B6D862" w14:textId="77777777" w:rsidR="000728CB" w:rsidRPr="00105AD7" w:rsidRDefault="000728CB" w:rsidP="000728CB">
      <w:pP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(7)</w:t>
      </w:r>
      <w:r w:rsidRPr="00105AD7">
        <w:rPr>
          <w:rFonts w:cstheme="minorHAnsi"/>
        </w:rPr>
        <w:t> Za podstatnou změnu závazku ze smlouvy dle odstavce 3 na veřejnou zakázku, jejímž předmětem je provedení stavebních prací, se nepovažuje záměna jedné nebo více položek soupisu stavebních prací jednou nebo více položkami, za předpokladu že</w:t>
      </w:r>
    </w:p>
    <w:p w14:paraId="2B980005" w14:textId="0735F6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nové položky soupisu stavebních prací představují srovnatelný druh materiálu nebo prací ve vztahu k nahrazovaným položkám,</w:t>
      </w:r>
    </w:p>
    <w:p w14:paraId="0145802F" w14:textId="38153602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lastRenderedPageBreak/>
        <w:t>b)</w:t>
      </w:r>
      <w:r w:rsidRPr="00105AD7">
        <w:rPr>
          <w:rFonts w:cstheme="minorHAnsi"/>
        </w:rPr>
        <w:t> cena materiálu nebo prací podle nových položek soupisu stavebních prací je ve vztahu k</w:t>
      </w:r>
      <w:r w:rsidR="00143FEB" w:rsidRPr="00105AD7">
        <w:rPr>
          <w:rFonts w:cstheme="minorHAnsi"/>
        </w:rPr>
        <w:t> </w:t>
      </w:r>
      <w:r w:rsidRPr="00105AD7">
        <w:rPr>
          <w:rFonts w:cstheme="minorHAnsi"/>
        </w:rPr>
        <w:t>nahrazovaným položkám stejná nebo nižší,</w:t>
      </w:r>
    </w:p>
    <w:p w14:paraId="62533FAC" w14:textId="7777777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c)</w:t>
      </w:r>
      <w:r w:rsidRPr="00105AD7">
        <w:rPr>
          <w:rFonts w:cstheme="minorHAnsi"/>
        </w:rPr>
        <w:t> materiál nebo práce podle nových položek soupisu stavebních prací jsou ve vztahu k nahrazovaným položkám kvalitativně stejné nebo vyšší a</w:t>
      </w:r>
    </w:p>
    <w:p w14:paraId="2EBE96F5" w14:textId="5F3AD307" w:rsidR="000728CB" w:rsidRPr="00105AD7" w:rsidRDefault="000728CB" w:rsidP="000728CB">
      <w:pPr>
        <w:spacing w:after="100" w:line="250" w:lineRule="auto"/>
        <w:ind w:left="567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d)</w:t>
      </w:r>
      <w:r w:rsidRPr="00105AD7">
        <w:rPr>
          <w:rFonts w:cstheme="minorHAnsi"/>
        </w:rPr>
        <w:t> zadavatel vyhotoví o každé jednotlivé záměně přehled obsahující nové položky soupisu stavebních prací s vymezením položek v původním soupisu stavebních prací, které jsou takto nahrazovány, spolu s podrobným a srozumitelným odůvodněním srovnatelnosti materiálu nebo prací podle písmene a) a</w:t>
      </w:r>
      <w:r w:rsidR="00143FEB" w:rsidRPr="00105AD7">
        <w:rPr>
          <w:rFonts w:cstheme="minorHAnsi"/>
        </w:rPr>
        <w:t> </w:t>
      </w:r>
      <w:r w:rsidRPr="00105AD7">
        <w:rPr>
          <w:rFonts w:cstheme="minorHAnsi"/>
        </w:rPr>
        <w:t>stejné nebo vyšší kvality podle písmene c).</w:t>
      </w:r>
    </w:p>
    <w:p w14:paraId="60B20267" w14:textId="77777777" w:rsidR="000728CB" w:rsidRPr="00105AD7" w:rsidRDefault="000728CB" w:rsidP="000728CB">
      <w:pPr>
        <w:pBdr>
          <w:bottom w:val="single" w:sz="4" w:space="1" w:color="auto"/>
        </w:pBd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(8)</w:t>
      </w:r>
      <w:r w:rsidRPr="00105AD7">
        <w:rPr>
          <w:rFonts w:cstheme="minorHAnsi"/>
        </w:rPr>
        <w:t> V případě postupu podle odstavce 5 nebo 6 je zadavatel povinen do 30 dnů od změny závazku odeslat oznámení o změně závazku k uveřejnění způsobem podle § 212.</w:t>
      </w:r>
    </w:p>
    <w:p w14:paraId="28131B9C" w14:textId="77777777" w:rsidR="000728CB" w:rsidRPr="00105AD7" w:rsidRDefault="000728CB" w:rsidP="000728CB">
      <w:pPr>
        <w:pBdr>
          <w:bottom w:val="single" w:sz="4" w:space="1" w:color="auto"/>
        </w:pBd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(9)</w:t>
      </w:r>
      <w:r w:rsidRPr="00105AD7">
        <w:rPr>
          <w:rFonts w:cstheme="minorHAnsi"/>
        </w:rPr>
        <w:t> Pro účely výpočtu hodnoty změny nebo cenového nárůstu se původní hodnotou závazku rozumí cena sjednaná ve smlouvě na veřejnou zakázku upravená v souladu s ustanoveními o změně ceny, obsahuje-li smlouva na veřejnou zakázku taková ustanovení. Celkový cenový nárůst související se změnami podle odstavců 5 a 6 při odečtení stavebních prací, služeb nebo dodávek, které nebyly s ohledem na tyto změny realizovány, nepřesáhne 30 % původní hodnoty závazku.</w:t>
      </w:r>
    </w:p>
    <w:p w14:paraId="0017029F" w14:textId="77777777" w:rsidR="000728CB" w:rsidRPr="00105AD7" w:rsidRDefault="000728CB" w:rsidP="000728CB">
      <w:pPr>
        <w:pBdr>
          <w:bottom w:val="single" w:sz="4" w:space="1" w:color="auto"/>
        </w:pBd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(10)</w:t>
      </w:r>
      <w:r w:rsidRPr="00105AD7">
        <w:rPr>
          <w:rFonts w:cstheme="minorHAnsi"/>
        </w:rPr>
        <w:t> Podstatnou změnou závazku ze smlouvy na veřejnou zakázku je také nahrazení dodavatele jiným dodavatelem. Nahrazení dodavatele jiným dodavatelem je však možné</w:t>
      </w:r>
    </w:p>
    <w:p w14:paraId="0DCC442A" w14:textId="77777777" w:rsidR="000728CB" w:rsidRPr="00105AD7" w:rsidRDefault="000728CB" w:rsidP="000728CB">
      <w:pPr>
        <w:pBdr>
          <w:bottom w:val="single" w:sz="4" w:space="1" w:color="auto"/>
        </w:pBd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a)</w:t>
      </w:r>
      <w:r w:rsidRPr="00105AD7">
        <w:rPr>
          <w:rFonts w:cstheme="minorHAnsi"/>
        </w:rPr>
        <w:t> v případě uplatnění vyhrazených změn závazku sjednaných ve smlouvě na veřejnou zakázku na základě zadávacích podmínek podle § 100 odst. 2, nebo</w:t>
      </w:r>
    </w:p>
    <w:p w14:paraId="2294B53B" w14:textId="65D4D586" w:rsidR="00C3359B" w:rsidRPr="00105AD7" w:rsidRDefault="000728CB" w:rsidP="000728CB">
      <w:pPr>
        <w:pBdr>
          <w:bottom w:val="single" w:sz="4" w:space="1" w:color="auto"/>
        </w:pBdr>
        <w:spacing w:after="100" w:line="250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>b)</w:t>
      </w:r>
      <w:r w:rsidRPr="00105AD7">
        <w:rPr>
          <w:rFonts w:cstheme="minorHAnsi"/>
        </w:rPr>
        <w:t> pokud změna v osobě dodavatele je důsledkem právního nástupnictví v souvislosti s přeměnou dodavatele, jeho smrtí nebo převodem jeho závodu, popřípadě části závodu, a nový dodavatel splňuje kritéria kvalifikace stanovená v zadávací dokumentaci původního zadávacího řízení.</w:t>
      </w:r>
    </w:p>
    <w:p w14:paraId="5E39BFC6" w14:textId="77777777" w:rsidR="000728CB" w:rsidRPr="00105AD7" w:rsidRDefault="000728CB" w:rsidP="000728CB">
      <w:pPr>
        <w:pBdr>
          <w:bottom w:val="single" w:sz="4" w:space="1" w:color="auto"/>
        </w:pBdr>
        <w:spacing w:after="120" w:line="252" w:lineRule="auto"/>
        <w:ind w:left="284"/>
        <w:jc w:val="both"/>
        <w:rPr>
          <w:rFonts w:cstheme="minorHAnsi"/>
        </w:rPr>
      </w:pPr>
    </w:p>
    <w:p w14:paraId="6A49C17E" w14:textId="3B270795" w:rsidR="000728CB" w:rsidRPr="00105AD7" w:rsidRDefault="000728CB" w:rsidP="000728CB">
      <w:pPr>
        <w:pBdr>
          <w:bottom w:val="single" w:sz="4" w:space="1" w:color="auto"/>
        </w:pBdr>
        <w:spacing w:after="120" w:line="252" w:lineRule="auto"/>
        <w:ind w:left="284"/>
        <w:jc w:val="center"/>
        <w:rPr>
          <w:rFonts w:cstheme="minorHAnsi"/>
          <w:b/>
          <w:bCs/>
          <w:u w:val="single"/>
        </w:rPr>
      </w:pPr>
      <w:r w:rsidRPr="00105AD7">
        <w:rPr>
          <w:rFonts w:cstheme="minorHAnsi"/>
          <w:b/>
          <w:bCs/>
          <w:u w:val="single"/>
        </w:rPr>
        <w:t>Hodnota změn dle uzavřených dodatků</w:t>
      </w:r>
    </w:p>
    <w:p w14:paraId="23FE0BFC" w14:textId="77777777" w:rsidR="00C3359B" w:rsidRPr="00105AD7" w:rsidRDefault="00C3359B" w:rsidP="000728CB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</w:p>
    <w:p w14:paraId="65063DD7" w14:textId="09EB158C" w:rsidR="005433EA" w:rsidRPr="00105AD7" w:rsidRDefault="005433EA" w:rsidP="000728CB">
      <w:pPr>
        <w:spacing w:after="120"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</w:rPr>
        <w:t xml:space="preserve">Původní hodnota závazku: </w:t>
      </w:r>
      <w:r w:rsidRPr="00105AD7">
        <w:rPr>
          <w:rFonts w:cstheme="minorHAnsi"/>
          <w:b/>
          <w:bCs/>
        </w:rPr>
        <w:t>73 506</w:t>
      </w:r>
      <w:r w:rsidR="000728CB" w:rsidRPr="00105AD7">
        <w:rPr>
          <w:rFonts w:cstheme="minorHAnsi"/>
          <w:b/>
          <w:bCs/>
        </w:rPr>
        <w:t> </w:t>
      </w:r>
      <w:r w:rsidRPr="00105AD7">
        <w:rPr>
          <w:rFonts w:cstheme="minorHAnsi"/>
          <w:b/>
          <w:bCs/>
        </w:rPr>
        <w:t>300</w:t>
      </w:r>
      <w:r w:rsidR="000728CB" w:rsidRPr="00105AD7">
        <w:rPr>
          <w:rFonts w:cstheme="minorHAnsi"/>
          <w:b/>
          <w:bCs/>
        </w:rPr>
        <w:t>,</w:t>
      </w:r>
      <w:r w:rsidRPr="00105AD7">
        <w:rPr>
          <w:rFonts w:cstheme="minorHAnsi"/>
          <w:b/>
          <w:bCs/>
        </w:rPr>
        <w:t>00 Kč</w:t>
      </w:r>
    </w:p>
    <w:p w14:paraId="3B7F4B34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 xml:space="preserve">15 % z původní hodnoty: </w:t>
      </w:r>
      <w:bookmarkStart w:id="0" w:name="_Hlk128043918"/>
      <w:r w:rsidRPr="00105AD7">
        <w:rPr>
          <w:rFonts w:cstheme="minorHAnsi"/>
          <w:b/>
          <w:bCs/>
        </w:rPr>
        <w:t xml:space="preserve">11 025 945 Kč bez DPH </w:t>
      </w:r>
      <w:bookmarkEnd w:id="0"/>
      <w:r w:rsidRPr="00105AD7">
        <w:rPr>
          <w:rFonts w:cstheme="minorHAnsi"/>
          <w:b/>
          <w:bCs/>
        </w:rPr>
        <w:t>-&gt; tj. 84 532 245 Kč</w:t>
      </w:r>
    </w:p>
    <w:p w14:paraId="297C4128" w14:textId="1A5A1CCA" w:rsidR="005433EA" w:rsidRPr="00105AD7" w:rsidRDefault="005433EA" w:rsidP="000728CB">
      <w:pPr>
        <w:pBdr>
          <w:bottom w:val="single" w:sz="4" w:space="1" w:color="auto"/>
        </w:pBdr>
        <w:spacing w:after="120" w:line="252" w:lineRule="auto"/>
        <w:ind w:left="284"/>
        <w:rPr>
          <w:rFonts w:cstheme="minorHAnsi"/>
          <w:b/>
          <w:bCs/>
        </w:rPr>
      </w:pPr>
      <w:bookmarkStart w:id="1" w:name="_Hlk128043975"/>
      <w:r w:rsidRPr="00105AD7">
        <w:rPr>
          <w:rFonts w:cstheme="minorHAnsi"/>
          <w:b/>
          <w:bCs/>
        </w:rPr>
        <w:t>30 % = 22 051 890 Kč bez DPH -&gt; 95 558 190 Kč bez DPH</w:t>
      </w:r>
      <w:bookmarkEnd w:id="1"/>
    </w:p>
    <w:p w14:paraId="1EDC6E54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bez DPH: 73 506 300.00 Kč</w:t>
      </w:r>
    </w:p>
    <w:p w14:paraId="4299F5BE" w14:textId="2FF1C7C4" w:rsidR="005433EA" w:rsidRPr="00105AD7" w:rsidRDefault="005433EA" w:rsidP="000728CB">
      <w:pPr>
        <w:spacing w:after="120"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včetně DPH: 88 942</w:t>
      </w:r>
      <w:r w:rsidR="000728CB" w:rsidRPr="00105AD7">
        <w:rPr>
          <w:rFonts w:cstheme="minorHAnsi"/>
          <w:b/>
          <w:bCs/>
        </w:rPr>
        <w:t> </w:t>
      </w:r>
      <w:r w:rsidRPr="00105AD7">
        <w:rPr>
          <w:rFonts w:cstheme="minorHAnsi"/>
          <w:b/>
          <w:bCs/>
        </w:rPr>
        <w:t>623</w:t>
      </w:r>
      <w:r w:rsidR="000728CB" w:rsidRPr="00105AD7">
        <w:rPr>
          <w:rFonts w:cstheme="minorHAnsi"/>
          <w:b/>
          <w:bCs/>
        </w:rPr>
        <w:t>,</w:t>
      </w:r>
      <w:r w:rsidRPr="00105AD7">
        <w:rPr>
          <w:rFonts w:cstheme="minorHAnsi"/>
          <w:b/>
          <w:bCs/>
        </w:rPr>
        <w:t>00 Kč</w:t>
      </w:r>
    </w:p>
    <w:p w14:paraId="27754B66" w14:textId="1D689365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b/>
          <w:bCs/>
        </w:rPr>
        <w:t xml:space="preserve">Dodatek č. 1 ze dne 19. 5. 2022 - </w:t>
      </w:r>
      <w:r w:rsidRPr="00105AD7">
        <w:rPr>
          <w:rFonts w:cstheme="minorHAnsi"/>
        </w:rPr>
        <w:t>prodloužení termínu plnění a navýšení ceny za splnění předmětu smlouvy z důvodu víceprací, postupem v souladu s § 222 odst. 4 zákona o zadávání veřejných zakázek, jelikož došlo k</w:t>
      </w:r>
      <w:r w:rsidR="00EC6446" w:rsidRPr="00105AD7">
        <w:rPr>
          <w:rFonts w:cstheme="minorHAnsi"/>
        </w:rPr>
        <w:t> </w:t>
      </w:r>
      <w:r w:rsidRPr="00105AD7">
        <w:rPr>
          <w:rFonts w:cstheme="minorHAnsi"/>
        </w:rPr>
        <w:t>odchýlení od realizace plnění dle harmonogramu, tj. zahájení stavebních prací ke zhotovení Stavby z důvodů na straně objednatele a v rámci realizace vznikla objektivní potřeba provedení víceprací.</w:t>
      </w:r>
    </w:p>
    <w:p w14:paraId="59DA4592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 xml:space="preserve">Cena plnění po uzavření Dodatku č. 1: </w:t>
      </w:r>
      <w:r w:rsidRPr="00105AD7">
        <w:rPr>
          <w:rFonts w:cstheme="minorHAnsi"/>
          <w:b/>
          <w:bCs/>
        </w:rPr>
        <w:t>73 914 341,28 Kč bez DPH</w:t>
      </w:r>
    </w:p>
    <w:p w14:paraId="25ABD0C0" w14:textId="77777777" w:rsidR="005433EA" w:rsidRPr="00105AD7" w:rsidRDefault="005433EA" w:rsidP="000728CB">
      <w:pPr>
        <w:spacing w:after="120"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včetně DPH: 89 436 352,95 Kč</w:t>
      </w:r>
    </w:p>
    <w:p w14:paraId="4B742001" w14:textId="77777777" w:rsidR="005433EA" w:rsidRPr="00105AD7" w:rsidRDefault="005433EA" w:rsidP="000728CB">
      <w:pP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Rozdíl: 408 041,28 Kč bez DPH</w:t>
      </w:r>
    </w:p>
    <w:p w14:paraId="40FCA06D" w14:textId="2626D441" w:rsidR="005433EA" w:rsidRPr="00105AD7" w:rsidRDefault="005433EA" w:rsidP="000728CB">
      <w:pPr>
        <w:pBdr>
          <w:bottom w:val="single" w:sz="4" w:space="1" w:color="auto"/>
        </w:pBdr>
        <w:spacing w:after="120"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v % původní hodnoty závazku: 0,56%</w:t>
      </w:r>
    </w:p>
    <w:p w14:paraId="0517A2BF" w14:textId="77777777" w:rsidR="00B26FBF" w:rsidRPr="00105AD7" w:rsidRDefault="005433EA" w:rsidP="00143FEB">
      <w:pPr>
        <w:spacing w:line="252" w:lineRule="auto"/>
        <w:ind w:firstLine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Dodatek č. 2 ze dne 10. 10. 2022</w:t>
      </w:r>
      <w:r w:rsidR="00B26FBF" w:rsidRPr="00105AD7">
        <w:rPr>
          <w:rFonts w:cstheme="minorHAnsi"/>
          <w:b/>
          <w:bCs/>
        </w:rPr>
        <w:t>:</w:t>
      </w:r>
    </w:p>
    <w:p w14:paraId="21977D80" w14:textId="21C91175" w:rsidR="00EC6446" w:rsidRPr="00105AD7" w:rsidRDefault="00EC6446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 xml:space="preserve">Předmětem tohoto dodatku je potřeba víceprací a méněprací v souladu s čl. VI. odst. VI.3. Smlouvy a postupem v souladu s § 222 odst. 6 zákona o zadávání veřejných zakázek. Dále je předmětem Dodatku </w:t>
      </w:r>
      <w:r w:rsidRPr="00105AD7">
        <w:rPr>
          <w:rFonts w:cstheme="minorHAnsi"/>
        </w:rPr>
        <w:lastRenderedPageBreak/>
        <w:t>prodloužení termínu plnění a navýšení ceny za splnění předmětu smlouvy z důvodu víceprací, postupem v souladu s § 222 odst. 6 zákona o zadávání veřejných zakázek, jelikož v rámci realizace vznikla objektivní potřeba provedení méněprací a víceprací. (odůvodnění je uvedeno v Příloze č. 1 tohoto Dodatku - Změnové listy 3 až 6 (Bilance zeminy, betonu, Přeložka dešťové kanalizace – komunikace, Vnitřní ležatá kanalizace, Bludné proudy - vyztužení základových patek). Tyto změny nemění celkovou povahu veřejné zakázky a</w:t>
      </w:r>
      <w:r w:rsidR="000728CB" w:rsidRPr="00105AD7">
        <w:rPr>
          <w:rFonts w:cstheme="minorHAnsi"/>
        </w:rPr>
        <w:t> </w:t>
      </w:r>
      <w:r w:rsidRPr="00105AD7">
        <w:rPr>
          <w:rFonts w:cstheme="minorHAnsi"/>
        </w:rPr>
        <w:t>součet hodnot změn nepřekročí 50% původní hodnoty závazku a současně v souladu s §222 odst. 9 zákona o zadávání veřejných zakázek celkový cenový nárůst související se změnami podle § 222 odst. 6 zákona o</w:t>
      </w:r>
      <w:r w:rsidR="000728CB" w:rsidRPr="00105AD7">
        <w:rPr>
          <w:rFonts w:cstheme="minorHAnsi"/>
        </w:rPr>
        <w:t> </w:t>
      </w:r>
      <w:r w:rsidRPr="00105AD7">
        <w:rPr>
          <w:rFonts w:cstheme="minorHAnsi"/>
        </w:rPr>
        <w:t>zadávání veřejných zakázek při odečtení stavebních prací, služeb nebo dodávek, které nebyly s ohledem na tyto změny realizovány, nepřesáhne 30 % původní hodnoty závazku.</w:t>
      </w:r>
    </w:p>
    <w:p w14:paraId="23B647F3" w14:textId="6DB752F3" w:rsidR="00B26FBF" w:rsidRPr="00105AD7" w:rsidRDefault="00B26FBF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 xml:space="preserve">Cena plnění po uzavření Dodatku č. 2: </w:t>
      </w:r>
      <w:r w:rsidRPr="00105AD7">
        <w:rPr>
          <w:rFonts w:cstheme="minorHAnsi"/>
          <w:b/>
          <w:bCs/>
        </w:rPr>
        <w:t>75 312 030,62 Kč bez DPH</w:t>
      </w:r>
    </w:p>
    <w:p w14:paraId="22F2ED1A" w14:textId="3FDB3F7B" w:rsidR="00B26FBF" w:rsidRPr="00105AD7" w:rsidRDefault="00B26FBF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včetně DPH: 91 127 557,1 Kč</w:t>
      </w:r>
    </w:p>
    <w:p w14:paraId="5C7EBE48" w14:textId="3950F8F0" w:rsidR="00B26FBF" w:rsidRPr="00105AD7" w:rsidRDefault="00B26FBF" w:rsidP="000728CB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oproti Dodatku č. 1: 1 397 689,34 Kč bez DPH</w:t>
      </w:r>
    </w:p>
    <w:p w14:paraId="0556C712" w14:textId="6F5112AF" w:rsidR="00B26FBF" w:rsidRPr="00105AD7" w:rsidRDefault="00B26FBF" w:rsidP="000728CB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v % původní hodnoty závazku: 1,90 % navýšení</w:t>
      </w:r>
    </w:p>
    <w:p w14:paraId="18DB4D77" w14:textId="5964B58E" w:rsidR="005433EA" w:rsidRPr="00105AD7" w:rsidRDefault="00B26FBF" w:rsidP="000728CB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Hodnota změny oproti původní hodnotě závazku: 1 411 698,47 = 1,92 %</w:t>
      </w:r>
    </w:p>
    <w:p w14:paraId="0234D327" w14:textId="77777777" w:rsidR="00EC6446" w:rsidRPr="00105AD7" w:rsidRDefault="00EC6446" w:rsidP="000728CB">
      <w:pPr>
        <w:pStyle w:val="Nzev"/>
        <w:spacing w:after="120" w:line="252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19D13176" w14:textId="77C22DCC" w:rsidR="00EC6446" w:rsidRPr="00105AD7" w:rsidRDefault="00EC6446" w:rsidP="000728CB">
      <w:pPr>
        <w:spacing w:line="252" w:lineRule="auto"/>
        <w:ind w:left="284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Dodatek č. 3 ze dne 20. 3. 2023:</w:t>
      </w:r>
    </w:p>
    <w:p w14:paraId="53E23BE8" w14:textId="4AD8B87A" w:rsidR="00EC6446" w:rsidRPr="00105AD7" w:rsidRDefault="00EC6446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>Předmětem tohoto Dodatku je potřeba víceprací a méněprací v souladu s čl. VI. odst. VI.3. Smlouvy a postupem v souladu s § 222 odst. 4, 5 a 6 zákona o zadávání veřejných zakázek. Dále je předmětem tohoto Dodatku snížení ceny za splnění předmětu smlouvy z důvodu poměru víceprací s méněpracemi, a to postupem v souladu s § 222 odst. 4, 5 a 6 zákona o zadávání veřejných zakázek, jelikož v rámci realizace vznikla objektivní potřeba provedení méněprací a víceprací (odůvodnění je uvedeno v Příloze č. 1 tohoto Dodatku - Změnové listy 7 až 11. Tyto změny nemění celkovou povahu veřejné zakázky a součet hodnot změn nepřekročí 50% původní hodnoty závazku a</w:t>
      </w:r>
      <w:r w:rsidR="00C3359B" w:rsidRPr="00105AD7">
        <w:rPr>
          <w:rFonts w:cstheme="minorHAnsi"/>
        </w:rPr>
        <w:t> </w:t>
      </w:r>
      <w:r w:rsidRPr="00105AD7">
        <w:rPr>
          <w:rFonts w:cstheme="minorHAnsi"/>
        </w:rPr>
        <w:t>současně v souladu s §222 odst. 9 zákona o zadávání veřejných zakázek celkový cenový nárůst související se změnami podle odstavců 5 a 6 při odečtení stavebních prací, služeb nebo dodávek, které nebyly s ohledem na tyto změny realizovány, nepřesáhne 30 % původní hodnoty závazku.</w:t>
      </w:r>
    </w:p>
    <w:p w14:paraId="09632FCC" w14:textId="0F369BD5" w:rsidR="00EC6446" w:rsidRPr="00105AD7" w:rsidRDefault="00EC6446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 xml:space="preserve">Cena plnění po uzavření Dodatku č. 3: </w:t>
      </w:r>
      <w:r w:rsidRPr="00105AD7">
        <w:rPr>
          <w:rFonts w:cstheme="minorHAnsi"/>
          <w:b/>
          <w:bCs/>
        </w:rPr>
        <w:t>75 142 874,23 Kč bez DPH</w:t>
      </w:r>
    </w:p>
    <w:p w14:paraId="045337A3" w14:textId="2878DC69" w:rsidR="00EC6446" w:rsidRPr="00105AD7" w:rsidRDefault="00EC6446" w:rsidP="000728CB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včetně DPH: 90 922 877,8 Kč včetně DPH (tj. – 204 679,3 Kč vč. DPH)</w:t>
      </w:r>
    </w:p>
    <w:p w14:paraId="0EF72C51" w14:textId="40320BC8" w:rsidR="00EC6446" w:rsidRPr="00105AD7" w:rsidRDefault="00EC6446" w:rsidP="000728CB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oproti Dodatku č. 2: - 169 156,45 Kč bez DPH</w:t>
      </w:r>
    </w:p>
    <w:p w14:paraId="311F69C2" w14:textId="3F3B631D" w:rsidR="00EC6446" w:rsidRPr="00105AD7" w:rsidRDefault="00EC6446" w:rsidP="00702D5E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Hodnota změny oproti původní hodnotě závazku: 991 181,78 + (- 1 160 338,18) = 2 151 519,96 = 2,92 %</w:t>
      </w:r>
    </w:p>
    <w:p w14:paraId="59407B90" w14:textId="77777777" w:rsidR="00EC6446" w:rsidRPr="00105AD7" w:rsidRDefault="00EC6446" w:rsidP="000728CB">
      <w:pPr>
        <w:pStyle w:val="Nzev"/>
        <w:spacing w:after="120" w:line="252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5CBFAB31" w14:textId="77777777" w:rsidR="005433EA" w:rsidRPr="00105AD7" w:rsidRDefault="005433EA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5F36E770" w14:textId="77777777" w:rsidR="000728CB" w:rsidRPr="00105AD7" w:rsidRDefault="000728CB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7E9A2595" w14:textId="77777777" w:rsidR="000728CB" w:rsidRPr="00105AD7" w:rsidRDefault="000728CB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1D2F6AC2" w14:textId="77777777" w:rsidR="000728CB" w:rsidRPr="00105AD7" w:rsidRDefault="000728CB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677C593D" w14:textId="77777777" w:rsidR="00143FEB" w:rsidRPr="00105AD7" w:rsidRDefault="00143FEB" w:rsidP="000728CB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7F154050" w14:textId="77777777" w:rsidR="00E427F4" w:rsidRPr="00105AD7" w:rsidRDefault="00E427F4" w:rsidP="005D7EBC">
      <w:pPr>
        <w:pStyle w:val="Nzev"/>
        <w:spacing w:after="120" w:line="252" w:lineRule="auto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60D9092D" w14:textId="77777777" w:rsidR="00E427F4" w:rsidRPr="00105AD7" w:rsidRDefault="00E427F4" w:rsidP="00E427F4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6D697718" w14:textId="77777777" w:rsidR="00466DA6" w:rsidRPr="00105AD7" w:rsidRDefault="00466DA6" w:rsidP="00E427F4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21157A4E" w14:textId="243A173B" w:rsidR="00105AD7" w:rsidRPr="00105AD7" w:rsidRDefault="00105AD7" w:rsidP="00105AD7">
      <w:pPr>
        <w:spacing w:line="252" w:lineRule="auto"/>
        <w:ind w:left="426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lastRenderedPageBreak/>
        <w:t xml:space="preserve">Dodatek č. </w:t>
      </w:r>
      <w:r>
        <w:rPr>
          <w:rFonts w:cstheme="minorHAnsi"/>
          <w:b/>
          <w:bCs/>
        </w:rPr>
        <w:t>4</w:t>
      </w:r>
      <w:r w:rsidRPr="00105AD7">
        <w:rPr>
          <w:rFonts w:cstheme="minorHAnsi"/>
          <w:b/>
          <w:bCs/>
        </w:rPr>
        <w:t xml:space="preserve"> ze dne </w:t>
      </w:r>
      <w:r>
        <w:rPr>
          <w:rFonts w:cstheme="minorHAnsi"/>
          <w:b/>
          <w:bCs/>
        </w:rPr>
        <w:t>15</w:t>
      </w:r>
      <w:r w:rsidRPr="00105AD7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6</w:t>
      </w:r>
      <w:r w:rsidRPr="00105AD7">
        <w:rPr>
          <w:rFonts w:cstheme="minorHAnsi"/>
          <w:b/>
          <w:bCs/>
        </w:rPr>
        <w:t>. 2023:</w:t>
      </w:r>
    </w:p>
    <w:p w14:paraId="69359539" w14:textId="53C0A8B8" w:rsidR="00105AD7" w:rsidRPr="00F46C11" w:rsidRDefault="00105AD7" w:rsidP="00105AD7">
      <w:pPr>
        <w:autoSpaceDE w:val="0"/>
        <w:autoSpaceDN w:val="0"/>
        <w:adjustRightInd w:val="0"/>
        <w:spacing w:before="240" w:after="120" w:line="276" w:lineRule="auto"/>
        <w:ind w:left="426"/>
        <w:jc w:val="both"/>
        <w:rPr>
          <w:rFonts w:cstheme="minorHAnsi"/>
        </w:rPr>
      </w:pPr>
      <w:r w:rsidRPr="00F46C11">
        <w:rPr>
          <w:rFonts w:cstheme="minorHAnsi"/>
        </w:rPr>
        <w:t>Předmětem tohoto Dodatku je potřeba víceprací a méněprací v souladu s čl. VI. odst. VI.3. Smlouvy a postupem v souladu s § 222 odst. 4, 5 a 6 zákona o zadávání veřejných zakázek. Dále je předmětem tohoto dodatku prodloužení termínu plnění a navýšení ceny za splnění předmětu smlouvy z důvodu provedení víceprací a méněprací a dalších změn závazku ze smlouvy, a to postupem v souladu s § 222 odst. 4, 5 a 6 zákona o zadávání veřejných zakázek, jelikož v rámci realizace vznikla objektivní potřeba provedení víceprací a méněprací (odůvodnění je uvedeno v Příloze č. 1 Dodatku - Změnové listy 12 až 21). Tyto změny nemění celkovou povahu veřejné zakázky a součet hodnot změn nepřekročí 50% původní hodnoty závazku a současně v souladu s</w:t>
      </w:r>
      <w:r>
        <w:rPr>
          <w:rFonts w:cstheme="minorHAnsi"/>
        </w:rPr>
        <w:t> </w:t>
      </w:r>
      <w:r w:rsidRPr="00F46C11">
        <w:rPr>
          <w:rFonts w:cstheme="minorHAnsi"/>
        </w:rPr>
        <w:t>§222 odst. 9 zákona o zadávání veřejných zakázek celkový cenový nárůst související se změnami podle odstavců 5 a 6 při odečtení stavebních prací, služeb nebo dodávek, které nebyly s ohledem na tyto změny realizovány, nepřesáhne 30 % původní hodnoty závazku.</w:t>
      </w:r>
    </w:p>
    <w:p w14:paraId="62F1046F" w14:textId="77777777" w:rsidR="00E93AAD" w:rsidRPr="00105AD7" w:rsidRDefault="00E93AAD" w:rsidP="000728CB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</w:p>
    <w:p w14:paraId="390E9863" w14:textId="140A6B61" w:rsidR="00E93AAD" w:rsidRPr="00105AD7" w:rsidRDefault="00E93AAD" w:rsidP="00E93AAD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t xml:space="preserve">Cena plnění po uzavření Dodatku č. 4: </w:t>
      </w:r>
      <w:bookmarkStart w:id="2" w:name="_Hlk136851361"/>
      <w:r w:rsidRPr="00105AD7">
        <w:rPr>
          <w:rFonts w:cstheme="minorHAnsi"/>
          <w:b/>
          <w:bCs/>
        </w:rPr>
        <w:t>83 448 668,6</w:t>
      </w:r>
      <w:r w:rsidR="00D939B6" w:rsidRPr="00105AD7">
        <w:rPr>
          <w:rFonts w:cstheme="minorHAnsi"/>
          <w:b/>
          <w:bCs/>
        </w:rPr>
        <w:t>3</w:t>
      </w:r>
      <w:r w:rsidRPr="00105AD7">
        <w:rPr>
          <w:rFonts w:cstheme="minorHAnsi"/>
          <w:b/>
          <w:bCs/>
        </w:rPr>
        <w:t xml:space="preserve"> </w:t>
      </w:r>
      <w:bookmarkEnd w:id="2"/>
      <w:r w:rsidRPr="00105AD7">
        <w:rPr>
          <w:rFonts w:cstheme="minorHAnsi"/>
          <w:b/>
          <w:bCs/>
        </w:rPr>
        <w:t>Kč bez DPH</w:t>
      </w:r>
    </w:p>
    <w:p w14:paraId="7FF8CF00" w14:textId="49FD7A10" w:rsidR="00E93AAD" w:rsidRPr="00105AD7" w:rsidRDefault="00E93AAD" w:rsidP="00E93AAD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>Cena včetně DPH: 100 972</w:t>
      </w:r>
      <w:r w:rsidR="00BB2689" w:rsidRPr="00105AD7">
        <w:rPr>
          <w:rFonts w:cstheme="minorHAnsi"/>
          <w:b/>
          <w:bCs/>
        </w:rPr>
        <w:t> </w:t>
      </w:r>
      <w:r w:rsidRPr="00105AD7">
        <w:rPr>
          <w:rFonts w:cstheme="minorHAnsi"/>
          <w:b/>
          <w:bCs/>
        </w:rPr>
        <w:t>889</w:t>
      </w:r>
      <w:r w:rsidR="00BB2689" w:rsidRPr="00105AD7">
        <w:rPr>
          <w:rFonts w:cstheme="minorHAnsi"/>
          <w:b/>
          <w:bCs/>
        </w:rPr>
        <w:t>,04</w:t>
      </w:r>
      <w:r w:rsidRPr="00105AD7">
        <w:rPr>
          <w:rFonts w:cstheme="minorHAnsi"/>
          <w:b/>
          <w:bCs/>
        </w:rPr>
        <w:t xml:space="preserve"> Kč</w:t>
      </w:r>
    </w:p>
    <w:p w14:paraId="072A2652" w14:textId="57C40C11" w:rsidR="00E93AAD" w:rsidRPr="00105AD7" w:rsidRDefault="00E93AAD" w:rsidP="00E93AAD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oproti Dodatku č. 3: 8 305 794,41 Kč bez DPH</w:t>
      </w:r>
    </w:p>
    <w:p w14:paraId="770CB9E1" w14:textId="120DADDF" w:rsidR="00E93AAD" w:rsidRPr="00105AD7" w:rsidRDefault="00E93AAD" w:rsidP="00E93AAD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Rozdíl v % původní hodnoty závazku: 9 942 368,6 = 13,52 % navýšení</w:t>
      </w:r>
    </w:p>
    <w:p w14:paraId="4A27AF8A" w14:textId="77777777" w:rsidR="00D939B6" w:rsidRPr="00105AD7" w:rsidRDefault="00E93AAD" w:rsidP="00D939B6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Hodnota změny oproti původní hodnotě závazku: 9 335 894,40 Kč +</w:t>
      </w:r>
      <w:r w:rsidRPr="00105AD7">
        <w:rPr>
          <w:rFonts w:cstheme="minorHAnsi"/>
        </w:rPr>
        <w:tab/>
        <w:t xml:space="preserve">(-1 030 099,99 Kč) = </w:t>
      </w:r>
      <w:r w:rsidR="00D939B6" w:rsidRPr="00105AD7">
        <w:rPr>
          <w:rFonts w:cstheme="minorHAnsi"/>
        </w:rPr>
        <w:t xml:space="preserve">10 365 994,4 </w:t>
      </w:r>
    </w:p>
    <w:p w14:paraId="35DB8433" w14:textId="2C0F8256" w:rsidR="00DD2055" w:rsidRPr="00105AD7" w:rsidRDefault="00D939B6" w:rsidP="00DF18AE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>= 14,10 %</w:t>
      </w:r>
    </w:p>
    <w:p w14:paraId="4903B48A" w14:textId="4C59D059" w:rsidR="00265ACC" w:rsidRPr="00105AD7" w:rsidRDefault="00265ACC">
      <w:pPr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br w:type="page"/>
      </w:r>
    </w:p>
    <w:p w14:paraId="1285F97E" w14:textId="6A07F338" w:rsidR="00265ACC" w:rsidRPr="00105AD7" w:rsidRDefault="00265ACC" w:rsidP="00DF18AE">
      <w:pPr>
        <w:pStyle w:val="Nzev"/>
        <w:spacing w:after="120" w:line="252" w:lineRule="auto"/>
        <w:ind w:left="284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  <w:r w:rsidRPr="00105AD7">
        <w:rPr>
          <w:rFonts w:asciiTheme="minorHAnsi" w:hAnsiTheme="minorHAnsi" w:cstheme="minorHAnsi"/>
          <w:spacing w:val="60"/>
          <w:sz w:val="22"/>
          <w:szCs w:val="22"/>
          <w:lang w:val="cs-CZ"/>
        </w:rPr>
        <w:lastRenderedPageBreak/>
        <w:t>Dodatek č.5 ke Smlouvě o provedení stavby</w:t>
      </w:r>
    </w:p>
    <w:p w14:paraId="4985B881" w14:textId="77777777" w:rsidR="00265ACC" w:rsidRPr="00105AD7" w:rsidRDefault="00265ACC" w:rsidP="00DF18AE">
      <w:pPr>
        <w:spacing w:before="240" w:after="120" w:line="276" w:lineRule="auto"/>
        <w:jc w:val="both"/>
        <w:rPr>
          <w:rFonts w:cstheme="minorHAnsi"/>
        </w:rPr>
      </w:pPr>
      <w:r w:rsidRPr="00105AD7">
        <w:rPr>
          <w:rFonts w:cstheme="minorHAnsi"/>
        </w:rPr>
        <w:t xml:space="preserve">Smluvní strany uzavřely </w:t>
      </w:r>
      <w:r w:rsidRPr="00105AD7">
        <w:rPr>
          <w:rFonts w:cstheme="minorHAnsi"/>
          <w:iCs/>
        </w:rPr>
        <w:t>v souladu s </w:t>
      </w:r>
      <w:r w:rsidRPr="00105AD7">
        <w:rPr>
          <w:rFonts w:cstheme="minorHAnsi"/>
          <w:color w:val="000000"/>
        </w:rPr>
        <w:t xml:space="preserve">§ 1746 odst. 2 zákona č. 89/2012 Sb., občanský zákoník, ve znění pozdějších předpisů (dále jen </w:t>
      </w:r>
      <w:r w:rsidRPr="00105AD7">
        <w:rPr>
          <w:rFonts w:cstheme="minorHAnsi"/>
          <w:b/>
          <w:bCs/>
          <w:i/>
          <w:iCs/>
          <w:color w:val="000000"/>
        </w:rPr>
        <w:t>„Občanský zákoník“</w:t>
      </w:r>
      <w:r w:rsidRPr="00105AD7">
        <w:rPr>
          <w:rFonts w:cstheme="minorHAnsi"/>
          <w:color w:val="000000"/>
        </w:rPr>
        <w:t>), za přiměřeného použití ustanovení upravujících dílo dle § 2586 a násl. Občanského zákoníku a příkaz dle § 2430 a násl. Občanského zákoníku</w:t>
      </w:r>
      <w:r w:rsidRPr="00105AD7">
        <w:rPr>
          <w:rFonts w:cstheme="minorHAnsi"/>
          <w:iCs/>
        </w:rPr>
        <w:t xml:space="preserve"> a § 222 odst. 4, 5 a 6 zákona č. 134/2016 Sb., o zadávání veřejných zakázek, ve znění pozdějších předpisů (dále jen </w:t>
      </w:r>
      <w:r w:rsidRPr="00105AD7">
        <w:rPr>
          <w:rFonts w:cstheme="minorHAnsi"/>
          <w:b/>
          <w:bCs/>
          <w:iCs/>
        </w:rPr>
        <w:t>„</w:t>
      </w:r>
      <w:r w:rsidRPr="00105AD7">
        <w:rPr>
          <w:rFonts w:cstheme="minorHAnsi"/>
          <w:b/>
          <w:bCs/>
          <w:i/>
        </w:rPr>
        <w:t>zákon o zadávání veřejných zakázek</w:t>
      </w:r>
      <w:r w:rsidRPr="00105AD7">
        <w:rPr>
          <w:rFonts w:cstheme="minorHAnsi"/>
          <w:b/>
          <w:bCs/>
          <w:iCs/>
        </w:rPr>
        <w:t>“</w:t>
      </w:r>
      <w:r w:rsidRPr="00105AD7">
        <w:rPr>
          <w:rFonts w:cstheme="minorHAnsi"/>
          <w:iCs/>
        </w:rPr>
        <w:t xml:space="preserve">) </w:t>
      </w:r>
      <w:r w:rsidRPr="00105AD7">
        <w:rPr>
          <w:rFonts w:cstheme="minorHAnsi"/>
        </w:rPr>
        <w:t xml:space="preserve">tento dodatek č. 5 ke Smlouvě o provedení stavby ze dne 13. 1. 2022, </w:t>
      </w:r>
      <w:r w:rsidRPr="00105AD7">
        <w:rPr>
          <w:rFonts w:cstheme="minorHAnsi"/>
          <w:iCs/>
        </w:rPr>
        <w:t xml:space="preserve">ve znění Dodatku č. 1 ze dne 19. 5. 2022, Dodatku č. 2 ze dne 10. 10. 2022, Dodatku č. 3 ze dne 20. 3. 2023 a Dodatku č. 4 ze dne 15. 6. 2023 </w:t>
      </w:r>
      <w:r w:rsidRPr="00105AD7">
        <w:rPr>
          <w:rFonts w:cstheme="minorHAnsi"/>
        </w:rPr>
        <w:t>(dále jen „</w:t>
      </w:r>
      <w:r w:rsidRPr="00105AD7">
        <w:rPr>
          <w:rFonts w:cstheme="minorHAnsi"/>
          <w:b/>
          <w:bCs/>
          <w:i/>
          <w:iCs/>
        </w:rPr>
        <w:t>Dodatek</w:t>
      </w:r>
      <w:r w:rsidRPr="00105AD7">
        <w:rPr>
          <w:rFonts w:cstheme="minorHAnsi"/>
        </w:rPr>
        <w:t>“).</w:t>
      </w:r>
    </w:p>
    <w:p w14:paraId="6267F743" w14:textId="77777777" w:rsidR="00265ACC" w:rsidRPr="00105AD7" w:rsidRDefault="00265ACC" w:rsidP="00DF18AE">
      <w:pPr>
        <w:pStyle w:val="Nzev"/>
        <w:spacing w:after="120" w:line="252" w:lineRule="auto"/>
        <w:ind w:left="284"/>
        <w:jc w:val="left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807"/>
        <w:gridCol w:w="1701"/>
        <w:gridCol w:w="1418"/>
        <w:gridCol w:w="1701"/>
        <w:gridCol w:w="1701"/>
      </w:tblGrid>
      <w:tr w:rsidR="00DF18AE" w:rsidRPr="00105AD7" w14:paraId="7C9D4FCA" w14:textId="77777777" w:rsidTr="002A67F0">
        <w:trPr>
          <w:trHeight w:val="25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C46E" w14:textId="3EBED91D" w:rsidR="00DF18AE" w:rsidRPr="00105AD7" w:rsidRDefault="00DF18AE" w:rsidP="00265AC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ZL.č.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C86BFA" w14:textId="19CE9691" w:rsidR="00DF18AE" w:rsidRPr="00105AD7" w:rsidRDefault="00DF18AE" w:rsidP="00265AC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Popis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429E" w14:textId="2572F7B1" w:rsidR="00DF18AE" w:rsidRPr="00105AD7" w:rsidRDefault="00DF18AE" w:rsidP="00265AC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Cena bez DPH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7759" w14:textId="469511EC" w:rsidR="00DF18AE" w:rsidRPr="00105AD7" w:rsidRDefault="00DF18AE" w:rsidP="00512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Předáno investorovi dne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7534" w14:textId="0B487343" w:rsidR="00DF18AE" w:rsidRPr="00105AD7" w:rsidRDefault="00DF18AE" w:rsidP="00512A9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Odsouhlaseno investorem</w:t>
            </w:r>
          </w:p>
        </w:tc>
      </w:tr>
      <w:tr w:rsidR="00DF18AE" w:rsidRPr="00105AD7" w14:paraId="36019A8B" w14:textId="77777777" w:rsidTr="002A67F0">
        <w:trPr>
          <w:trHeight w:val="255"/>
        </w:trPr>
        <w:tc>
          <w:tcPr>
            <w:tcW w:w="5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7302" w14:textId="77777777" w:rsidR="00DF18AE" w:rsidRPr="00105AD7" w:rsidRDefault="00DF18AE" w:rsidP="00954E9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F4E9" w14:textId="77777777" w:rsidR="00DF18AE" w:rsidRPr="00105AD7" w:rsidRDefault="00DF18AE" w:rsidP="00954E9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58AD" w14:textId="77777777" w:rsidR="00DF18AE" w:rsidRPr="00105AD7" w:rsidRDefault="00DF18AE" w:rsidP="00954E9C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1AA02" w14:textId="77777777" w:rsidR="00DF18AE" w:rsidRPr="00105AD7" w:rsidRDefault="00DF18AE" w:rsidP="00954E9C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DB4F" w14:textId="51D407C2" w:rsidR="00DF18AE" w:rsidRPr="00105AD7" w:rsidRDefault="00DF18AE" w:rsidP="00954E9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Vícepráce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0B3D" w14:textId="4E3A91B1" w:rsidR="00DF18AE" w:rsidRPr="00105AD7" w:rsidRDefault="00DF18AE" w:rsidP="00954E9C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Méněpráce</w:t>
            </w:r>
          </w:p>
        </w:tc>
      </w:tr>
      <w:tr w:rsidR="00AF0828" w:rsidRPr="00105AD7" w14:paraId="3EAC4158" w14:textId="77777777" w:rsidTr="002A67F0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531F9B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F05607" w14:textId="6CAF7055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Klempířské konstrukce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921006A" w14:textId="0C52D79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15 972,02 Kč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19D35B" w14:textId="745EB21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3CDEC74" w14:textId="006CC70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278 398,80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DF4DFED" w14:textId="6BCD009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-262 426,78 Kč</w:t>
            </w:r>
          </w:p>
        </w:tc>
      </w:tr>
      <w:tr w:rsidR="00AF0828" w:rsidRPr="00105AD7" w14:paraId="59221FBF" w14:textId="77777777" w:rsidTr="009F5976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5396D8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ECEE06B" w14:textId="30093A69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elektroinstalací v přednádražním prostoru, odpočet nabíječky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1843DC4" w14:textId="2239F15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154 </w:t>
            </w:r>
            <w:r w:rsidR="0061774F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25,88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425A53" w14:textId="62B7D2E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18FFEFD" w14:textId="0450F71A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1774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74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96,61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C360BC5" w14:textId="12A60A5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-165 170,73 Kč</w:t>
            </w:r>
          </w:p>
        </w:tc>
      </w:tr>
      <w:tr w:rsidR="00AF0828" w:rsidRPr="00105AD7" w14:paraId="208657D8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D28C1C6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9E852B" w14:textId="7D98792D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madla na schodišti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F67C453" w14:textId="1EDD338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50 652,41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E367D0" w14:textId="1712A19C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112713A" w14:textId="6EA0263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50 652,41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8E8FAA" w14:textId="10E6E78C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4D999CBA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CE4C4D8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608855" w14:textId="52F5CC55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Opracování detailů PU stěrek + dohazování kapes OCK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55AF401" w14:textId="2326DC72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508 260,00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D4F9D02" w14:textId="537A443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473CFB" w14:textId="0CD24BFD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508 260,00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1FB2834" w14:textId="7AB9D12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20E696FE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91E5C6C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CC4E56" w14:textId="10C0D275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Rozšíření hromosvodu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E60E71" w14:textId="530ECD6A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29 298,34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8C4A653" w14:textId="4DE0E6B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2D6423" w14:textId="2912A202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29 298,34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679671" w14:textId="4ADDE31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07FBD756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93B3FA7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05B80C" w14:textId="20847532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Kotvící systém střech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7257AF" w14:textId="529DA42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76 267,32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49ABEAC" w14:textId="15A19F3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91B995" w14:textId="7BA47CB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76 267,32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4894E97" w14:textId="705066B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369FCFF7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380B34A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6B0ECC" w14:textId="123B400D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Záměna PU stěrky za PVC fólii na střechách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239E0C" w14:textId="49C5F7F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123 840,96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2730874" w14:textId="599DD339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21818AB" w14:textId="43E120F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255 361,22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771962" w14:textId="38553B9D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-131 520,26 Kč</w:t>
            </w:r>
          </w:p>
        </w:tc>
      </w:tr>
      <w:tr w:rsidR="00AF0828" w:rsidRPr="00105AD7" w14:paraId="34649216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F9FB11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21934B" w14:textId="698B32D0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Záměna vyzdívek, odpočet tahokovu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31C6F1A" w14:textId="6FEC80E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5 566,77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4DEFD87" w14:textId="6FF4AE8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9B11004" w14:textId="0B6FE6EB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166 900,00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C0397A" w14:textId="4C64F2B3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-161 333,23 Kč</w:t>
            </w:r>
          </w:p>
        </w:tc>
      </w:tr>
      <w:tr w:rsidR="00AF0828" w:rsidRPr="00105AD7" w14:paraId="4C392A46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1451981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F03698" w14:textId="17F345DA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štěrkodrti pod podlahou 1.NP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46B18B1" w14:textId="360BCAC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91 287,00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B9F3656" w14:textId="700E02D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5F45AC8" w14:textId="6B6D7B6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91 287,00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4B86D1" w14:textId="6225273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005DDD12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817A03D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6B11B6" w14:textId="4C48FDF1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Ochranné sítě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F934CE2" w14:textId="213FF37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459 265,00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0F944CD" w14:textId="6BC36A8C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5D17059" w14:textId="07A9466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459 265,00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ECFD42E" w14:textId="03FE1C7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3070A9D0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BF69BC3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EC23F5D" w14:textId="4BD24C0F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Cetin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05AB7F" w14:textId="7B25DF59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-54 709,63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D9129BD" w14:textId="745A7A2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4FB0237" w14:textId="46967BD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90C78D" w14:textId="6ED91CF9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-54 709,63 Kč</w:t>
            </w:r>
          </w:p>
        </w:tc>
      </w:tr>
      <w:tr w:rsidR="00AF0828" w:rsidRPr="00105AD7" w14:paraId="079EAF22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2F58CA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6E417B" w14:textId="2DAE7099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Protipožární nástřik plechů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D2EE84" w14:textId="624EC01A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-1 052 820,72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31507D6" w14:textId="1340969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8DA53F7" w14:textId="1A39613D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lang w:eastAsia="cs-CZ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AD3FF8D" w14:textId="046EAE7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-1 052 820,72 Kč</w:t>
            </w:r>
          </w:p>
        </w:tc>
      </w:tr>
      <w:tr w:rsidR="00AF0828" w:rsidRPr="00105AD7" w14:paraId="692BEE2A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DB1614C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EE986B" w14:textId="79050D2D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Mobiliář - stojany na 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45A2BCC" w14:textId="0499B177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51 000,00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24EEC4E" w14:textId="1352B1F9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20.07.2023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CC32D7" w14:textId="75637AD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51 000,00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C75F63" w14:textId="046BA91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6A1774E3" w14:textId="77777777" w:rsidTr="0013133A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A73C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8ACD" w14:textId="51969374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Neobsazeno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CACB" w14:textId="20E5282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8BEF" w14:textId="32B4F7FC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6E4" w14:textId="4E4DF47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3E10" w14:textId="1FA74F85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42F36598" w14:textId="77777777" w:rsidTr="003C7E66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0EC229A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F82445" w14:textId="5C2E40A2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Záměna stromů + výsadba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39438FE" w14:textId="6B167D57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-19 788,77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85B3E83" w14:textId="330CC1D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7A2A6A" w14:textId="21F73AC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22 464,08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CBA040A" w14:textId="1D0D0811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-42 252,85 Kč</w:t>
            </w:r>
          </w:p>
        </w:tc>
      </w:tr>
      <w:tr w:rsidR="00AF0828" w:rsidRPr="00105AD7" w14:paraId="792E3045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E8D4A7E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6F882E" w14:textId="4349F190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Přeložka dešťové kanalizace - komunikace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AC846B2" w14:textId="43540C22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-347 690,06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04CE96B" w14:textId="22C5FA17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1A35DAC" w14:textId="199FFE2B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24 196,68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34D8B58" w14:textId="0BA101FA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-371 886,74 Kč</w:t>
            </w:r>
          </w:p>
        </w:tc>
      </w:tr>
      <w:tr w:rsidR="00AF0828" w:rsidRPr="00105AD7" w14:paraId="26F916C7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BFEC82A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51F242" w14:textId="6ACB8938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Oplechování boční části schodišť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AC7C9AE" w14:textId="79B49014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110 650,00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D911437" w14:textId="53A80B3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21C17380" w14:textId="2C7AC2D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110 650,00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578B019" w14:textId="7C929DBB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384A58DA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CEB9BBF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39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C2C4DB" w14:textId="427F6449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Doplnění nopové fólie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0C06D091" w14:textId="1E0B52B0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36 838,78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7C7BF754" w14:textId="37557ED6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ACC5B9C" w14:textId="3D06845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36 838,78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4CE34085" w14:textId="3E10CC3C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F0828" w:rsidRPr="00105AD7" w14:paraId="1C9BC092" w14:textId="77777777" w:rsidTr="002A67F0">
        <w:trPr>
          <w:trHeight w:val="255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173F6AD4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40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F2135D" w14:textId="573E9BFE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bilance žulových obrubníků, změna rozsahu dlažby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FDDDA82" w14:textId="69A16E3B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-51 372,64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3D1493A7" w14:textId="34E190CE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5971531F" w14:textId="06FB382F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16 159,28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14:paraId="6B8EA3DA" w14:textId="18CE8B48" w:rsidR="00AF0828" w:rsidRPr="00105AD7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-67 531,92 Kč</w:t>
            </w:r>
          </w:p>
        </w:tc>
      </w:tr>
      <w:tr w:rsidR="00AF0828" w:rsidRPr="00105AD7" w14:paraId="7F3BAB50" w14:textId="77777777" w:rsidTr="002A67F0">
        <w:trPr>
          <w:trHeight w:val="499"/>
        </w:trPr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6407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105AD7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8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2DB" w14:textId="77777777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C E L K E 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FBE2" w14:textId="77777777" w:rsidR="00AF0828" w:rsidRPr="00105AD7" w:rsidRDefault="00AF0828" w:rsidP="00AF08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DC27" w14:textId="77777777" w:rsidR="00AF0828" w:rsidRPr="00105AD7" w:rsidRDefault="00AF0828" w:rsidP="00AF08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105AD7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8FD9" w14:textId="520C4674" w:rsidR="00AF0828" w:rsidRPr="002A67F0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2 49</w:t>
            </w:r>
            <w:r w:rsidR="0061774F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774F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95,52 Kč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3CD6" w14:textId="788CB107" w:rsidR="00AF0828" w:rsidRPr="002A67F0" w:rsidRDefault="00AF0828" w:rsidP="00AF082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-2 309 652,86 Kč</w:t>
            </w:r>
          </w:p>
        </w:tc>
      </w:tr>
      <w:tr w:rsidR="00265ACC" w:rsidRPr="00105AD7" w14:paraId="7A1ACF4E" w14:textId="77777777" w:rsidTr="002A67F0">
        <w:trPr>
          <w:trHeight w:val="765"/>
        </w:trPr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81B98" w14:textId="77777777" w:rsidR="00265ACC" w:rsidRPr="00105AD7" w:rsidRDefault="00265ACC" w:rsidP="00265ACC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B74FB1" w14:textId="77777777" w:rsidR="00265ACC" w:rsidRPr="00105AD7" w:rsidRDefault="00265ACC" w:rsidP="00265A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8F8FE" w14:textId="77777777" w:rsidR="00265ACC" w:rsidRPr="00105AD7" w:rsidRDefault="00265ACC" w:rsidP="00265A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4EAE2" w14:textId="77777777" w:rsidR="00265ACC" w:rsidRPr="00105AD7" w:rsidRDefault="00265ACC" w:rsidP="00265ACC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3CC4D" w14:textId="376AC550" w:rsidR="00265ACC" w:rsidRPr="00AF0828" w:rsidRDefault="00AF0828" w:rsidP="00AF0828">
            <w:pPr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bookmarkStart w:id="3" w:name="_Hlk145430994"/>
            <w:r>
              <w:rPr>
                <w:rFonts w:ascii="Arial" w:hAnsi="Arial" w:cs="Arial"/>
                <w:b/>
                <w:bCs/>
                <w:color w:val="0070C0"/>
              </w:rPr>
              <w:t xml:space="preserve">187 </w:t>
            </w:r>
            <w:r w:rsidR="00B734A7">
              <w:rPr>
                <w:rFonts w:ascii="Arial" w:hAnsi="Arial" w:cs="Arial"/>
                <w:b/>
                <w:bCs/>
                <w:color w:val="0070C0"/>
              </w:rPr>
              <w:t>3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42,66 </w:t>
            </w:r>
            <w:bookmarkEnd w:id="3"/>
            <w:r>
              <w:rPr>
                <w:rFonts w:ascii="Arial" w:hAnsi="Arial" w:cs="Arial"/>
                <w:b/>
                <w:bCs/>
                <w:color w:val="0070C0"/>
              </w:rPr>
              <w:t>Kč</w:t>
            </w:r>
          </w:p>
        </w:tc>
      </w:tr>
    </w:tbl>
    <w:p w14:paraId="0510F1D5" w14:textId="77777777" w:rsidR="00265ACC" w:rsidRPr="00105AD7" w:rsidRDefault="00265ACC" w:rsidP="00265ACC">
      <w:pPr>
        <w:pStyle w:val="Nzev"/>
        <w:spacing w:after="120" w:line="252" w:lineRule="auto"/>
        <w:jc w:val="both"/>
        <w:rPr>
          <w:rFonts w:asciiTheme="minorHAnsi" w:hAnsiTheme="minorHAnsi" w:cstheme="minorHAnsi"/>
          <w:spacing w:val="60"/>
          <w:sz w:val="22"/>
          <w:szCs w:val="22"/>
          <w:lang w:val="cs-CZ"/>
        </w:rPr>
      </w:pPr>
    </w:p>
    <w:p w14:paraId="1760C0B1" w14:textId="77777777" w:rsidR="00466DA6" w:rsidRPr="00105AD7" w:rsidRDefault="00466DA6" w:rsidP="008A589E">
      <w:pPr>
        <w:spacing w:line="252" w:lineRule="auto"/>
        <w:ind w:left="284"/>
        <w:jc w:val="both"/>
        <w:rPr>
          <w:rFonts w:cstheme="minorHAnsi"/>
          <w:color w:val="FF0000"/>
        </w:rPr>
      </w:pPr>
    </w:p>
    <w:p w14:paraId="298EF669" w14:textId="77777777" w:rsidR="00466DA6" w:rsidRPr="00105AD7" w:rsidRDefault="00466DA6" w:rsidP="008A589E">
      <w:pPr>
        <w:spacing w:line="252" w:lineRule="auto"/>
        <w:ind w:left="284"/>
        <w:jc w:val="both"/>
        <w:rPr>
          <w:rFonts w:cstheme="minorHAnsi"/>
          <w:color w:val="FF0000"/>
        </w:rPr>
      </w:pPr>
    </w:p>
    <w:p w14:paraId="5492B90F" w14:textId="77777777" w:rsidR="00AF0828" w:rsidRDefault="00AF0828" w:rsidP="008A589E">
      <w:pPr>
        <w:spacing w:line="252" w:lineRule="auto"/>
        <w:ind w:left="284"/>
        <w:jc w:val="both"/>
        <w:rPr>
          <w:rFonts w:cstheme="minorHAnsi"/>
        </w:rPr>
      </w:pPr>
    </w:p>
    <w:p w14:paraId="6F09736E" w14:textId="77777777" w:rsidR="00AF0828" w:rsidRDefault="00AF0828" w:rsidP="008A589E">
      <w:pPr>
        <w:spacing w:line="252" w:lineRule="auto"/>
        <w:ind w:left="284"/>
        <w:jc w:val="both"/>
        <w:rPr>
          <w:rFonts w:cstheme="minorHAnsi"/>
        </w:rPr>
      </w:pPr>
    </w:p>
    <w:p w14:paraId="174A3D48" w14:textId="7076262C" w:rsidR="00F84813" w:rsidRPr="00105AD7" w:rsidRDefault="00F84813" w:rsidP="00F84813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</w:rPr>
        <w:lastRenderedPageBreak/>
        <w:t xml:space="preserve">Cena plnění po uzavření Dodatku č. 5: </w:t>
      </w:r>
      <w:r w:rsidR="00AF0828">
        <w:rPr>
          <w:rFonts w:cstheme="minorHAnsi"/>
          <w:b/>
          <w:bCs/>
        </w:rPr>
        <w:t>83</w:t>
      </w:r>
      <w:r w:rsidR="00562A97">
        <w:rPr>
          <w:rFonts w:cstheme="minorHAnsi"/>
          <w:b/>
          <w:bCs/>
        </w:rPr>
        <w:t> </w:t>
      </w:r>
      <w:r w:rsidR="00B734A7">
        <w:rPr>
          <w:rFonts w:cstheme="minorHAnsi"/>
          <w:b/>
          <w:bCs/>
        </w:rPr>
        <w:t>6</w:t>
      </w:r>
      <w:r w:rsidR="00562A97">
        <w:rPr>
          <w:rFonts w:cstheme="minorHAnsi"/>
          <w:b/>
          <w:bCs/>
        </w:rPr>
        <w:t>36 </w:t>
      </w:r>
      <w:r w:rsidR="0061774F">
        <w:rPr>
          <w:rFonts w:cstheme="minorHAnsi"/>
          <w:b/>
          <w:bCs/>
        </w:rPr>
        <w:t>0</w:t>
      </w:r>
      <w:r w:rsidR="00562A97">
        <w:rPr>
          <w:rFonts w:cstheme="minorHAnsi"/>
          <w:b/>
          <w:bCs/>
        </w:rPr>
        <w:t>11,29</w:t>
      </w:r>
      <w:r w:rsidRPr="00105AD7">
        <w:rPr>
          <w:rFonts w:cstheme="minorHAnsi"/>
          <w:b/>
          <w:bCs/>
        </w:rPr>
        <w:t xml:space="preserve"> Kč bez DPH</w:t>
      </w:r>
    </w:p>
    <w:p w14:paraId="161DA25D" w14:textId="112AA8E0" w:rsidR="00F84813" w:rsidRPr="00105AD7" w:rsidRDefault="00F84813" w:rsidP="00F84813">
      <w:pPr>
        <w:spacing w:line="252" w:lineRule="auto"/>
        <w:ind w:left="284"/>
        <w:jc w:val="both"/>
        <w:rPr>
          <w:rFonts w:cstheme="minorHAnsi"/>
          <w:b/>
          <w:bCs/>
        </w:rPr>
      </w:pPr>
      <w:r w:rsidRPr="00105AD7">
        <w:rPr>
          <w:rFonts w:cstheme="minorHAnsi"/>
          <w:b/>
          <w:bCs/>
        </w:rPr>
        <w:t xml:space="preserve">Cena včetně DPH: </w:t>
      </w:r>
      <w:r w:rsidR="00AF0828">
        <w:rPr>
          <w:rFonts w:cstheme="minorHAnsi"/>
          <w:b/>
          <w:bCs/>
        </w:rPr>
        <w:t>101</w:t>
      </w:r>
      <w:r w:rsidR="00562A97">
        <w:rPr>
          <w:rFonts w:cstheme="minorHAnsi"/>
          <w:b/>
          <w:bCs/>
        </w:rPr>
        <w:t xml:space="preserve"> 199 </w:t>
      </w:r>
      <w:r w:rsidR="00184B2B">
        <w:rPr>
          <w:rFonts w:cstheme="minorHAnsi"/>
          <w:b/>
          <w:bCs/>
        </w:rPr>
        <w:t>574</w:t>
      </w:r>
      <w:r w:rsidRPr="00105AD7">
        <w:rPr>
          <w:rFonts w:cstheme="minorHAnsi"/>
          <w:b/>
          <w:bCs/>
        </w:rPr>
        <w:t xml:space="preserve"> Kč</w:t>
      </w:r>
    </w:p>
    <w:p w14:paraId="09EA8DE6" w14:textId="2C549971" w:rsidR="00F84813" w:rsidRPr="00105AD7" w:rsidRDefault="00F84813" w:rsidP="00F84813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 xml:space="preserve">Rozdíl oproti Dodatku č. 4: </w:t>
      </w:r>
      <w:r w:rsidR="00AF0828" w:rsidRPr="00AF0828">
        <w:rPr>
          <w:rFonts w:cstheme="minorHAnsi"/>
        </w:rPr>
        <w:t xml:space="preserve">187 </w:t>
      </w:r>
      <w:r w:rsidR="00184B2B">
        <w:rPr>
          <w:rFonts w:cstheme="minorHAnsi"/>
        </w:rPr>
        <w:t>3</w:t>
      </w:r>
      <w:r w:rsidR="00AF0828" w:rsidRPr="00AF0828">
        <w:rPr>
          <w:rFonts w:cstheme="minorHAnsi"/>
        </w:rPr>
        <w:t xml:space="preserve">42,66 </w:t>
      </w:r>
      <w:r w:rsidRPr="00105AD7">
        <w:rPr>
          <w:rFonts w:cstheme="minorHAnsi"/>
        </w:rPr>
        <w:t>Kč bez DPH</w:t>
      </w:r>
    </w:p>
    <w:p w14:paraId="0652684E" w14:textId="35EB26C8" w:rsidR="00F84813" w:rsidRPr="00105AD7" w:rsidRDefault="00F84813" w:rsidP="00F84813">
      <w:pP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 xml:space="preserve">Rozdíl v % původní hodnoty závazku celkem: </w:t>
      </w:r>
      <w:r w:rsidR="00AF0828" w:rsidRPr="00AF0828">
        <w:rPr>
          <w:rFonts w:cstheme="minorHAnsi"/>
        </w:rPr>
        <w:t xml:space="preserve">10 129 </w:t>
      </w:r>
      <w:r w:rsidR="00B734A7">
        <w:rPr>
          <w:rFonts w:cstheme="minorHAnsi"/>
        </w:rPr>
        <w:t>7</w:t>
      </w:r>
      <w:r w:rsidR="00AF0828" w:rsidRPr="00AF0828">
        <w:rPr>
          <w:rFonts w:cstheme="minorHAnsi"/>
        </w:rPr>
        <w:t>11,29 Kč</w:t>
      </w:r>
      <w:r w:rsidR="00AF0828">
        <w:rPr>
          <w:rFonts w:cstheme="minorHAnsi"/>
        </w:rPr>
        <w:t xml:space="preserve"> </w:t>
      </w:r>
      <w:r w:rsidRPr="00105AD7">
        <w:rPr>
          <w:rFonts w:cstheme="minorHAnsi"/>
        </w:rPr>
        <w:t>= 1</w:t>
      </w:r>
      <w:r w:rsidR="00AF0828">
        <w:rPr>
          <w:rFonts w:cstheme="minorHAnsi"/>
        </w:rPr>
        <w:t>3,78</w:t>
      </w:r>
      <w:r w:rsidRPr="00105AD7">
        <w:rPr>
          <w:rFonts w:cstheme="minorHAnsi"/>
        </w:rPr>
        <w:t xml:space="preserve"> % navýšení</w:t>
      </w:r>
    </w:p>
    <w:p w14:paraId="22783135" w14:textId="77777777" w:rsidR="00F84813" w:rsidRDefault="00F84813" w:rsidP="00F84813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105AD7">
        <w:rPr>
          <w:rFonts w:cstheme="minorHAnsi"/>
        </w:rPr>
        <w:t xml:space="preserve">Hodnota změny oproti původní hodnotě závazku celkem dle dodatku č. 1 až 5: </w:t>
      </w:r>
    </w:p>
    <w:p w14:paraId="2C74C064" w14:textId="20DD4F2A" w:rsidR="008A589E" w:rsidRPr="00A255DC" w:rsidRDefault="00AF0828" w:rsidP="00A255DC">
      <w:pPr>
        <w:pBdr>
          <w:bottom w:val="single" w:sz="4" w:space="1" w:color="auto"/>
        </w:pBdr>
        <w:spacing w:line="252" w:lineRule="auto"/>
        <w:ind w:left="284"/>
        <w:rPr>
          <w:rFonts w:cstheme="minorHAnsi"/>
        </w:rPr>
      </w:pPr>
      <w:r w:rsidRPr="00AF0828">
        <w:rPr>
          <w:rFonts w:cstheme="minorHAnsi"/>
        </w:rPr>
        <w:t xml:space="preserve">14 756 </w:t>
      </w:r>
      <w:r w:rsidR="00B734A7">
        <w:rPr>
          <w:rFonts w:cstheme="minorHAnsi"/>
        </w:rPr>
        <w:t>3</w:t>
      </w:r>
      <w:r w:rsidRPr="00AF0828">
        <w:rPr>
          <w:rFonts w:cstheme="minorHAnsi"/>
        </w:rPr>
        <w:t>48,38 Kč</w:t>
      </w:r>
      <w:r>
        <w:rPr>
          <w:rFonts w:cstheme="minorHAnsi"/>
        </w:rPr>
        <w:t xml:space="preserve"> + (</w:t>
      </w:r>
      <w:r w:rsidRPr="00AF0828">
        <w:rPr>
          <w:rFonts w:cstheme="minorHAnsi"/>
        </w:rPr>
        <w:t>-4 626 637,09 Kč</w:t>
      </w:r>
      <w:r>
        <w:rPr>
          <w:rFonts w:cstheme="minorHAnsi"/>
        </w:rPr>
        <w:t xml:space="preserve">) = </w:t>
      </w:r>
      <w:r w:rsidR="00A255DC">
        <w:rPr>
          <w:rFonts w:cstheme="minorHAnsi"/>
        </w:rPr>
        <w:t>19 38</w:t>
      </w:r>
      <w:r w:rsidR="00B734A7">
        <w:rPr>
          <w:rFonts w:cstheme="minorHAnsi"/>
        </w:rPr>
        <w:t>2</w:t>
      </w:r>
      <w:r w:rsidR="00A255DC">
        <w:rPr>
          <w:rFonts w:cstheme="minorHAnsi"/>
        </w:rPr>
        <w:t> </w:t>
      </w:r>
      <w:r w:rsidR="00B734A7">
        <w:rPr>
          <w:rFonts w:cstheme="minorHAnsi"/>
        </w:rPr>
        <w:t>9</w:t>
      </w:r>
      <w:r w:rsidR="00A255DC">
        <w:rPr>
          <w:rFonts w:cstheme="minorHAnsi"/>
        </w:rPr>
        <w:t>85,5 Kč = 26,37 %</w:t>
      </w:r>
    </w:p>
    <w:p w14:paraId="3F8CCABB" w14:textId="77777777" w:rsidR="00F84813" w:rsidRPr="00105AD7" w:rsidRDefault="00F84813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</w:p>
    <w:p w14:paraId="040301DA" w14:textId="048CB1A9" w:rsidR="00512A9F" w:rsidRPr="00105AD7" w:rsidRDefault="00512A9F" w:rsidP="00466DA6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22:</w:t>
      </w:r>
    </w:p>
    <w:p w14:paraId="7B5F7FB4" w14:textId="08B5B573" w:rsidR="00512A9F" w:rsidRPr="00105AD7" w:rsidRDefault="00512A9F" w:rsidP="00512A9F">
      <w:pPr>
        <w:shd w:val="clear" w:color="auto" w:fill="FFFFFF"/>
        <w:spacing w:before="240" w:after="0"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Z důvodu nefunkčního řešení v podobě polymerbetonových žlabů bylo přepracováno odvodnění v nadzemních patrech objektu za použití okapních žlabů a svodů z pozinkového plechu (viz revize PD VKP1 - výpis klempířských prvků), které svádí vodu do reteční nádrže. Na základě požadavku investora byla zpracována CN, která sloužila jako podklad pro tento změnový list.</w:t>
      </w:r>
    </w:p>
    <w:p w14:paraId="54F3588B" w14:textId="7898075D" w:rsidR="00512A9F" w:rsidRPr="00105AD7" w:rsidRDefault="00512A9F" w:rsidP="00512A9F">
      <w:pPr>
        <w:shd w:val="clear" w:color="auto" w:fill="FFFFFF"/>
        <w:spacing w:before="240" w:after="0"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>Změna závazku ze smlouva v souladu s §222 odst. 6 zákona o zadávání veřejných zakázek.</w:t>
      </w:r>
    </w:p>
    <w:p w14:paraId="5248C05A" w14:textId="77777777" w:rsidR="00512A9F" w:rsidRPr="00105AD7" w:rsidRDefault="00512A9F" w:rsidP="00512A9F">
      <w:pPr>
        <w:spacing w:line="252" w:lineRule="auto"/>
        <w:jc w:val="both"/>
        <w:rPr>
          <w:rFonts w:cstheme="minorHAnsi"/>
        </w:rPr>
      </w:pPr>
    </w:p>
    <w:p w14:paraId="79FC6118" w14:textId="5688A2C1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23:</w:t>
      </w:r>
    </w:p>
    <w:p w14:paraId="6225E01C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5E5D0434" w14:textId="7F7A49BD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  <w:r w:rsidRPr="00105AD7">
        <w:rPr>
          <w:rFonts w:eastAsia="Times New Roman" w:cstheme="minorHAnsi"/>
          <w:lang w:eastAsia="cs-CZ"/>
        </w:rPr>
        <w:t>Na základě požadavků investora byly projektantem doplněny rozvody v přednádražním prostoru pro parkovací automat, zastávku, autobusový označník, podzemní zásuvkový box. Dále bylo na žádost investora sjednoceno se stávajícím osvětlením města veřejné osvětlení u příjezdové komunikace k parkovacímu domu. Pro zvýšení bezpečnosti bylo na žádost investora doplněno požární čidlo do výtahové šachty a dotažen kabel pro komunikace výtahu se systémem EPS. Dále na základě požadavku nabíječky pro elektromobily tak, aby byla dodržena podmínka pro zajištění dobíjení 2 automobilů, je možné jeden kus nabíječky odečíst, protože vybraný typ umožňuje nabíjení současně pro dvě vozidla. Na výše uvedené byla zpracována cenová nabídka, která sloužila jako podklad pro tento změnový list.</w:t>
      </w:r>
    </w:p>
    <w:p w14:paraId="6DFC0FF0" w14:textId="26128457" w:rsidR="00512A9F" w:rsidRPr="00105AD7" w:rsidRDefault="00512A9F" w:rsidP="00466DA6">
      <w:pPr>
        <w:shd w:val="clear" w:color="auto" w:fill="FFFFFF"/>
        <w:spacing w:before="240" w:after="0"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43CB2F46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</w:p>
    <w:p w14:paraId="63750E9D" w14:textId="452297F9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24:</w:t>
      </w:r>
    </w:p>
    <w:p w14:paraId="1CBE84BD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44D7ED4B" w14:textId="2488603C" w:rsidR="00512A9F" w:rsidRPr="00105AD7" w:rsidRDefault="00512A9F" w:rsidP="00105AD7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Doplnění chybějícího madla na schodišti u výtahové věže, které nebylo vykázáno v DPS. Na základě revize PD, výkres D.1.1 02-04. Dle revize byla zpracována a odsouhlasena cenová nabídka, které je podkladem pro tento změnový list.</w:t>
      </w:r>
    </w:p>
    <w:p w14:paraId="377A21F2" w14:textId="53CE0945" w:rsidR="00512A9F" w:rsidRPr="00105AD7" w:rsidRDefault="00512A9F" w:rsidP="00466DA6">
      <w:pPr>
        <w:shd w:val="clear" w:color="auto" w:fill="FFFFFF"/>
        <w:spacing w:before="240" w:after="0"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7E5A2B0F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</w:p>
    <w:p w14:paraId="4675922D" w14:textId="525D5AE9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25:</w:t>
      </w:r>
    </w:p>
    <w:p w14:paraId="2775B452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5A4E6E1A" w14:textId="09F2D0A1" w:rsidR="00512A9F" w:rsidRPr="00105AD7" w:rsidRDefault="00512A9F" w:rsidP="00105AD7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Vlivem navýšení nosných sloupků svodidel a doplnění okapnic oproti původní DPS, byly doceněny detaily v provádění polyuretanových stěrek. Dále byly sanovány praskliny betonových podlah vzniklé dotvarováním konstrukce. Rozsah a materiál použitý na sanaci byl odsouhlasen statikem projektu. Na základě těchto podkladů a na pokyn investora byla zpracována CN, která byla podkladem pro tento změnový list.</w:t>
      </w:r>
    </w:p>
    <w:p w14:paraId="0DE2B79C" w14:textId="073C9364" w:rsidR="00512A9F" w:rsidRPr="00105AD7" w:rsidRDefault="00512A9F" w:rsidP="00466DA6">
      <w:pPr>
        <w:shd w:val="clear" w:color="auto" w:fill="FFFFFF"/>
        <w:spacing w:before="240" w:after="0"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25A99ACD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</w:p>
    <w:p w14:paraId="3A5F7FD6" w14:textId="3F904FC0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lastRenderedPageBreak/>
        <w:t>Změnový list č. 26:</w:t>
      </w:r>
    </w:p>
    <w:p w14:paraId="7CB810E7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49CDD38C" w14:textId="2E667DEF" w:rsidR="00512A9F" w:rsidRPr="00105AD7" w:rsidRDefault="00512A9F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V původní PDPS nebylo zohledněno opatření proti bludným proudům z hlediska uzemnění domu, které bylo provedeno dodatečně fy. Jeku a na základě této dopracované části dokumentace D 1.2.bylo upraveno zemnění dle těchto výkresů. Na výše uvedené byla předložena a schválena cenová nabídka, která je podkladem pro tento změnový list.</w:t>
      </w:r>
    </w:p>
    <w:p w14:paraId="783982AA" w14:textId="26DCF0E5" w:rsidR="00512A9F" w:rsidRPr="00105AD7" w:rsidRDefault="00512A9F" w:rsidP="00466DA6">
      <w:pPr>
        <w:shd w:val="clear" w:color="auto" w:fill="FFFFFF"/>
        <w:spacing w:before="240" w:after="0"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2074C2BD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233580D4" w14:textId="0E644E5E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27:</w:t>
      </w:r>
    </w:p>
    <w:p w14:paraId="569BF80A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431B3276" w14:textId="18F20AC9" w:rsidR="00512A9F" w:rsidRPr="00105AD7" w:rsidRDefault="00512A9F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V projektu chyběly pro vstup na střechy bezpečností prvky proti pádu. Projektant tyto prvky doplnil a na výzvu investora byla zpracována CN, která sloužila jako podklad pro tento změnový list. Podkladem je samostatný výkres Topwet 01 z 10.11.2022.</w:t>
      </w:r>
    </w:p>
    <w:p w14:paraId="056BA4D9" w14:textId="28B75C0F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046B4B54" w14:textId="77777777" w:rsidR="00512A9F" w:rsidRPr="00105AD7" w:rsidRDefault="00512A9F" w:rsidP="00466DA6">
      <w:pPr>
        <w:spacing w:after="0" w:line="252" w:lineRule="auto"/>
        <w:ind w:left="284"/>
        <w:jc w:val="both"/>
        <w:rPr>
          <w:rFonts w:cstheme="minorHAnsi"/>
        </w:rPr>
      </w:pPr>
    </w:p>
    <w:p w14:paraId="79EE2B9F" w14:textId="160BD25C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28:</w:t>
      </w:r>
    </w:p>
    <w:p w14:paraId="410C6434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569A6F16" w14:textId="17E2E325" w:rsidR="00512A9F" w:rsidRPr="00105AD7" w:rsidRDefault="00512A9F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Dle DSPS byly střechy ramp opatřeny pouze hydrofobním nátěrem, který nezaručuje v přechodech materiálů dostatečnou pružnost a docházelo by k zatékání do konstrukce, proto byla na žádost investora doplněna projektantem DSPS, dle které byla předložena a schválena CN na PVC fólii, která byla podkladem pro vyhotovení tohoto změnového listu.</w:t>
      </w:r>
    </w:p>
    <w:p w14:paraId="7DA48E42" w14:textId="25F1334B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477BF837" w14:textId="77777777" w:rsidR="00512A9F" w:rsidRPr="00105AD7" w:rsidRDefault="00512A9F" w:rsidP="00466DA6">
      <w:pPr>
        <w:spacing w:after="0" w:line="252" w:lineRule="auto"/>
        <w:ind w:left="284"/>
        <w:jc w:val="both"/>
        <w:rPr>
          <w:rFonts w:cstheme="minorHAnsi"/>
        </w:rPr>
      </w:pPr>
    </w:p>
    <w:p w14:paraId="0B9A99C1" w14:textId="4923E2FC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29:</w:t>
      </w:r>
    </w:p>
    <w:p w14:paraId="45094346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73746500" w14:textId="6959E308" w:rsidR="00512A9F" w:rsidRPr="00105AD7" w:rsidRDefault="00512A9F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Vyzdívky elektra dle PDPS byly provedeny z pórobetonu bez povrchové úpravy a opatřeny předstěnou z tahokovu. Z důvodu nasákavosti pórobetonových tvárnice byly navrženy betonové bloky bez povrchové úpravy. Dále byly z důvodu údržby zazděny části prostoru pod rampami. Podkladem k tomuto ZL jsou výkresy D.1.1. 06,07, dle kterých byla předložena a schválena cenová nabídka, která je podkladem pro tento změnový list.</w:t>
      </w:r>
    </w:p>
    <w:p w14:paraId="5353A24A" w14:textId="468212F2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DF18AE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162F9A81" w14:textId="77777777" w:rsidR="00DF18AE" w:rsidRPr="00105AD7" w:rsidRDefault="00DF18AE" w:rsidP="00466DA6">
      <w:pPr>
        <w:shd w:val="clear" w:color="auto" w:fill="FFFFFF"/>
        <w:spacing w:after="0" w:line="252" w:lineRule="auto"/>
        <w:jc w:val="both"/>
        <w:rPr>
          <w:rFonts w:eastAsia="Times New Roman" w:cstheme="minorHAnsi"/>
          <w:b/>
          <w:bCs/>
          <w:color w:val="009933"/>
          <w:lang w:eastAsia="cs-CZ"/>
        </w:rPr>
      </w:pPr>
    </w:p>
    <w:p w14:paraId="46C9F944" w14:textId="071D9D7E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30:</w:t>
      </w:r>
    </w:p>
    <w:p w14:paraId="4D6C7BB8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21DC3797" w14:textId="14199B3F" w:rsidR="00512A9F" w:rsidRPr="00105AD7" w:rsidRDefault="00512A9F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Z důvodu nesouladu PDPS a výkazu výměr došlo projektantem k potvrzení tloušťky podlahy 1.NP 200mm, vzhledem k tomu bylo nutné dosypat niveletu podkladního štěrku o 50mm výše. Na tyto práce byla předložena a schválena cenová nabídka, která je podkladem pro tento změnový list.</w:t>
      </w:r>
    </w:p>
    <w:p w14:paraId="184D56FA" w14:textId="745EB021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0D6DC277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6222BB57" w14:textId="5C2B740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31:</w:t>
      </w:r>
    </w:p>
    <w:p w14:paraId="6979D9DC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02A7C449" w14:textId="6C8BAB73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 xml:space="preserve">Umístění ochranných sítí na vnitřní strany ramp, které mají funkci ochrany osob proti pádu, kde se jedná o sítě s oky 100 x 100mm. Tyto bezpečností prvky chyběly v PDPS. Sítě s oky 150 x 150mm jsou umístěny </w:t>
      </w:r>
      <w:r w:rsidRPr="00105AD7">
        <w:rPr>
          <w:rFonts w:eastAsia="Times New Roman" w:cstheme="minorHAnsi"/>
          <w:lang w:eastAsia="cs-CZ"/>
        </w:rPr>
        <w:lastRenderedPageBreak/>
        <w:t>po obvodu domu hlavně z uliční strany a mají zamezit vniku osob do prostor domu. Na žádost investora byla předložena a schválena CN, která je podkladem pro vyhotovení tohoto změnového listu.</w:t>
      </w:r>
    </w:p>
    <w:p w14:paraId="7921E58E" w14:textId="310C5E98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DF18AE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2F3011AC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7829D893" w14:textId="49AF0B79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32:</w:t>
      </w:r>
    </w:p>
    <w:p w14:paraId="7866811A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1539DD99" w14:textId="77777777" w:rsidR="000D4E13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Na žádost investora byla odečtena tato část díla.</w:t>
      </w:r>
    </w:p>
    <w:p w14:paraId="63AC5254" w14:textId="048B35A3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07E85C4E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623A4D33" w14:textId="7820D183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33:</w:t>
      </w:r>
    </w:p>
    <w:p w14:paraId="71B08BBF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1CEDFFA5" w14:textId="155A4250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Trapézové plechy splní požární odolnost dle PBŘ bez jakékoliv další úpravy, proto není třeba nástřik provádět a na žádost investora jsou tyto položky z rozpočtu odečteny</w:t>
      </w:r>
      <w:r w:rsidR="00512A9F" w:rsidRPr="00105AD7">
        <w:rPr>
          <w:rFonts w:eastAsia="Times New Roman" w:cstheme="minorHAnsi"/>
          <w:lang w:eastAsia="cs-CZ"/>
        </w:rPr>
        <w:t>.</w:t>
      </w:r>
    </w:p>
    <w:p w14:paraId="71752E16" w14:textId="5DD44955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685D66B6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288CF5BB" w14:textId="0DFAFD48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34:</w:t>
      </w:r>
    </w:p>
    <w:p w14:paraId="42BBBCF5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1715C751" w14:textId="77777777" w:rsidR="000D4E13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Z důvodu sjednocení vzhledu stojanů ve městě Čelákovice byly na žádost investora v přednádražním prostoru naceněny tyto stojany. Předložená a odsouhlasená cenová nabídky byla podkladem pro vyhotovení tohoto ZL.</w:t>
      </w:r>
    </w:p>
    <w:p w14:paraId="0D3DFD76" w14:textId="4F9C0EA1" w:rsidR="00512A9F" w:rsidRPr="00105AD7" w:rsidRDefault="00512A9F" w:rsidP="00B23800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5E9457F7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26DC23AF" w14:textId="3E24C34D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36:</w:t>
      </w:r>
    </w:p>
    <w:p w14:paraId="6651C072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3496168B" w14:textId="77777777" w:rsidR="000D4E13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Na požadavek investora byla provedena záměna stromů v přednádražním prostoru a prostoru před parkovacím domem. Na základě předložené a odsouhlasené CN byl vypracován tento změnový list.</w:t>
      </w:r>
    </w:p>
    <w:p w14:paraId="5AFDB8A4" w14:textId="75A6E772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630A8D50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7D4C9539" w14:textId="02763081" w:rsidR="000D4E13" w:rsidRPr="00105AD7" w:rsidRDefault="00512A9F" w:rsidP="00DF18AE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37:</w:t>
      </w:r>
    </w:p>
    <w:p w14:paraId="099391CA" w14:textId="77777777" w:rsidR="000D4E13" w:rsidRPr="00105AD7" w:rsidRDefault="000D4E13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2BF7A754" w14:textId="5AB03E5E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 xml:space="preserve">Předpokládaný zásah do komunikace při provádění přeložky kanalizace nebyl nutný, proto se původně odsouhlasené navýšení ve změnovém listu č.4 nebude provádět a v témže rozsahu se odečítá. Dále došlo k záměně uliční vpusti v přednádražním prostoru, kde z důvodu nedostatku místa nebylo možné použít klasickou betonovou vpusť. Na tyto změny byla předložena a schválena cenová nabídka, která je podkladem pro tento změnový list. Dále v místě před cyklověží a přední části přednádražního prostoru bylo u dvou vpustí osazené v pochozí ploše použito roštu s jemným žebrováním (tato záměna je bez </w:t>
      </w:r>
      <w:r w:rsidR="00105AD7">
        <w:rPr>
          <w:rFonts w:eastAsia="Times New Roman" w:cstheme="minorHAnsi"/>
          <w:lang w:eastAsia="cs-CZ"/>
        </w:rPr>
        <w:t>dop</w:t>
      </w:r>
      <w:r w:rsidRPr="00105AD7">
        <w:rPr>
          <w:rFonts w:eastAsia="Times New Roman" w:cstheme="minorHAnsi"/>
          <w:lang w:eastAsia="cs-CZ"/>
        </w:rPr>
        <w:t>adu do ceny)</w:t>
      </w:r>
      <w:r w:rsidR="00512A9F" w:rsidRPr="00105AD7">
        <w:rPr>
          <w:rFonts w:eastAsia="Times New Roman" w:cstheme="minorHAnsi"/>
          <w:lang w:eastAsia="cs-CZ"/>
        </w:rPr>
        <w:t>.</w:t>
      </w:r>
    </w:p>
    <w:p w14:paraId="56DB1DFA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>Změna závazku ze smlouva v souladu s §222 odst. 6 zákona o zadávání veřejných zakázek.</w:t>
      </w:r>
    </w:p>
    <w:p w14:paraId="123B512A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7943D379" w14:textId="349969D2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38:</w:t>
      </w:r>
    </w:p>
    <w:p w14:paraId="3A14B2E8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47204220" w14:textId="5C83AFA5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lastRenderedPageBreak/>
        <w:t>V rámci PDPS nebyly projektantem řešeny přechody mezi rovnou plochou podest a podlahou v parkovacím domě, která je ve spádu 2%. Tyto nerovnosti nebylo možné vyrovnat v rámci provádění betonových podlah. Pro vyrovnání bude použito pozinkových plechů. Na tyto plechy byla předložena a odsouhlasena cenová nabídka, která je podkladem k tomuto změnovému listu</w:t>
      </w:r>
      <w:r w:rsidR="00512A9F" w:rsidRPr="00105AD7">
        <w:rPr>
          <w:rFonts w:eastAsia="Times New Roman" w:cstheme="minorHAnsi"/>
          <w:lang w:eastAsia="cs-CZ"/>
        </w:rPr>
        <w:t>.</w:t>
      </w:r>
    </w:p>
    <w:p w14:paraId="3B95A948" w14:textId="5B599B14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5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0E94B080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17D05B7D" w14:textId="3CC15E39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39:</w:t>
      </w:r>
    </w:p>
    <w:p w14:paraId="2F529531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0E3236EB" w14:textId="5FE13E31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Po revizi PDPS je dle výkresu D.2/SO02 použita nopová fólie pro ochranu betonového soklu kolem domu. Na základě této revize byla zpracována CN, která sloužila jako podklad pro vyhotovení tohoto změnového listu.</w:t>
      </w:r>
    </w:p>
    <w:p w14:paraId="37719F1A" w14:textId="51F76CC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76990DC7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652124F1" w14:textId="13300D34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eastAsia="Times New Roman" w:cstheme="minorHAnsi"/>
          <w:b/>
          <w:bCs/>
          <w:color w:val="009933"/>
          <w:lang w:eastAsia="cs-CZ"/>
        </w:rPr>
      </w:pPr>
      <w:r w:rsidRPr="00105AD7">
        <w:rPr>
          <w:rFonts w:eastAsia="Times New Roman" w:cstheme="minorHAnsi"/>
          <w:b/>
          <w:bCs/>
          <w:color w:val="009933"/>
          <w:lang w:eastAsia="cs-CZ"/>
        </w:rPr>
        <w:t>Změnový list č. 40:</w:t>
      </w:r>
    </w:p>
    <w:p w14:paraId="439315BB" w14:textId="77777777" w:rsidR="00512A9F" w:rsidRPr="00105AD7" w:rsidRDefault="00512A9F" w:rsidP="00512A9F">
      <w:pPr>
        <w:shd w:val="clear" w:color="auto" w:fill="FFFFFF"/>
        <w:spacing w:after="0" w:line="252" w:lineRule="auto"/>
        <w:ind w:left="284"/>
        <w:jc w:val="both"/>
        <w:rPr>
          <w:rFonts w:cstheme="minorHAnsi"/>
          <w:color w:val="4472C4" w:themeColor="accent1"/>
        </w:rPr>
      </w:pPr>
    </w:p>
    <w:p w14:paraId="5942674D" w14:textId="2D1F65B2" w:rsidR="00512A9F" w:rsidRPr="00105AD7" w:rsidRDefault="000D4E13" w:rsidP="00512A9F">
      <w:pPr>
        <w:spacing w:line="252" w:lineRule="auto"/>
        <w:ind w:left="284"/>
        <w:jc w:val="both"/>
        <w:rPr>
          <w:rFonts w:eastAsia="Times New Roman" w:cstheme="minorHAnsi"/>
          <w:lang w:eastAsia="cs-CZ"/>
        </w:rPr>
      </w:pPr>
      <w:r w:rsidRPr="00105AD7">
        <w:rPr>
          <w:rFonts w:eastAsia="Times New Roman" w:cstheme="minorHAnsi"/>
          <w:lang w:eastAsia="cs-CZ"/>
        </w:rPr>
        <w:t>Při demontáži původních žulových obrub byly některé zachovány a bylo možné je použít při zpětné montáži. Dále na základě požadavku investora projektant upravil situaci se zákresem rozsahu dlažeb, kde v prostoru pod únikovým schodištěm došlo k záměně dlažby za kačírek.</w:t>
      </w:r>
    </w:p>
    <w:p w14:paraId="6381D09C" w14:textId="6BCEF2DB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  <w:color w:val="4472C4" w:themeColor="accent1"/>
        </w:rPr>
      </w:pPr>
      <w:r w:rsidRPr="00105AD7">
        <w:rPr>
          <w:rFonts w:cstheme="minorHAnsi"/>
          <w:color w:val="4472C4" w:themeColor="accent1"/>
        </w:rPr>
        <w:t xml:space="preserve">Změna závazku ze smlouva v souladu s §222 odst. </w:t>
      </w:r>
      <w:r w:rsidR="009E01F7" w:rsidRPr="00105AD7">
        <w:rPr>
          <w:rFonts w:cstheme="minorHAnsi"/>
          <w:color w:val="4472C4" w:themeColor="accent1"/>
        </w:rPr>
        <w:t>4</w:t>
      </w:r>
      <w:r w:rsidRPr="00105AD7">
        <w:rPr>
          <w:rFonts w:cstheme="minorHAnsi"/>
          <w:color w:val="4472C4" w:themeColor="accent1"/>
        </w:rPr>
        <w:t xml:space="preserve"> zákona o zadávání veřejných zakázek.</w:t>
      </w:r>
    </w:p>
    <w:p w14:paraId="4792C876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p w14:paraId="0E71FFF8" w14:textId="77777777" w:rsidR="00512A9F" w:rsidRPr="00105AD7" w:rsidRDefault="00512A9F" w:rsidP="00512A9F">
      <w:pPr>
        <w:spacing w:line="252" w:lineRule="auto"/>
        <w:ind w:left="284"/>
        <w:jc w:val="both"/>
        <w:rPr>
          <w:rFonts w:cstheme="minorHAnsi"/>
        </w:rPr>
      </w:pPr>
    </w:p>
    <w:sectPr w:rsidR="00512A9F" w:rsidRPr="00105AD7" w:rsidSect="00466DA6">
      <w:pgSz w:w="11906" w:h="16838"/>
      <w:pgMar w:top="1418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9DDA" w14:textId="77777777" w:rsidR="001B2D24" w:rsidRDefault="001B2D24" w:rsidP="000728CB">
      <w:pPr>
        <w:spacing w:after="0" w:line="240" w:lineRule="auto"/>
      </w:pPr>
      <w:r>
        <w:separator/>
      </w:r>
    </w:p>
  </w:endnote>
  <w:endnote w:type="continuationSeparator" w:id="0">
    <w:p w14:paraId="46B879A1" w14:textId="77777777" w:rsidR="001B2D24" w:rsidRDefault="001B2D24" w:rsidP="0007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4CF8" w14:textId="77777777" w:rsidR="001B2D24" w:rsidRDefault="001B2D24" w:rsidP="000728CB">
      <w:pPr>
        <w:spacing w:after="0" w:line="240" w:lineRule="auto"/>
      </w:pPr>
      <w:r>
        <w:separator/>
      </w:r>
    </w:p>
  </w:footnote>
  <w:footnote w:type="continuationSeparator" w:id="0">
    <w:p w14:paraId="57DA2BB3" w14:textId="77777777" w:rsidR="001B2D24" w:rsidRDefault="001B2D24" w:rsidP="0007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82A6880C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12955">
    <w:abstractNumId w:val="1"/>
  </w:num>
  <w:num w:numId="2" w16cid:durableId="103430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FD"/>
    <w:rsid w:val="000728CB"/>
    <w:rsid w:val="000D4E13"/>
    <w:rsid w:val="000F53C6"/>
    <w:rsid w:val="00105AD7"/>
    <w:rsid w:val="0013133A"/>
    <w:rsid w:val="00143FEB"/>
    <w:rsid w:val="00184B2B"/>
    <w:rsid w:val="001B2D24"/>
    <w:rsid w:val="00201147"/>
    <w:rsid w:val="00263CDA"/>
    <w:rsid w:val="00265ACC"/>
    <w:rsid w:val="002A67F0"/>
    <w:rsid w:val="003D3977"/>
    <w:rsid w:val="003E30A6"/>
    <w:rsid w:val="003F04FE"/>
    <w:rsid w:val="0041756D"/>
    <w:rsid w:val="00466DA6"/>
    <w:rsid w:val="005002DA"/>
    <w:rsid w:val="00512A9F"/>
    <w:rsid w:val="00526321"/>
    <w:rsid w:val="0052735B"/>
    <w:rsid w:val="005433EA"/>
    <w:rsid w:val="00562A97"/>
    <w:rsid w:val="005A1955"/>
    <w:rsid w:val="005D7EBC"/>
    <w:rsid w:val="0061774F"/>
    <w:rsid w:val="006A21C2"/>
    <w:rsid w:val="006F5F93"/>
    <w:rsid w:val="00702D5E"/>
    <w:rsid w:val="00733D48"/>
    <w:rsid w:val="00854500"/>
    <w:rsid w:val="008A589E"/>
    <w:rsid w:val="00954E9C"/>
    <w:rsid w:val="0095754F"/>
    <w:rsid w:val="00970A64"/>
    <w:rsid w:val="009B6495"/>
    <w:rsid w:val="009B7DFD"/>
    <w:rsid w:val="009E01F7"/>
    <w:rsid w:val="009E2E8B"/>
    <w:rsid w:val="00A12F84"/>
    <w:rsid w:val="00A255DC"/>
    <w:rsid w:val="00AF0828"/>
    <w:rsid w:val="00B23800"/>
    <w:rsid w:val="00B26FBF"/>
    <w:rsid w:val="00B734A7"/>
    <w:rsid w:val="00BB2689"/>
    <w:rsid w:val="00C12CD4"/>
    <w:rsid w:val="00C3359B"/>
    <w:rsid w:val="00D939B6"/>
    <w:rsid w:val="00DA0451"/>
    <w:rsid w:val="00DA2BB2"/>
    <w:rsid w:val="00DA5F1B"/>
    <w:rsid w:val="00DD2055"/>
    <w:rsid w:val="00DF18AE"/>
    <w:rsid w:val="00E427F4"/>
    <w:rsid w:val="00E93AAD"/>
    <w:rsid w:val="00EC6446"/>
    <w:rsid w:val="00F22D9A"/>
    <w:rsid w:val="00F747A5"/>
    <w:rsid w:val="00F84813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D20C"/>
  <w15:chartTrackingRefBased/>
  <w15:docId w15:val="{C858E35F-1603-467B-A6B9-E873279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3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43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33EA"/>
    <w:rPr>
      <w:rFonts w:ascii="Times New Roman" w:eastAsia="Times New Roman" w:hAnsi="Times New Roman" w:cs="Times New Roman"/>
      <w:b/>
      <w:bCs/>
      <w:sz w:val="44"/>
      <w:szCs w:val="24"/>
      <w:lang w:val="x-none" w:eastAsia="cs-CZ"/>
    </w:rPr>
  </w:style>
  <w:style w:type="table" w:styleId="Mkatabulky">
    <w:name w:val="Table Grid"/>
    <w:basedOn w:val="Normlntabulka"/>
    <w:uiPriority w:val="39"/>
    <w:rsid w:val="005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8CB"/>
  </w:style>
  <w:style w:type="paragraph" w:styleId="Zpat">
    <w:name w:val="footer"/>
    <w:basedOn w:val="Normln"/>
    <w:link w:val="ZpatChar"/>
    <w:uiPriority w:val="99"/>
    <w:unhideWhenUsed/>
    <w:rsid w:val="000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3129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Alena Vykoukalová</dc:creator>
  <cp:keywords/>
  <dc:description/>
  <cp:lastModifiedBy>Ondřej Přenosil</cp:lastModifiedBy>
  <cp:revision>5</cp:revision>
  <cp:lastPrinted>2023-09-22T08:07:00Z</cp:lastPrinted>
  <dcterms:created xsi:type="dcterms:W3CDTF">2023-09-22T06:30:00Z</dcterms:created>
  <dcterms:modified xsi:type="dcterms:W3CDTF">2023-09-22T08:37:00Z</dcterms:modified>
</cp:coreProperties>
</file>