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3021" w14:textId="5028CE82" w:rsidR="00C15EB6" w:rsidRDefault="00576D2A" w:rsidP="00F13BC4">
      <w:pPr>
        <w:spacing w:after="60"/>
        <w:jc w:val="center"/>
        <w:rPr>
          <w:rFonts w:cstheme="minorHAnsi"/>
          <w:b/>
          <w:bCs/>
          <w:u w:val="single"/>
        </w:rPr>
      </w:pPr>
      <w:r w:rsidRPr="008C3F76">
        <w:rPr>
          <w:rFonts w:cstheme="minorHAnsi"/>
          <w:b/>
          <w:bCs/>
          <w:sz w:val="28"/>
          <w:szCs w:val="28"/>
          <w:u w:val="single"/>
        </w:rPr>
        <w:t xml:space="preserve">Dodatek č. </w:t>
      </w:r>
      <w:r w:rsidR="00D0314D">
        <w:rPr>
          <w:rFonts w:cstheme="minorHAnsi"/>
          <w:b/>
          <w:bCs/>
          <w:sz w:val="28"/>
          <w:szCs w:val="28"/>
          <w:u w:val="single"/>
        </w:rPr>
        <w:t>2</w:t>
      </w:r>
      <w:r w:rsidR="00AB2925" w:rsidRPr="008C3F76">
        <w:rPr>
          <w:rFonts w:cstheme="minorHAnsi"/>
          <w:b/>
          <w:bCs/>
          <w:u w:val="single"/>
        </w:rPr>
        <w:t xml:space="preserve"> </w:t>
      </w:r>
    </w:p>
    <w:p w14:paraId="19300C59" w14:textId="77777777" w:rsidR="008C3F76" w:rsidRPr="008C3F76" w:rsidRDefault="008C3F76" w:rsidP="00F13BC4">
      <w:pPr>
        <w:spacing w:after="60"/>
        <w:jc w:val="center"/>
        <w:rPr>
          <w:rFonts w:cstheme="minorHAnsi"/>
          <w:b/>
          <w:bCs/>
          <w:u w:val="single"/>
        </w:rPr>
      </w:pPr>
    </w:p>
    <w:p w14:paraId="2F8C652F" w14:textId="77777777" w:rsidR="008C3F76" w:rsidRDefault="008C3F76" w:rsidP="008C3F76">
      <w:pPr>
        <w:pStyle w:val="RLNzevsmlouvy"/>
        <w:spacing w:after="120"/>
        <w:rPr>
          <w:rFonts w:asciiTheme="minorHAnsi" w:hAnsiTheme="minorHAnsi" w:cstheme="minorHAnsi"/>
          <w:sz w:val="22"/>
          <w:szCs w:val="22"/>
        </w:rPr>
      </w:pPr>
      <w:r w:rsidRPr="001C5D68">
        <w:rPr>
          <w:rFonts w:asciiTheme="minorHAnsi" w:hAnsiTheme="minorHAnsi" w:cstheme="minorHAnsi"/>
          <w:sz w:val="22"/>
          <w:szCs w:val="22"/>
        </w:rPr>
        <w:t xml:space="preserve">SMLOUVA </w:t>
      </w:r>
      <w:r>
        <w:rPr>
          <w:rFonts w:asciiTheme="minorHAnsi" w:hAnsiTheme="minorHAnsi" w:cstheme="minorHAnsi"/>
          <w:sz w:val="22"/>
          <w:szCs w:val="22"/>
        </w:rPr>
        <w:t>O dílo – analýza bateriového úložiště</w:t>
      </w:r>
    </w:p>
    <w:p w14:paraId="506FB2B1" w14:textId="15F6CA89" w:rsidR="003F50D3" w:rsidRPr="00C15EB6" w:rsidRDefault="003F50D3" w:rsidP="003F50D3">
      <w:pPr>
        <w:jc w:val="center"/>
        <w:rPr>
          <w:rFonts w:cstheme="minorHAnsi"/>
        </w:rPr>
      </w:pPr>
      <w:r w:rsidRPr="00C15EB6">
        <w:rPr>
          <w:rFonts w:cstheme="minorHAnsi"/>
        </w:rPr>
        <w:cr/>
      </w:r>
    </w:p>
    <w:p w14:paraId="354ACDB2" w14:textId="77777777" w:rsidR="000B734C" w:rsidRDefault="000B734C" w:rsidP="008C3F76">
      <w:pPr>
        <w:spacing w:after="0" w:line="240" w:lineRule="auto"/>
        <w:jc w:val="center"/>
        <w:rPr>
          <w:rFonts w:cstheme="minorHAnsi"/>
        </w:rPr>
      </w:pPr>
      <w:r w:rsidRPr="00C15EB6">
        <w:rPr>
          <w:rFonts w:cstheme="minorHAnsi"/>
        </w:rPr>
        <w:t>Smluvní strany:</w:t>
      </w:r>
    </w:p>
    <w:p w14:paraId="34935EFE" w14:textId="77777777" w:rsidR="008C3F76" w:rsidRPr="00C15EB6" w:rsidRDefault="008C3F76" w:rsidP="008C3F76">
      <w:pPr>
        <w:spacing w:after="0" w:line="240" w:lineRule="auto"/>
        <w:jc w:val="center"/>
        <w:rPr>
          <w:rFonts w:cstheme="minorHAnsi"/>
        </w:rPr>
      </w:pPr>
    </w:p>
    <w:p w14:paraId="11C1ED73" w14:textId="77777777" w:rsidR="000B734C" w:rsidRPr="00C15EB6" w:rsidRDefault="000B734C" w:rsidP="008C3F76">
      <w:pPr>
        <w:spacing w:after="0" w:line="360" w:lineRule="auto"/>
        <w:jc w:val="center"/>
        <w:rPr>
          <w:rFonts w:cstheme="minorHAnsi"/>
          <w:b/>
        </w:rPr>
      </w:pPr>
      <w:r w:rsidRPr="00C15EB6">
        <w:rPr>
          <w:rFonts w:cstheme="minorHAnsi"/>
          <w:b/>
        </w:rPr>
        <w:t>Technologie hlavního města Prahy, a.s.</w:t>
      </w:r>
    </w:p>
    <w:p w14:paraId="57BF08B4" w14:textId="77777777" w:rsidR="000B734C" w:rsidRPr="00C15EB6" w:rsidRDefault="000B734C" w:rsidP="008C3F76">
      <w:pPr>
        <w:spacing w:after="0" w:line="360" w:lineRule="auto"/>
        <w:jc w:val="center"/>
        <w:rPr>
          <w:rFonts w:cstheme="minorHAnsi"/>
        </w:rPr>
      </w:pPr>
      <w:r w:rsidRPr="00C15EB6">
        <w:rPr>
          <w:rFonts w:cstheme="minorHAnsi"/>
        </w:rPr>
        <w:t xml:space="preserve">se sídlem: </w:t>
      </w:r>
      <w:r w:rsidRPr="00C15EB6">
        <w:rPr>
          <w:rFonts w:cstheme="minorHAnsi"/>
          <w:b/>
        </w:rPr>
        <w:t>Dělnická 213/12, 170 00, Praha 7</w:t>
      </w:r>
    </w:p>
    <w:p w14:paraId="56BDB682" w14:textId="2615EA2A" w:rsidR="000B734C" w:rsidRPr="00C15EB6" w:rsidRDefault="000B734C" w:rsidP="008C3F76">
      <w:pPr>
        <w:spacing w:after="0" w:line="360" w:lineRule="auto"/>
        <w:jc w:val="center"/>
        <w:rPr>
          <w:rFonts w:cstheme="minorHAnsi"/>
          <w:b/>
        </w:rPr>
      </w:pPr>
      <w:r w:rsidRPr="00C15EB6">
        <w:rPr>
          <w:rFonts w:cstheme="minorHAnsi"/>
        </w:rPr>
        <w:t xml:space="preserve">IČO: </w:t>
      </w:r>
      <w:r w:rsidRPr="00C15EB6">
        <w:rPr>
          <w:rFonts w:cstheme="minorHAnsi"/>
          <w:b/>
        </w:rPr>
        <w:t>25672541</w:t>
      </w:r>
      <w:r w:rsidRPr="00C15EB6" w:rsidDel="00382924">
        <w:rPr>
          <w:rFonts w:cstheme="minorHAnsi"/>
          <w:b/>
        </w:rPr>
        <w:t xml:space="preserve"> </w:t>
      </w:r>
      <w:r w:rsidRPr="00C15EB6">
        <w:rPr>
          <w:rFonts w:cstheme="minorHAnsi"/>
        </w:rPr>
        <w:t xml:space="preserve">DIČ: </w:t>
      </w:r>
      <w:r w:rsidRPr="00C15EB6">
        <w:rPr>
          <w:rFonts w:cstheme="minorHAnsi"/>
          <w:b/>
          <w:lang w:val="x-none"/>
        </w:rPr>
        <w:t>CZ25672541</w:t>
      </w:r>
    </w:p>
    <w:p w14:paraId="470F8041" w14:textId="31C50FB8" w:rsidR="000B734C" w:rsidRPr="00C15EB6" w:rsidRDefault="000B734C" w:rsidP="008C3F76">
      <w:pPr>
        <w:spacing w:after="0" w:line="360" w:lineRule="auto"/>
        <w:jc w:val="center"/>
        <w:rPr>
          <w:rFonts w:cstheme="minorHAnsi"/>
        </w:rPr>
      </w:pPr>
      <w:r w:rsidRPr="00C15EB6">
        <w:rPr>
          <w:rFonts w:cstheme="minorHAnsi"/>
        </w:rPr>
        <w:t xml:space="preserve">společnost zapsaná v obchodním rejstříku vedeném </w:t>
      </w:r>
      <w:r w:rsidRPr="00C15EB6">
        <w:rPr>
          <w:rFonts w:cstheme="minorHAnsi"/>
          <w:b/>
        </w:rPr>
        <w:t>Městským soudem v Praze</w:t>
      </w:r>
    </w:p>
    <w:p w14:paraId="38B80E16" w14:textId="77777777" w:rsidR="000B734C" w:rsidRPr="00C15EB6" w:rsidRDefault="000B734C" w:rsidP="008C3F76">
      <w:pPr>
        <w:spacing w:after="0" w:line="360" w:lineRule="auto"/>
        <w:jc w:val="center"/>
        <w:rPr>
          <w:rFonts w:cstheme="minorHAnsi"/>
          <w:b/>
        </w:rPr>
      </w:pPr>
      <w:r w:rsidRPr="00C15EB6">
        <w:rPr>
          <w:rFonts w:cstheme="minorHAnsi"/>
        </w:rPr>
        <w:t xml:space="preserve">oddíl </w:t>
      </w:r>
      <w:r w:rsidRPr="00C15EB6">
        <w:rPr>
          <w:rFonts w:cstheme="minorHAnsi"/>
          <w:b/>
        </w:rPr>
        <w:t>B</w:t>
      </w:r>
      <w:r w:rsidRPr="00C15EB6">
        <w:rPr>
          <w:rFonts w:cstheme="minorHAnsi"/>
        </w:rPr>
        <w:t>, vložka </w:t>
      </w:r>
      <w:r w:rsidRPr="00C15EB6">
        <w:rPr>
          <w:rFonts w:cstheme="minorHAnsi"/>
          <w:b/>
        </w:rPr>
        <w:t>5402</w:t>
      </w:r>
    </w:p>
    <w:p w14:paraId="08013EFB" w14:textId="77777777" w:rsidR="000B734C" w:rsidRPr="00C15EB6" w:rsidRDefault="000B734C" w:rsidP="008C3F76">
      <w:pPr>
        <w:spacing w:after="0" w:line="360" w:lineRule="auto"/>
        <w:jc w:val="center"/>
        <w:rPr>
          <w:rFonts w:cstheme="minorHAnsi"/>
        </w:rPr>
      </w:pPr>
      <w:r w:rsidRPr="00C15EB6">
        <w:rPr>
          <w:rFonts w:cstheme="minorHAnsi"/>
          <w:b/>
        </w:rPr>
        <w:t>ID datové schránky: u5hgkji</w:t>
      </w:r>
    </w:p>
    <w:p w14:paraId="32D9E69F" w14:textId="77777777" w:rsidR="000B734C" w:rsidRPr="00C15EB6" w:rsidRDefault="000B734C" w:rsidP="008C3F76">
      <w:pPr>
        <w:spacing w:after="0" w:line="360" w:lineRule="auto"/>
        <w:jc w:val="center"/>
        <w:rPr>
          <w:rFonts w:cstheme="minorHAnsi"/>
        </w:rPr>
      </w:pPr>
      <w:r w:rsidRPr="00C15EB6">
        <w:rPr>
          <w:rFonts w:cstheme="minorHAnsi"/>
        </w:rPr>
        <w:t xml:space="preserve">bank. spojení: </w:t>
      </w:r>
      <w:r w:rsidRPr="00C15EB6">
        <w:rPr>
          <w:rFonts w:cstheme="minorHAnsi"/>
          <w:b/>
        </w:rPr>
        <w:t>Komerční banka, a.s.</w:t>
      </w:r>
      <w:r w:rsidRPr="00C15EB6">
        <w:rPr>
          <w:rFonts w:cstheme="minorHAnsi"/>
        </w:rPr>
        <w:t xml:space="preserve">, č. účtu: </w:t>
      </w:r>
      <w:r w:rsidRPr="00C15EB6">
        <w:rPr>
          <w:rFonts w:cstheme="minorHAnsi"/>
          <w:b/>
        </w:rPr>
        <w:t>115-5836140217/0100</w:t>
      </w:r>
    </w:p>
    <w:p w14:paraId="6C712784" w14:textId="77777777" w:rsidR="000B734C" w:rsidRPr="00C15EB6" w:rsidRDefault="000B734C" w:rsidP="008C3F76">
      <w:pPr>
        <w:spacing w:after="0" w:line="360" w:lineRule="auto"/>
        <w:jc w:val="center"/>
        <w:rPr>
          <w:rFonts w:cstheme="minorHAnsi"/>
          <w:b/>
        </w:rPr>
      </w:pPr>
      <w:r w:rsidRPr="00C15EB6">
        <w:rPr>
          <w:rFonts w:cstheme="minorHAnsi"/>
        </w:rPr>
        <w:t xml:space="preserve">zastoupená: </w:t>
      </w:r>
      <w:r w:rsidRPr="00C15EB6">
        <w:rPr>
          <w:rFonts w:cstheme="minorHAnsi"/>
          <w:b/>
        </w:rPr>
        <w:t>Tomášem Jílkem, předsedou představenstva,</w:t>
      </w:r>
    </w:p>
    <w:p w14:paraId="4C05F747" w14:textId="77777777" w:rsidR="000B734C" w:rsidRPr="00C15EB6" w:rsidRDefault="000B734C" w:rsidP="008C3F76">
      <w:pPr>
        <w:spacing w:after="0" w:line="360" w:lineRule="auto"/>
        <w:ind w:left="1416" w:firstLine="708"/>
        <w:jc w:val="center"/>
        <w:rPr>
          <w:rFonts w:cstheme="minorHAnsi"/>
          <w:b/>
        </w:rPr>
      </w:pPr>
      <w:r w:rsidRPr="00C15EB6">
        <w:rPr>
          <w:rFonts w:cstheme="minorHAnsi"/>
          <w:b/>
        </w:rPr>
        <w:t>Tomášem Novotným, místopředsedou představenstva,</w:t>
      </w:r>
    </w:p>
    <w:p w14:paraId="1BEC303E" w14:textId="77777777" w:rsidR="000B734C" w:rsidRPr="00C15EB6" w:rsidRDefault="000B734C" w:rsidP="008C3F76">
      <w:pPr>
        <w:spacing w:after="0" w:line="360" w:lineRule="auto"/>
        <w:ind w:firstLine="708"/>
        <w:jc w:val="center"/>
        <w:rPr>
          <w:rFonts w:cstheme="minorHAnsi"/>
          <w:b/>
        </w:rPr>
      </w:pPr>
      <w:r w:rsidRPr="00C15EB6">
        <w:rPr>
          <w:rFonts w:cstheme="minorHAnsi"/>
          <w:b/>
        </w:rPr>
        <w:t>Liborem Fialou, členem představenstva</w:t>
      </w:r>
    </w:p>
    <w:p w14:paraId="4F037F02" w14:textId="5B591640" w:rsidR="000B734C" w:rsidRPr="00C15EB6" w:rsidRDefault="000B734C" w:rsidP="008C3F76">
      <w:pPr>
        <w:spacing w:after="0" w:line="360" w:lineRule="auto"/>
        <w:ind w:left="708"/>
        <w:jc w:val="center"/>
        <w:rPr>
          <w:rFonts w:cstheme="minorHAnsi"/>
          <w:b/>
        </w:rPr>
      </w:pPr>
      <w:r w:rsidRPr="00C15EB6">
        <w:rPr>
          <w:rFonts w:cstheme="minorHAnsi"/>
          <w:b/>
        </w:rPr>
        <w:t xml:space="preserve">      Michalem Fišerem, členem představenstva</w:t>
      </w:r>
    </w:p>
    <w:p w14:paraId="542C4A50" w14:textId="77777777" w:rsidR="000B734C" w:rsidRPr="00C15EB6" w:rsidRDefault="000B734C" w:rsidP="008C3F76">
      <w:pPr>
        <w:spacing w:after="0" w:line="360" w:lineRule="auto"/>
        <w:jc w:val="center"/>
        <w:rPr>
          <w:rFonts w:cstheme="minorHAnsi"/>
          <w:b/>
        </w:rPr>
      </w:pPr>
      <w:r w:rsidRPr="00C15EB6">
        <w:rPr>
          <w:rFonts w:cstheme="minorHAnsi"/>
        </w:rPr>
        <w:t>číslo smlouvy: 390/23</w:t>
      </w:r>
    </w:p>
    <w:p w14:paraId="422BD00E" w14:textId="77777777" w:rsidR="000B734C" w:rsidRDefault="000B734C" w:rsidP="008C3F76">
      <w:pPr>
        <w:spacing w:after="0" w:line="360" w:lineRule="auto"/>
        <w:jc w:val="center"/>
        <w:rPr>
          <w:rFonts w:cstheme="minorHAnsi"/>
        </w:rPr>
      </w:pPr>
      <w:r w:rsidRPr="00C15EB6">
        <w:rPr>
          <w:rFonts w:cstheme="minorHAnsi"/>
        </w:rPr>
        <w:t xml:space="preserve">(dále jen </w:t>
      </w:r>
      <w:r w:rsidRPr="00C15EB6">
        <w:rPr>
          <w:rFonts w:cstheme="minorHAnsi"/>
          <w:b/>
          <w:bCs/>
        </w:rPr>
        <w:t>„</w:t>
      </w:r>
      <w:r w:rsidRPr="00C15EB6">
        <w:rPr>
          <w:rFonts w:cstheme="minorHAnsi"/>
          <w:b/>
        </w:rPr>
        <w:t>Objednatel</w:t>
      </w:r>
      <w:r w:rsidRPr="00C15EB6">
        <w:rPr>
          <w:rFonts w:cstheme="minorHAnsi"/>
          <w:b/>
          <w:bCs/>
        </w:rPr>
        <w:t>“</w:t>
      </w:r>
      <w:r w:rsidRPr="00C15EB6">
        <w:rPr>
          <w:rFonts w:cstheme="minorHAnsi"/>
        </w:rPr>
        <w:t>)</w:t>
      </w:r>
    </w:p>
    <w:p w14:paraId="401F48F3" w14:textId="77777777" w:rsidR="008C3F76" w:rsidRPr="00C15EB6" w:rsidRDefault="008C3F76" w:rsidP="008C3F76">
      <w:pPr>
        <w:spacing w:after="0" w:line="360" w:lineRule="auto"/>
        <w:jc w:val="center"/>
        <w:rPr>
          <w:rFonts w:cstheme="minorHAnsi"/>
        </w:rPr>
      </w:pPr>
    </w:p>
    <w:p w14:paraId="25D97FA1" w14:textId="1625DB72" w:rsidR="000B734C" w:rsidRDefault="008C3F76" w:rsidP="008C3F76">
      <w:pPr>
        <w:spacing w:after="0" w:line="360" w:lineRule="auto"/>
        <w:jc w:val="center"/>
        <w:rPr>
          <w:rFonts w:cstheme="minorHAnsi"/>
        </w:rPr>
      </w:pPr>
      <w:r>
        <w:rPr>
          <w:rFonts w:cstheme="minorHAnsi"/>
        </w:rPr>
        <w:t>a</w:t>
      </w:r>
    </w:p>
    <w:p w14:paraId="761F7D0C" w14:textId="77777777" w:rsidR="008C3F76" w:rsidRPr="00C15EB6" w:rsidRDefault="008C3F76" w:rsidP="008C3F76">
      <w:pPr>
        <w:spacing w:after="0" w:line="360" w:lineRule="auto"/>
        <w:jc w:val="center"/>
        <w:rPr>
          <w:rFonts w:cstheme="minorHAnsi"/>
        </w:rPr>
      </w:pPr>
    </w:p>
    <w:p w14:paraId="24021576" w14:textId="77777777" w:rsidR="000B734C" w:rsidRPr="00C15EB6" w:rsidRDefault="000B734C" w:rsidP="008C3F76">
      <w:pPr>
        <w:spacing w:after="0" w:line="360" w:lineRule="auto"/>
        <w:jc w:val="center"/>
        <w:rPr>
          <w:rFonts w:cstheme="minorHAnsi"/>
          <w:b/>
        </w:rPr>
      </w:pPr>
      <w:r w:rsidRPr="00C15EB6">
        <w:rPr>
          <w:rFonts w:cstheme="minorHAnsi"/>
          <w:b/>
        </w:rPr>
        <w:t>EnerSolutio s.r.o.</w:t>
      </w:r>
    </w:p>
    <w:p w14:paraId="7EFE1EC3" w14:textId="77777777" w:rsidR="000B734C" w:rsidRPr="00C15EB6" w:rsidRDefault="000B734C" w:rsidP="008C3F76">
      <w:pPr>
        <w:spacing w:after="0" w:line="360" w:lineRule="auto"/>
        <w:jc w:val="center"/>
        <w:rPr>
          <w:rFonts w:cstheme="minorHAnsi"/>
        </w:rPr>
      </w:pPr>
      <w:r w:rsidRPr="00C15EB6">
        <w:rPr>
          <w:rFonts w:cstheme="minorHAnsi"/>
        </w:rPr>
        <w:t xml:space="preserve">se sídlem: </w:t>
      </w:r>
      <w:r w:rsidRPr="00C15EB6">
        <w:rPr>
          <w:rFonts w:cstheme="minorHAnsi"/>
          <w:b/>
          <w:bCs/>
        </w:rPr>
        <w:t>Italská 2581/67, Vinohrady, 120 00 Praha 2</w:t>
      </w:r>
    </w:p>
    <w:p w14:paraId="75EF294E" w14:textId="6FF8E41A" w:rsidR="000B734C" w:rsidRPr="00C15EB6" w:rsidRDefault="000B734C" w:rsidP="008C3F76">
      <w:pPr>
        <w:spacing w:after="0" w:line="360" w:lineRule="auto"/>
        <w:jc w:val="center"/>
        <w:rPr>
          <w:rFonts w:cstheme="minorHAnsi"/>
          <w:bCs/>
        </w:rPr>
      </w:pPr>
      <w:r w:rsidRPr="00C15EB6">
        <w:rPr>
          <w:rFonts w:cstheme="minorHAnsi"/>
        </w:rPr>
        <w:t xml:space="preserve">IČO: </w:t>
      </w:r>
      <w:r w:rsidRPr="00C15EB6">
        <w:rPr>
          <w:rFonts w:cstheme="minorHAnsi"/>
          <w:b/>
          <w:bCs/>
        </w:rPr>
        <w:t>06919839</w:t>
      </w:r>
      <w:r w:rsidRPr="00C15EB6">
        <w:rPr>
          <w:rFonts w:cstheme="minorHAnsi"/>
          <w:b/>
        </w:rPr>
        <w:t xml:space="preserve">, </w:t>
      </w:r>
      <w:r w:rsidRPr="00C15EB6">
        <w:rPr>
          <w:rFonts w:cstheme="minorHAnsi"/>
        </w:rPr>
        <w:t xml:space="preserve">DIČ: </w:t>
      </w:r>
      <w:r w:rsidRPr="00C15EB6">
        <w:rPr>
          <w:rFonts w:cstheme="minorHAnsi"/>
          <w:b/>
          <w:bCs/>
        </w:rPr>
        <w:t>CZ06919839</w:t>
      </w:r>
    </w:p>
    <w:p w14:paraId="731088F3" w14:textId="3A53A69E" w:rsidR="000B734C" w:rsidRPr="00C15EB6" w:rsidRDefault="000B734C" w:rsidP="008C3F76">
      <w:pPr>
        <w:spacing w:after="0" w:line="360" w:lineRule="auto"/>
        <w:jc w:val="center"/>
        <w:rPr>
          <w:rFonts w:cstheme="minorHAnsi"/>
          <w:b/>
        </w:rPr>
      </w:pPr>
      <w:r w:rsidRPr="00C15EB6">
        <w:rPr>
          <w:rFonts w:cstheme="minorHAnsi"/>
          <w:b/>
          <w:bCs/>
        </w:rPr>
        <w:t>ID datové schránky:</w:t>
      </w:r>
      <w:r w:rsidRPr="00C15EB6">
        <w:rPr>
          <w:rFonts w:cstheme="minorHAnsi"/>
          <w:b/>
        </w:rPr>
        <w:t xml:space="preserve"> ux54q6n</w:t>
      </w:r>
    </w:p>
    <w:p w14:paraId="5C62B69B" w14:textId="362BC7E7" w:rsidR="000B734C" w:rsidRPr="00C15EB6" w:rsidRDefault="000B734C" w:rsidP="008C3F76">
      <w:pPr>
        <w:spacing w:after="0" w:line="360" w:lineRule="auto"/>
        <w:jc w:val="center"/>
        <w:rPr>
          <w:rFonts w:cstheme="minorHAnsi"/>
        </w:rPr>
      </w:pPr>
      <w:r w:rsidRPr="00C15EB6">
        <w:rPr>
          <w:rFonts w:cstheme="minorHAnsi"/>
        </w:rPr>
        <w:t xml:space="preserve">společnost zapsaná v obchodním rejstříku vedeném </w:t>
      </w:r>
      <w:r w:rsidRPr="00C15EB6">
        <w:rPr>
          <w:rFonts w:cstheme="minorHAnsi"/>
          <w:b/>
          <w:bCs/>
        </w:rPr>
        <w:t>Městským soudem v Praze</w:t>
      </w:r>
      <w:r w:rsidRPr="00C15EB6">
        <w:rPr>
          <w:rFonts w:cstheme="minorHAnsi"/>
        </w:rPr>
        <w:t>,</w:t>
      </w:r>
    </w:p>
    <w:p w14:paraId="52043A8A" w14:textId="77777777" w:rsidR="000B734C" w:rsidRPr="00C15EB6" w:rsidRDefault="000B734C" w:rsidP="008C3F76">
      <w:pPr>
        <w:spacing w:after="0" w:line="360" w:lineRule="auto"/>
        <w:jc w:val="center"/>
        <w:rPr>
          <w:rFonts w:cstheme="minorHAnsi"/>
        </w:rPr>
      </w:pPr>
      <w:r w:rsidRPr="00C15EB6">
        <w:rPr>
          <w:rFonts w:cstheme="minorHAnsi"/>
        </w:rPr>
        <w:t xml:space="preserve">oddíl </w:t>
      </w:r>
      <w:r w:rsidRPr="00C15EB6">
        <w:rPr>
          <w:rFonts w:cstheme="minorHAnsi"/>
          <w:b/>
          <w:bCs/>
        </w:rPr>
        <w:t>C</w:t>
      </w:r>
      <w:r w:rsidRPr="00C15EB6">
        <w:rPr>
          <w:rFonts w:cstheme="minorHAnsi"/>
        </w:rPr>
        <w:t>, vložka</w:t>
      </w:r>
      <w:r w:rsidRPr="00C15EB6">
        <w:rPr>
          <w:rFonts w:cstheme="minorHAnsi"/>
          <w:b/>
          <w:bCs/>
        </w:rPr>
        <w:t xml:space="preserve"> 290567</w:t>
      </w:r>
    </w:p>
    <w:p w14:paraId="07469EFF" w14:textId="77777777" w:rsidR="000B734C" w:rsidRPr="00C15EB6" w:rsidRDefault="000B734C" w:rsidP="008C3F76">
      <w:pPr>
        <w:spacing w:after="0" w:line="360" w:lineRule="auto"/>
        <w:jc w:val="center"/>
        <w:rPr>
          <w:rFonts w:cstheme="minorHAnsi"/>
        </w:rPr>
      </w:pPr>
      <w:r w:rsidRPr="00C15EB6">
        <w:rPr>
          <w:rFonts w:cstheme="minorHAnsi"/>
        </w:rPr>
        <w:t xml:space="preserve">bank. spojení: </w:t>
      </w:r>
      <w:r w:rsidRPr="00C15EB6">
        <w:rPr>
          <w:rFonts w:cstheme="minorHAnsi"/>
          <w:b/>
          <w:bCs/>
        </w:rPr>
        <w:t>Komerční banka, a.s.,</w:t>
      </w:r>
      <w:r w:rsidRPr="00C15EB6">
        <w:rPr>
          <w:rFonts w:cstheme="minorHAnsi"/>
        </w:rPr>
        <w:t xml:space="preserve"> č. účtu: </w:t>
      </w:r>
      <w:r w:rsidRPr="00C15EB6">
        <w:rPr>
          <w:rFonts w:cstheme="minorHAnsi"/>
          <w:b/>
          <w:bCs/>
        </w:rPr>
        <w:t>115-6978810217/0100</w:t>
      </w:r>
    </w:p>
    <w:p w14:paraId="3B4E4E77" w14:textId="77777777" w:rsidR="000B734C" w:rsidRPr="00C15EB6" w:rsidRDefault="000B734C" w:rsidP="008C3F76">
      <w:pPr>
        <w:spacing w:after="0" w:line="360" w:lineRule="auto"/>
        <w:jc w:val="center"/>
        <w:rPr>
          <w:rFonts w:cstheme="minorHAnsi"/>
          <w:b/>
        </w:rPr>
      </w:pPr>
      <w:r w:rsidRPr="00C15EB6">
        <w:rPr>
          <w:rFonts w:cstheme="minorHAnsi"/>
        </w:rPr>
        <w:t xml:space="preserve">zastoupená: </w:t>
      </w:r>
      <w:r w:rsidRPr="00C15EB6">
        <w:rPr>
          <w:rFonts w:cstheme="minorHAnsi"/>
          <w:b/>
          <w:bCs/>
        </w:rPr>
        <w:t>Ing. Danielem Vlčkem, jednatelem</w:t>
      </w:r>
    </w:p>
    <w:p w14:paraId="4624FD0D" w14:textId="77777777" w:rsidR="000B734C" w:rsidRPr="00C15EB6" w:rsidRDefault="000B734C" w:rsidP="008C3F76">
      <w:pPr>
        <w:spacing w:after="0" w:line="360" w:lineRule="auto"/>
        <w:jc w:val="center"/>
        <w:rPr>
          <w:rFonts w:cstheme="minorHAnsi"/>
        </w:rPr>
      </w:pPr>
      <w:r w:rsidRPr="00C15EB6">
        <w:rPr>
          <w:rFonts w:cstheme="minorHAnsi"/>
        </w:rPr>
        <w:t xml:space="preserve">(dále jen </w:t>
      </w:r>
      <w:r w:rsidRPr="00C15EB6">
        <w:rPr>
          <w:rFonts w:cstheme="minorHAnsi"/>
          <w:b/>
          <w:bCs/>
        </w:rPr>
        <w:t>„Poskytovatel“</w:t>
      </w:r>
      <w:r w:rsidRPr="00C15EB6">
        <w:rPr>
          <w:rFonts w:cstheme="minorHAnsi"/>
        </w:rPr>
        <w:t>)</w:t>
      </w:r>
    </w:p>
    <w:p w14:paraId="5892BEA3" w14:textId="77777777" w:rsidR="000B734C" w:rsidRPr="00C15EB6" w:rsidRDefault="000B734C" w:rsidP="000B734C">
      <w:pPr>
        <w:spacing w:after="0" w:line="240" w:lineRule="auto"/>
        <w:jc w:val="center"/>
        <w:rPr>
          <w:rFonts w:cstheme="minorHAnsi"/>
        </w:rPr>
      </w:pPr>
    </w:p>
    <w:p w14:paraId="140CC30D" w14:textId="77777777" w:rsidR="000B734C" w:rsidRPr="00C15EB6" w:rsidRDefault="000B734C" w:rsidP="000B734C">
      <w:pPr>
        <w:spacing w:after="0" w:line="240" w:lineRule="auto"/>
        <w:jc w:val="center"/>
        <w:rPr>
          <w:rFonts w:cstheme="minorHAnsi"/>
        </w:rPr>
      </w:pPr>
      <w:r w:rsidRPr="00C15EB6">
        <w:rPr>
          <w:rFonts w:cstheme="minorHAnsi"/>
        </w:rPr>
        <w:t xml:space="preserve">(společně také jako </w:t>
      </w:r>
      <w:r w:rsidRPr="00C15EB6">
        <w:rPr>
          <w:rFonts w:cstheme="minorHAnsi"/>
          <w:b/>
          <w:bCs/>
        </w:rPr>
        <w:t>„Smluvní strany“</w:t>
      </w:r>
      <w:r w:rsidRPr="00C15EB6">
        <w:rPr>
          <w:rFonts w:cstheme="minorHAnsi"/>
        </w:rPr>
        <w:t>)</w:t>
      </w:r>
    </w:p>
    <w:p w14:paraId="248CCD82" w14:textId="77777777" w:rsidR="00E00B85" w:rsidRDefault="00E00B85" w:rsidP="008B54C6">
      <w:pPr>
        <w:spacing w:after="0" w:line="240" w:lineRule="auto"/>
        <w:rPr>
          <w:rFonts w:cstheme="minorHAnsi"/>
        </w:rPr>
      </w:pPr>
    </w:p>
    <w:p w14:paraId="5FED3005" w14:textId="77777777" w:rsidR="008C3F76" w:rsidRDefault="008C3F76" w:rsidP="008B54C6">
      <w:pPr>
        <w:spacing w:after="0" w:line="240" w:lineRule="auto"/>
        <w:rPr>
          <w:rFonts w:cstheme="minorHAnsi"/>
        </w:rPr>
      </w:pPr>
    </w:p>
    <w:p w14:paraId="32C1EBD6" w14:textId="77777777" w:rsidR="008C3F76" w:rsidRPr="00C15EB6" w:rsidRDefault="008C3F76" w:rsidP="008B54C6">
      <w:pPr>
        <w:spacing w:after="0" w:line="240" w:lineRule="auto"/>
        <w:rPr>
          <w:rFonts w:cstheme="minorHAnsi"/>
        </w:rPr>
      </w:pPr>
    </w:p>
    <w:p w14:paraId="0BE8F8E0" w14:textId="10100630" w:rsidR="000B734C" w:rsidRPr="00C15EB6" w:rsidRDefault="00C15EB6" w:rsidP="008C3F76">
      <w:pPr>
        <w:pStyle w:val="Odstavecseseznamem"/>
        <w:ind w:left="0" w:firstLine="3540"/>
        <w:contextualSpacing w:val="0"/>
        <w:rPr>
          <w:rFonts w:cstheme="minorHAnsi"/>
          <w:b/>
          <w:bCs/>
        </w:rPr>
      </w:pPr>
      <w:r>
        <w:rPr>
          <w:rFonts w:cstheme="minorHAnsi"/>
          <w:b/>
          <w:bCs/>
        </w:rPr>
        <w:lastRenderedPageBreak/>
        <w:t>1</w:t>
      </w:r>
      <w:r w:rsidR="00D6244B" w:rsidRPr="00C15EB6">
        <w:rPr>
          <w:rFonts w:cstheme="minorHAnsi"/>
          <w:b/>
          <w:bCs/>
        </w:rPr>
        <w:t>.</w:t>
      </w:r>
      <w:r w:rsidR="000B734C" w:rsidRPr="00C15EB6">
        <w:rPr>
          <w:rFonts w:cstheme="minorHAnsi"/>
          <w:b/>
          <w:bCs/>
        </w:rPr>
        <w:t xml:space="preserve">UVODNÍ USTANOVENÍ </w:t>
      </w:r>
    </w:p>
    <w:p w14:paraId="62E3A805" w14:textId="4102DE83" w:rsidR="00D6244B" w:rsidRDefault="008C3F76" w:rsidP="008C3F76">
      <w:pPr>
        <w:pStyle w:val="Odstavecseseznamem"/>
        <w:ind w:left="708" w:hanging="708"/>
        <w:jc w:val="both"/>
        <w:rPr>
          <w:rFonts w:cstheme="minorHAnsi"/>
        </w:rPr>
      </w:pPr>
      <w:r>
        <w:rPr>
          <w:rFonts w:cstheme="minorHAnsi"/>
        </w:rPr>
        <w:t>1.1</w:t>
      </w:r>
      <w:r>
        <w:rPr>
          <w:rFonts w:cstheme="minorHAnsi"/>
        </w:rPr>
        <w:tab/>
      </w:r>
      <w:r w:rsidR="00D6244B" w:rsidRPr="00C15EB6">
        <w:rPr>
          <w:rFonts w:cstheme="minorHAnsi"/>
        </w:rPr>
        <w:t>Smluvní strany uzavřely na základě výsledku výběrového řízení na veřejnou zakázku malého rozsahu s názvem „</w:t>
      </w:r>
      <w:r w:rsidR="00D6244B" w:rsidRPr="00C15EB6">
        <w:rPr>
          <w:rFonts w:cstheme="minorHAnsi"/>
          <w:b/>
          <w:bCs/>
        </w:rPr>
        <w:t>Business Case model, CB analýza a technická specifikace pro bateriové úložiště</w:t>
      </w:r>
      <w:r w:rsidR="00D6244B" w:rsidRPr="00C15EB6">
        <w:rPr>
          <w:rFonts w:cstheme="minorHAnsi"/>
        </w:rPr>
        <w:t>“ (dále jen „</w:t>
      </w:r>
      <w:r w:rsidR="00D6244B" w:rsidRPr="00C15EB6">
        <w:rPr>
          <w:rFonts w:cstheme="minorHAnsi"/>
          <w:b/>
          <w:bCs/>
        </w:rPr>
        <w:t>Veřejná zakázka</w:t>
      </w:r>
      <w:r w:rsidR="00D6244B" w:rsidRPr="00C15EB6">
        <w:rPr>
          <w:rFonts w:cstheme="minorHAnsi"/>
        </w:rPr>
        <w:t>“), zadávanou ve smyslu výjimky dle § 31 zákona č. 134/2016 Sb., o zadávání veřejných zakázek, ve znění pozdějších předpisů (dále též jen „</w:t>
      </w:r>
      <w:r w:rsidR="00D6244B" w:rsidRPr="00C15EB6">
        <w:rPr>
          <w:rFonts w:cstheme="minorHAnsi"/>
          <w:b/>
          <w:bCs/>
        </w:rPr>
        <w:t>ZZVZ</w:t>
      </w:r>
      <w:r w:rsidR="00D6244B" w:rsidRPr="00C15EB6">
        <w:rPr>
          <w:rFonts w:cstheme="minorHAnsi"/>
        </w:rPr>
        <w:t>“), a v souladu se zákonem č. 89/2012 Sb., občanský zákoník, ve znění pozdějších předpisů (dále též jen „</w:t>
      </w:r>
      <w:r w:rsidR="00D6244B" w:rsidRPr="00C15EB6">
        <w:rPr>
          <w:rFonts w:cstheme="minorHAnsi"/>
          <w:b/>
          <w:bCs/>
        </w:rPr>
        <w:t>Občanský zákoník</w:t>
      </w:r>
      <w:r w:rsidR="00D6244B" w:rsidRPr="00C15EB6">
        <w:rPr>
          <w:rFonts w:cstheme="minorHAnsi"/>
        </w:rPr>
        <w:t>“), Smlouvu o dílo na vypracování analýzy pořízení bateriového úložiště č. 390/23  (dále jen „</w:t>
      </w:r>
      <w:r w:rsidR="00D6244B" w:rsidRPr="00C15EB6">
        <w:rPr>
          <w:rFonts w:cstheme="minorHAnsi"/>
          <w:b/>
          <w:bCs/>
        </w:rPr>
        <w:t>Smlouva</w:t>
      </w:r>
      <w:r w:rsidR="00D6244B" w:rsidRPr="00C15EB6">
        <w:rPr>
          <w:rFonts w:cstheme="minorHAnsi"/>
        </w:rPr>
        <w:t>“)</w:t>
      </w:r>
      <w:r w:rsidR="00D0314D">
        <w:rPr>
          <w:rFonts w:cstheme="minorHAnsi"/>
        </w:rPr>
        <w:t>.</w:t>
      </w:r>
    </w:p>
    <w:p w14:paraId="1592415D" w14:textId="77777777" w:rsidR="00D0314D" w:rsidRDefault="00D0314D" w:rsidP="008C3F76">
      <w:pPr>
        <w:pStyle w:val="Odstavecseseznamem"/>
        <w:ind w:left="708" w:hanging="708"/>
        <w:jc w:val="both"/>
        <w:rPr>
          <w:rFonts w:cstheme="minorHAnsi"/>
        </w:rPr>
      </w:pPr>
    </w:p>
    <w:p w14:paraId="1E3349A6" w14:textId="680787D5" w:rsidR="00D0314D" w:rsidRDefault="00D0314D" w:rsidP="00D0314D">
      <w:pPr>
        <w:pStyle w:val="Odstavecseseznamem"/>
        <w:ind w:left="708" w:hanging="708"/>
        <w:jc w:val="both"/>
        <w:rPr>
          <w:rFonts w:cstheme="minorHAnsi"/>
        </w:rPr>
      </w:pPr>
      <w:r>
        <w:rPr>
          <w:rFonts w:cstheme="minorHAnsi"/>
        </w:rPr>
        <w:t>1.2</w:t>
      </w:r>
      <w:r>
        <w:rPr>
          <w:rFonts w:cstheme="minorHAnsi"/>
        </w:rPr>
        <w:tab/>
      </w:r>
      <w:r w:rsidRPr="00D0314D">
        <w:rPr>
          <w:rFonts w:cstheme="minorHAnsi"/>
        </w:rPr>
        <w:t>Účelem Smlouvy je zajištění vypracování studie proveditelnosti, spočívající ve vytvoření analýzy a následné technické specifikace za účelem pořízení bateriového úložiště o kapacitě do 2 MWh s předpokládaným výkonem 2 MW pro potřeby Objednatele, který je dodavatelem a zároveň i spotřebitelem elektrické energie.</w:t>
      </w:r>
    </w:p>
    <w:p w14:paraId="37681125" w14:textId="77777777" w:rsidR="000F15C7" w:rsidRDefault="000F15C7" w:rsidP="00D0314D">
      <w:pPr>
        <w:pStyle w:val="Odstavecseseznamem"/>
        <w:ind w:left="708" w:hanging="708"/>
        <w:jc w:val="both"/>
        <w:rPr>
          <w:rFonts w:cstheme="minorHAnsi"/>
        </w:rPr>
      </w:pPr>
    </w:p>
    <w:p w14:paraId="4F2620E0" w14:textId="0841EEE0" w:rsidR="000F15C7" w:rsidRPr="000F15C7" w:rsidRDefault="000F15C7" w:rsidP="000F15C7">
      <w:pPr>
        <w:pStyle w:val="Odstavecseseznamem"/>
        <w:ind w:left="708" w:hanging="708"/>
        <w:jc w:val="both"/>
        <w:rPr>
          <w:rFonts w:cstheme="minorHAnsi"/>
        </w:rPr>
      </w:pPr>
      <w:r>
        <w:rPr>
          <w:rFonts w:cstheme="minorHAnsi"/>
        </w:rPr>
        <w:t xml:space="preserve">1.3 </w:t>
      </w:r>
      <w:r>
        <w:rPr>
          <w:rFonts w:cstheme="minorHAnsi"/>
        </w:rPr>
        <w:tab/>
        <w:t xml:space="preserve">Smluvní strany se v čl. 3 Smlouvy dohodly, že cena díla může </w:t>
      </w:r>
      <w:r w:rsidRPr="000F15C7">
        <w:rPr>
          <w:rFonts w:cstheme="minorHAnsi"/>
        </w:rPr>
        <w:t xml:space="preserve">být v souladu s § 100 odst. 1 ZZVZ navýšena o služby nebo práce nezbytné k řádnému provedení Díla (dále jen </w:t>
      </w:r>
      <w:r w:rsidRPr="000F15C7">
        <w:rPr>
          <w:rFonts w:cstheme="minorHAnsi"/>
          <w:b/>
          <w:bCs/>
        </w:rPr>
        <w:t>„vícepráce“</w:t>
      </w:r>
      <w:r w:rsidRPr="000F15C7">
        <w:rPr>
          <w:rFonts w:cstheme="minorHAnsi"/>
        </w:rPr>
        <w:t>)</w:t>
      </w:r>
      <w:bookmarkStart w:id="0" w:name="_Ref143595313"/>
      <w:r>
        <w:rPr>
          <w:rFonts w:cstheme="minorHAnsi"/>
        </w:rPr>
        <w:t>, s tím, že m</w:t>
      </w:r>
      <w:r w:rsidRPr="000F15C7">
        <w:rPr>
          <w:rFonts w:cstheme="minorHAnsi"/>
        </w:rPr>
        <w:t xml:space="preserve">aximální možná cena za vícepráce je stanovena ve výši 64 000,- (slovy: Kč bez DPH za celkem 8 mandays (dále jen </w:t>
      </w:r>
      <w:r w:rsidRPr="000F15C7">
        <w:rPr>
          <w:rFonts w:cstheme="minorHAnsi"/>
          <w:b/>
          <w:bCs/>
        </w:rPr>
        <w:t>„MD“</w:t>
      </w:r>
      <w:r w:rsidRPr="000F15C7">
        <w:rPr>
          <w:rFonts w:cstheme="minorHAnsi"/>
        </w:rPr>
        <w:t xml:space="preserve">), tzn. cena 1 MD je stanovena </w:t>
      </w:r>
      <w:r w:rsidRPr="000F15C7">
        <w:rPr>
          <w:rFonts w:cstheme="minorHAnsi"/>
        </w:rPr>
        <w:br/>
        <w:t>na 8 000,- Kč bez DPH.</w:t>
      </w:r>
      <w:bookmarkEnd w:id="0"/>
    </w:p>
    <w:p w14:paraId="2D912227" w14:textId="04C81AF4" w:rsidR="000F15C7" w:rsidRPr="00D0314D" w:rsidRDefault="000F15C7" w:rsidP="00D0314D">
      <w:pPr>
        <w:pStyle w:val="Odstavecseseznamem"/>
        <w:ind w:left="708" w:hanging="708"/>
        <w:jc w:val="both"/>
        <w:rPr>
          <w:rFonts w:cstheme="minorHAnsi"/>
        </w:rPr>
      </w:pPr>
    </w:p>
    <w:p w14:paraId="14ED5824" w14:textId="309D25E5" w:rsidR="00D0314D" w:rsidRPr="00C15EB6" w:rsidRDefault="00D0314D" w:rsidP="008C3F76">
      <w:pPr>
        <w:pStyle w:val="Odstavecseseznamem"/>
        <w:ind w:left="708" w:hanging="708"/>
        <w:jc w:val="both"/>
        <w:rPr>
          <w:rFonts w:cstheme="minorHAnsi"/>
        </w:rPr>
      </w:pPr>
    </w:p>
    <w:p w14:paraId="1302BD5D" w14:textId="77777777" w:rsidR="00D6244B" w:rsidRPr="00C15EB6" w:rsidRDefault="00D6244B" w:rsidP="00D6244B">
      <w:pPr>
        <w:pStyle w:val="Odstavecseseznamem"/>
        <w:ind w:left="0"/>
        <w:contextualSpacing w:val="0"/>
        <w:rPr>
          <w:rFonts w:cstheme="minorHAnsi"/>
          <w:b/>
          <w:bCs/>
        </w:rPr>
      </w:pPr>
    </w:p>
    <w:p w14:paraId="7719A06C" w14:textId="51CA10BD" w:rsidR="00E47B1F" w:rsidRPr="00C15EB6" w:rsidRDefault="00C15EB6" w:rsidP="007E29B9">
      <w:pPr>
        <w:pStyle w:val="Odstavecseseznamem"/>
        <w:ind w:left="2846" w:firstLine="694"/>
        <w:contextualSpacing w:val="0"/>
        <w:rPr>
          <w:rFonts w:cstheme="minorHAnsi"/>
          <w:b/>
          <w:bCs/>
        </w:rPr>
      </w:pPr>
      <w:r>
        <w:rPr>
          <w:rFonts w:cstheme="minorHAnsi"/>
          <w:b/>
          <w:bCs/>
        </w:rPr>
        <w:t>2</w:t>
      </w:r>
      <w:r w:rsidR="000B734C" w:rsidRPr="00C15EB6">
        <w:rPr>
          <w:rFonts w:cstheme="minorHAnsi"/>
          <w:b/>
          <w:bCs/>
        </w:rPr>
        <w:t>. PŘEDMET DODATKU</w:t>
      </w:r>
    </w:p>
    <w:p w14:paraId="52255582" w14:textId="4C037139" w:rsidR="007E29B9" w:rsidRDefault="008C3F76" w:rsidP="008C3F76">
      <w:pPr>
        <w:ind w:left="708" w:hanging="708"/>
        <w:jc w:val="both"/>
        <w:rPr>
          <w:rFonts w:cstheme="minorHAnsi"/>
        </w:rPr>
      </w:pPr>
      <w:r>
        <w:rPr>
          <w:rFonts w:cstheme="minorHAnsi"/>
        </w:rPr>
        <w:t>2.1</w:t>
      </w:r>
      <w:r>
        <w:rPr>
          <w:rFonts w:cstheme="minorHAnsi"/>
        </w:rPr>
        <w:tab/>
      </w:r>
      <w:r w:rsidR="00E00B85" w:rsidRPr="00C15EB6">
        <w:rPr>
          <w:rFonts w:cstheme="minorHAnsi"/>
        </w:rPr>
        <w:t xml:space="preserve">Smluvní strany se </w:t>
      </w:r>
      <w:r w:rsidR="00DD0DB1" w:rsidRPr="00C15EB6">
        <w:rPr>
          <w:rFonts w:cstheme="minorHAnsi"/>
        </w:rPr>
        <w:t>v souladu s čl. 11 odst. 11.</w:t>
      </w:r>
      <w:r w:rsidR="000F15C7">
        <w:rPr>
          <w:rFonts w:cstheme="minorHAnsi"/>
        </w:rPr>
        <w:t>3 a v návaznosti na čl. 3 odst. 3.2, 3.3 a 3.4</w:t>
      </w:r>
      <w:r w:rsidR="00DD0DB1" w:rsidRPr="00C15EB6">
        <w:rPr>
          <w:rFonts w:cstheme="minorHAnsi"/>
        </w:rPr>
        <w:t xml:space="preserve"> Smlouvy </w:t>
      </w:r>
      <w:r w:rsidR="00E00B85" w:rsidRPr="00C15EB6">
        <w:rPr>
          <w:rFonts w:cstheme="minorHAnsi"/>
        </w:rPr>
        <w:t xml:space="preserve">dohodly na změně </w:t>
      </w:r>
      <w:r w:rsidR="00DD0DB1" w:rsidRPr="00C15EB6">
        <w:rPr>
          <w:rFonts w:cstheme="minorHAnsi"/>
        </w:rPr>
        <w:t>Smlouvy</w:t>
      </w:r>
      <w:r w:rsidR="00E00B85" w:rsidRPr="00C15EB6">
        <w:rPr>
          <w:rFonts w:cstheme="minorHAnsi"/>
        </w:rPr>
        <w:t xml:space="preserve"> ve znění</w:t>
      </w:r>
      <w:r w:rsidR="009E739B">
        <w:rPr>
          <w:rFonts w:cstheme="minorHAnsi"/>
        </w:rPr>
        <w:t xml:space="preserve"> tohoto</w:t>
      </w:r>
      <w:r w:rsidR="00E00B85" w:rsidRPr="00C15EB6">
        <w:rPr>
          <w:rFonts w:cstheme="minorHAnsi"/>
        </w:rPr>
        <w:t xml:space="preserve"> Dodatku č. </w:t>
      </w:r>
      <w:r w:rsidR="000F15C7">
        <w:rPr>
          <w:rFonts w:cstheme="minorHAnsi"/>
        </w:rPr>
        <w:t>2</w:t>
      </w:r>
      <w:r w:rsidR="00E00B85" w:rsidRPr="00C15EB6">
        <w:rPr>
          <w:rFonts w:cstheme="minorHAnsi"/>
        </w:rPr>
        <w:t xml:space="preserve"> ke </w:t>
      </w:r>
      <w:r w:rsidR="00DD0DB1" w:rsidRPr="00C15EB6">
        <w:rPr>
          <w:rFonts w:cstheme="minorHAnsi"/>
        </w:rPr>
        <w:t>S</w:t>
      </w:r>
      <w:r w:rsidR="001A5BC7" w:rsidRPr="00C15EB6">
        <w:rPr>
          <w:rFonts w:cstheme="minorHAnsi"/>
        </w:rPr>
        <w:t>mlouvě</w:t>
      </w:r>
      <w:r w:rsidR="00DD0DB1" w:rsidRPr="00C15EB6">
        <w:rPr>
          <w:rFonts w:cstheme="minorHAnsi"/>
        </w:rPr>
        <w:t xml:space="preserve"> (dále jen </w:t>
      </w:r>
      <w:r w:rsidR="00DD0DB1" w:rsidRPr="005E08CB">
        <w:rPr>
          <w:rFonts w:cstheme="minorHAnsi"/>
          <w:b/>
          <w:bCs/>
        </w:rPr>
        <w:t>„Dodatek</w:t>
      </w:r>
      <w:r w:rsidR="00DD0DB1" w:rsidRPr="00C15EB6">
        <w:rPr>
          <w:rFonts w:cstheme="minorHAnsi"/>
        </w:rPr>
        <w:t>“)</w:t>
      </w:r>
      <w:r w:rsidR="00E00B85" w:rsidRPr="00C15EB6">
        <w:rPr>
          <w:rFonts w:cstheme="minorHAnsi"/>
        </w:rPr>
        <w:t xml:space="preserve">. </w:t>
      </w:r>
    </w:p>
    <w:p w14:paraId="018E6D33" w14:textId="33B084B0" w:rsidR="009E739B" w:rsidRDefault="009E739B" w:rsidP="00F0304C">
      <w:pPr>
        <w:ind w:left="708" w:hanging="708"/>
        <w:jc w:val="both"/>
        <w:rPr>
          <w:rFonts w:cstheme="minorHAnsi"/>
        </w:rPr>
      </w:pPr>
      <w:r>
        <w:rPr>
          <w:rFonts w:cstheme="minorHAnsi"/>
        </w:rPr>
        <w:t>2.2</w:t>
      </w:r>
      <w:r>
        <w:rPr>
          <w:rFonts w:cstheme="minorHAnsi"/>
        </w:rPr>
        <w:tab/>
        <w:t>Předmětem Dodatku jsou vícepráce v</w:t>
      </w:r>
      <w:r w:rsidR="005E08CB">
        <w:rPr>
          <w:rFonts w:cstheme="minorHAnsi"/>
        </w:rPr>
        <w:t xml:space="preserve"> ceně </w:t>
      </w:r>
      <w:r>
        <w:rPr>
          <w:rFonts w:cstheme="minorHAnsi"/>
        </w:rPr>
        <w:t>51.200,- Kč</w:t>
      </w:r>
      <w:r w:rsidR="00724514">
        <w:rPr>
          <w:rFonts w:cstheme="minorHAnsi"/>
        </w:rPr>
        <w:t xml:space="preserve"> bez DPH</w:t>
      </w:r>
      <w:r>
        <w:rPr>
          <w:rFonts w:cstheme="minorHAnsi"/>
        </w:rPr>
        <w:t xml:space="preserve">  </w:t>
      </w:r>
      <w:r w:rsidR="005E08CB">
        <w:rPr>
          <w:rFonts w:cstheme="minorHAnsi"/>
        </w:rPr>
        <w:t>(6,4 MD)</w:t>
      </w:r>
      <w:r w:rsidR="005C4490">
        <w:rPr>
          <w:rFonts w:cstheme="minorHAnsi"/>
        </w:rPr>
        <w:t xml:space="preserve">, s tím, že </w:t>
      </w:r>
      <w:r w:rsidR="005E08CB">
        <w:rPr>
          <w:rFonts w:cstheme="minorHAnsi"/>
        </w:rPr>
        <w:t>předmět Smlouvy uvedený v čl</w:t>
      </w:r>
      <w:r w:rsidR="005E08CB" w:rsidRPr="005C4490">
        <w:rPr>
          <w:rFonts w:cstheme="minorHAnsi"/>
        </w:rPr>
        <w:t xml:space="preserve">. </w:t>
      </w:r>
      <w:r w:rsidR="005E08CB" w:rsidRPr="005C4490">
        <w:rPr>
          <w:rFonts w:cstheme="minorHAnsi"/>
          <w:b/>
          <w:bCs/>
        </w:rPr>
        <w:t>1. ÚČEL A PŘEDMĚT SMLOUVY</w:t>
      </w:r>
      <w:r w:rsidR="005E08CB">
        <w:rPr>
          <w:rFonts w:cstheme="minorHAnsi"/>
        </w:rPr>
        <w:t xml:space="preserve"> se rozšiřuje o níže uvedené:</w:t>
      </w:r>
    </w:p>
    <w:p w14:paraId="4187FD27" w14:textId="726AC083" w:rsidR="00740D8F" w:rsidRDefault="00F0304C" w:rsidP="00740D8F">
      <w:pPr>
        <w:ind w:left="708"/>
        <w:jc w:val="both"/>
        <w:rPr>
          <w:rFonts w:ascii="Calibri" w:eastAsia="Calibri" w:hAnsi="Calibri" w:cs="Calibri"/>
          <w:lang w:eastAsia="cs-CZ"/>
        </w:rPr>
      </w:pPr>
      <w:r w:rsidRPr="00740D8F">
        <w:rPr>
          <w:rFonts w:cstheme="minorHAnsi"/>
        </w:rPr>
        <w:t xml:space="preserve">a)   </w:t>
      </w:r>
      <w:r w:rsidR="005E08CB" w:rsidRPr="00740D8F">
        <w:rPr>
          <w:rFonts w:cstheme="minorHAnsi"/>
        </w:rPr>
        <w:t xml:space="preserve">vypracování </w:t>
      </w:r>
      <w:r w:rsidR="009E739B" w:rsidRPr="00740D8F">
        <w:rPr>
          <w:rFonts w:ascii="Calibri" w:eastAsia="Calibri" w:hAnsi="Calibri" w:cs="Calibri"/>
          <w:lang w:eastAsia="cs-CZ"/>
        </w:rPr>
        <w:t>detailní analýz</w:t>
      </w:r>
      <w:r w:rsidR="005E08CB" w:rsidRPr="00740D8F">
        <w:rPr>
          <w:rFonts w:ascii="Calibri" w:eastAsia="Calibri" w:hAnsi="Calibri" w:cs="Calibri"/>
          <w:lang w:eastAsia="cs-CZ"/>
        </w:rPr>
        <w:t>y</w:t>
      </w:r>
      <w:r w:rsidR="009E739B" w:rsidRPr="00740D8F">
        <w:rPr>
          <w:rFonts w:ascii="Calibri" w:eastAsia="Calibri" w:hAnsi="Calibri" w:cs="Calibri"/>
          <w:lang w:eastAsia="cs-CZ"/>
        </w:rPr>
        <w:t xml:space="preserve"> vhodnosti prostoru lokality pro bateriové uložiště</w:t>
      </w:r>
      <w:r w:rsidR="006F56A2" w:rsidRPr="00740D8F">
        <w:rPr>
          <w:rFonts w:ascii="Calibri" w:eastAsia="Calibri" w:hAnsi="Calibri" w:cs="Calibri"/>
          <w:lang w:eastAsia="cs-CZ"/>
        </w:rPr>
        <w:t xml:space="preserve"> (</w:t>
      </w:r>
      <w:r w:rsidR="001945FD">
        <w:rPr>
          <w:rFonts w:ascii="Calibri" w:eastAsia="Calibri" w:hAnsi="Calibri" w:cs="Calibri"/>
          <w:lang w:eastAsia="cs-CZ"/>
        </w:rPr>
        <w:t xml:space="preserve">zejm. </w:t>
      </w:r>
      <w:r w:rsidR="009E739B" w:rsidRPr="00740D8F">
        <w:rPr>
          <w:rFonts w:ascii="Calibri" w:eastAsia="Calibri" w:hAnsi="Calibri" w:cs="Calibri"/>
          <w:lang w:eastAsia="cs-CZ"/>
        </w:rPr>
        <w:t>odstupové vzdálenosti, bezpečnos</w:t>
      </w:r>
      <w:r w:rsidR="001E6489">
        <w:rPr>
          <w:rFonts w:ascii="Calibri" w:eastAsia="Calibri" w:hAnsi="Calibri" w:cs="Calibri"/>
          <w:lang w:eastAsia="cs-CZ"/>
        </w:rPr>
        <w:t>t dle platných předpisů, zejm.</w:t>
      </w:r>
      <w:r w:rsidR="009E739B" w:rsidRPr="00740D8F">
        <w:rPr>
          <w:rFonts w:ascii="Calibri" w:eastAsia="Calibri" w:hAnsi="Calibri" w:cs="Calibri"/>
          <w:lang w:eastAsia="cs-CZ"/>
        </w:rPr>
        <w:t xml:space="preserve"> dle vyhlášky</w:t>
      </w:r>
      <w:r w:rsidR="001945FD">
        <w:rPr>
          <w:rFonts w:ascii="Calibri" w:eastAsia="Calibri" w:hAnsi="Calibri" w:cs="Calibri"/>
          <w:lang w:eastAsia="cs-CZ"/>
        </w:rPr>
        <w:t xml:space="preserve"> č. 23/2008 Sb. o technických podmínkách požární ochrany staveb a vyhlášky č. 501/2006 Sb. o obecných požadavcích na využívaní území</w:t>
      </w:r>
      <w:r w:rsidR="009E739B" w:rsidRPr="00740D8F">
        <w:rPr>
          <w:rFonts w:ascii="Calibri" w:eastAsia="Calibri" w:hAnsi="Calibri" w:cs="Calibri"/>
          <w:lang w:eastAsia="cs-CZ"/>
        </w:rPr>
        <w:t xml:space="preserve">, </w:t>
      </w:r>
      <w:r w:rsidR="001945FD">
        <w:rPr>
          <w:rFonts w:ascii="Calibri" w:eastAsia="Calibri" w:hAnsi="Calibri" w:cs="Calibri"/>
          <w:lang w:eastAsia="cs-CZ"/>
        </w:rPr>
        <w:t xml:space="preserve">dále </w:t>
      </w:r>
      <w:r w:rsidR="009E739B" w:rsidRPr="00740D8F">
        <w:rPr>
          <w:rFonts w:ascii="Calibri" w:eastAsia="Calibri" w:hAnsi="Calibri" w:cs="Calibri"/>
          <w:lang w:eastAsia="cs-CZ"/>
        </w:rPr>
        <w:t>ochranné pásmo, dojezdová vzdálenost a přístupové predispozice bezpečnostních složek)</w:t>
      </w:r>
      <w:r w:rsidR="001945FD">
        <w:rPr>
          <w:rFonts w:ascii="Calibri" w:eastAsia="Calibri" w:hAnsi="Calibri" w:cs="Calibri"/>
          <w:lang w:eastAsia="cs-CZ"/>
        </w:rPr>
        <w:t>, a to</w:t>
      </w:r>
      <w:r w:rsidR="0019582C">
        <w:rPr>
          <w:rFonts w:ascii="Calibri" w:eastAsia="Calibri" w:hAnsi="Calibri" w:cs="Calibri"/>
          <w:lang w:eastAsia="cs-CZ"/>
        </w:rPr>
        <w:t xml:space="preserve"> v níže uvedených lokalitách: </w:t>
      </w:r>
    </w:p>
    <w:p w14:paraId="53A74F56" w14:textId="7D25B2EC" w:rsidR="00740D8F" w:rsidRDefault="00545206" w:rsidP="00740D8F">
      <w:pPr>
        <w:ind w:left="708"/>
        <w:jc w:val="both"/>
        <w:rPr>
          <w:rFonts w:ascii="Calibri" w:eastAsia="Calibri" w:hAnsi="Calibri" w:cs="Calibri"/>
          <w:lang w:val="pl-PL"/>
        </w:rPr>
      </w:pPr>
      <w:r w:rsidRPr="00740D8F">
        <w:rPr>
          <w:rFonts w:ascii="Calibri" w:eastAsia="Calibri" w:hAnsi="Calibri" w:cs="Calibri"/>
          <w:lang w:eastAsia="cs-CZ"/>
        </w:rPr>
        <w:t xml:space="preserve">Lokalita 1: </w:t>
      </w:r>
      <w:r w:rsidRPr="00740D8F">
        <w:rPr>
          <w:rFonts w:ascii="Calibri" w:eastAsia="Calibri" w:hAnsi="Calibri" w:cs="Calibri"/>
          <w:lang w:val="pl-PL"/>
        </w:rPr>
        <w:t xml:space="preserve">Archiv hl.m. </w:t>
      </w:r>
      <w:r w:rsidR="00C87F20" w:rsidRPr="00740D8F">
        <w:rPr>
          <w:rFonts w:ascii="Calibri" w:eastAsia="Calibri" w:hAnsi="Calibri" w:cs="Calibri"/>
          <w:lang w:val="pl-PL"/>
        </w:rPr>
        <w:t>Prahy, Archivní</w:t>
      </w:r>
      <w:r w:rsidRPr="00740D8F">
        <w:rPr>
          <w:rFonts w:ascii="Calibri" w:eastAsia="Calibri" w:hAnsi="Calibri" w:cs="Calibri"/>
          <w:lang w:val="pl-PL"/>
        </w:rPr>
        <w:t xml:space="preserve"> 1280/6, Praha 4 - Chodov, 149</w:t>
      </w:r>
      <w:r w:rsidR="00C87F20">
        <w:rPr>
          <w:rFonts w:ascii="Calibri" w:eastAsia="Calibri" w:hAnsi="Calibri" w:cs="Calibri"/>
          <w:lang w:val="pl-PL"/>
        </w:rPr>
        <w:t xml:space="preserve"> </w:t>
      </w:r>
      <w:r w:rsidRPr="00740D8F">
        <w:rPr>
          <w:rFonts w:ascii="Calibri" w:eastAsia="Calibri" w:hAnsi="Calibri" w:cs="Calibri"/>
          <w:lang w:val="pl-PL"/>
        </w:rPr>
        <w:t>00</w:t>
      </w:r>
    </w:p>
    <w:p w14:paraId="6D9A1F98" w14:textId="6896F6C1" w:rsidR="00740D8F" w:rsidRDefault="00545206" w:rsidP="00740D8F">
      <w:pPr>
        <w:ind w:left="708"/>
        <w:jc w:val="both"/>
        <w:rPr>
          <w:rFonts w:ascii="Calibri" w:eastAsia="Calibri" w:hAnsi="Calibri" w:cs="Calibri"/>
          <w:lang w:val="pl-PL"/>
        </w:rPr>
      </w:pPr>
      <w:r w:rsidRPr="00740D8F">
        <w:rPr>
          <w:rFonts w:ascii="Calibri" w:eastAsia="Calibri" w:hAnsi="Calibri" w:cs="Calibri"/>
          <w:lang w:eastAsia="cs-CZ"/>
        </w:rPr>
        <w:t>Lokalita</w:t>
      </w:r>
      <w:r w:rsidRPr="00740D8F">
        <w:rPr>
          <w:rFonts w:ascii="Calibri" w:eastAsia="Calibri" w:hAnsi="Calibri" w:cs="Calibri"/>
          <w:lang w:val="pl-PL"/>
        </w:rPr>
        <w:t xml:space="preserve"> 2: TRADE CENTRE PRAHA, </w:t>
      </w:r>
      <w:r w:rsidR="00C87F20" w:rsidRPr="00740D8F">
        <w:rPr>
          <w:rFonts w:ascii="Calibri" w:eastAsia="Calibri" w:hAnsi="Calibri" w:cs="Calibri"/>
          <w:lang w:val="pl-PL"/>
        </w:rPr>
        <w:t>a.s., Čimická</w:t>
      </w:r>
      <w:r w:rsidRPr="00740D8F">
        <w:rPr>
          <w:rFonts w:ascii="Calibri" w:eastAsia="Calibri" w:hAnsi="Calibri" w:cs="Calibri"/>
          <w:lang w:val="pl-PL"/>
        </w:rPr>
        <w:t xml:space="preserve"> 848/41, Praha 8 - Troja, 182</w:t>
      </w:r>
      <w:r w:rsidR="00C87F20">
        <w:rPr>
          <w:rFonts w:ascii="Calibri" w:eastAsia="Calibri" w:hAnsi="Calibri" w:cs="Calibri"/>
          <w:lang w:val="pl-PL"/>
        </w:rPr>
        <w:t xml:space="preserve"> </w:t>
      </w:r>
      <w:r w:rsidRPr="00740D8F">
        <w:rPr>
          <w:rFonts w:ascii="Calibri" w:eastAsia="Calibri" w:hAnsi="Calibri" w:cs="Calibri"/>
          <w:lang w:val="pl-PL"/>
        </w:rPr>
        <w:t>00</w:t>
      </w:r>
    </w:p>
    <w:p w14:paraId="0A587B46" w14:textId="27C9024C" w:rsidR="00C87F20" w:rsidRDefault="00C87F20" w:rsidP="00740D8F">
      <w:pPr>
        <w:ind w:left="708"/>
        <w:jc w:val="both"/>
        <w:rPr>
          <w:rFonts w:ascii="Calibri" w:eastAsia="Calibri" w:hAnsi="Calibri" w:cs="Calibri"/>
          <w:lang w:val="pl-PL"/>
        </w:rPr>
      </w:pPr>
      <w:r>
        <w:rPr>
          <w:rFonts w:ascii="Calibri" w:eastAsia="Calibri" w:hAnsi="Calibri" w:cs="Calibri"/>
          <w:lang w:val="pl-PL"/>
        </w:rPr>
        <w:t>Lokalita 3: Hlavní město Praha Liga servis s.r.o., Diskařská 100, Praha 6 – Břevnov, 169 00</w:t>
      </w:r>
    </w:p>
    <w:p w14:paraId="453426E3" w14:textId="02852801" w:rsidR="00F0304C" w:rsidRPr="005E0D4A" w:rsidRDefault="00C87F20" w:rsidP="005E0D4A">
      <w:pPr>
        <w:ind w:left="708"/>
        <w:jc w:val="both"/>
        <w:rPr>
          <w:rFonts w:ascii="Calibri" w:eastAsia="Calibri" w:hAnsi="Calibri" w:cs="Calibri"/>
          <w:lang w:val="pl-PL"/>
        </w:rPr>
      </w:pPr>
      <w:r>
        <w:rPr>
          <w:rFonts w:ascii="Calibri" w:eastAsia="Calibri" w:hAnsi="Calibri" w:cs="Calibri"/>
          <w:lang w:val="pl-PL"/>
        </w:rPr>
        <w:t>Lokalita 4: Botanická zahrada hl.m. Prahy, Trojská 196/800, Praha 7 – Troja, 171 00</w:t>
      </w:r>
    </w:p>
    <w:p w14:paraId="75CF418C" w14:textId="77777777" w:rsidR="005E0D4A" w:rsidRDefault="005E0D4A">
      <w:pPr>
        <w:rPr>
          <w:rFonts w:ascii="Calibri" w:eastAsia="Calibri" w:hAnsi="Calibri" w:cs="Calibri"/>
          <w:lang w:eastAsia="cs-CZ"/>
        </w:rPr>
      </w:pPr>
      <w:r>
        <w:rPr>
          <w:rFonts w:ascii="Calibri" w:eastAsia="Calibri" w:hAnsi="Calibri" w:cs="Calibri"/>
          <w:lang w:eastAsia="cs-CZ"/>
        </w:rPr>
        <w:br w:type="page"/>
      </w:r>
    </w:p>
    <w:p w14:paraId="1518EEA7" w14:textId="4C5F2E88" w:rsidR="009E739B" w:rsidRDefault="009E739B" w:rsidP="005E08CB">
      <w:pPr>
        <w:ind w:left="708"/>
        <w:jc w:val="both"/>
        <w:rPr>
          <w:rFonts w:ascii="Calibri" w:eastAsia="Calibri" w:hAnsi="Calibri" w:cs="Calibri"/>
          <w:lang w:eastAsia="cs-CZ"/>
        </w:rPr>
      </w:pPr>
      <w:r w:rsidRPr="009E739B">
        <w:rPr>
          <w:rFonts w:ascii="Calibri" w:eastAsia="Calibri" w:hAnsi="Calibri" w:cs="Calibri"/>
          <w:lang w:eastAsia="cs-CZ"/>
        </w:rPr>
        <w:lastRenderedPageBreak/>
        <w:br/>
      </w:r>
      <w:r w:rsidR="00F0304C">
        <w:rPr>
          <w:rFonts w:ascii="Calibri" w:eastAsia="Calibri" w:hAnsi="Calibri" w:cs="Calibri"/>
          <w:lang w:eastAsia="cs-CZ"/>
        </w:rPr>
        <w:t xml:space="preserve">b) </w:t>
      </w:r>
      <w:r w:rsidR="005E08CB">
        <w:rPr>
          <w:rFonts w:ascii="Calibri" w:eastAsia="Calibri" w:hAnsi="Calibri" w:cs="Calibri"/>
          <w:lang w:eastAsia="cs-CZ"/>
        </w:rPr>
        <w:t xml:space="preserve">vypracování </w:t>
      </w:r>
      <w:r>
        <w:rPr>
          <w:rFonts w:ascii="Calibri" w:eastAsia="Calibri" w:hAnsi="Calibri" w:cs="Calibri"/>
          <w:lang w:eastAsia="cs-CZ"/>
        </w:rPr>
        <w:t>d</w:t>
      </w:r>
      <w:r w:rsidRPr="009E739B">
        <w:rPr>
          <w:rFonts w:ascii="Calibri" w:eastAsia="Calibri" w:hAnsi="Calibri" w:cs="Calibri"/>
          <w:lang w:eastAsia="cs-CZ"/>
        </w:rPr>
        <w:t>etailní analý</w:t>
      </w:r>
      <w:r w:rsidR="005E08CB">
        <w:rPr>
          <w:rFonts w:ascii="Calibri" w:eastAsia="Calibri" w:hAnsi="Calibri" w:cs="Calibri"/>
          <w:lang w:eastAsia="cs-CZ"/>
        </w:rPr>
        <w:t>zy</w:t>
      </w:r>
      <w:r w:rsidRPr="009E739B">
        <w:rPr>
          <w:rFonts w:ascii="Calibri" w:eastAsia="Calibri" w:hAnsi="Calibri" w:cs="Calibri"/>
          <w:lang w:eastAsia="cs-CZ"/>
        </w:rPr>
        <w:t xml:space="preserve"> územní predispozice lokality (památková zóna, průmyslová zóna</w:t>
      </w:r>
      <w:r w:rsidR="005E0D4A" w:rsidRPr="005E0D4A">
        <w:rPr>
          <w:rFonts w:ascii="Calibri" w:eastAsia="Calibri" w:hAnsi="Calibri" w:cs="Calibri"/>
          <w:lang w:eastAsia="cs-CZ"/>
        </w:rPr>
        <w:t>, analýza satelitních snímků</w:t>
      </w:r>
      <w:r w:rsidR="0036718F">
        <w:rPr>
          <w:rFonts w:ascii="Calibri" w:eastAsia="Calibri" w:hAnsi="Calibri" w:cs="Calibri"/>
          <w:lang w:eastAsia="cs-CZ"/>
        </w:rPr>
        <w:t xml:space="preserve">, bodové ohodnocení </w:t>
      </w:r>
      <w:r w:rsidR="005E0D4A" w:rsidRPr="005E0D4A">
        <w:rPr>
          <w:rFonts w:ascii="Calibri" w:eastAsia="Calibri" w:hAnsi="Calibri" w:cs="Calibri"/>
          <w:lang w:eastAsia="cs-CZ"/>
        </w:rPr>
        <w:t>a fotodokumentace okolí lokality</w:t>
      </w:r>
      <w:r w:rsidR="005E0D4A">
        <w:rPr>
          <w:rFonts w:ascii="Calibri" w:eastAsia="Calibri" w:hAnsi="Calibri" w:cs="Calibri"/>
          <w:lang w:eastAsia="cs-CZ"/>
        </w:rPr>
        <w:t>)</w:t>
      </w:r>
      <w:r w:rsidR="001945FD">
        <w:rPr>
          <w:rFonts w:ascii="Calibri" w:eastAsia="Calibri" w:hAnsi="Calibri" w:cs="Calibri"/>
          <w:lang w:eastAsia="cs-CZ"/>
        </w:rPr>
        <w:t xml:space="preserve"> v </w:t>
      </w:r>
      <w:r w:rsidRPr="009E739B">
        <w:rPr>
          <w:rFonts w:ascii="Calibri" w:eastAsia="Calibri" w:hAnsi="Calibri" w:cs="Calibri"/>
          <w:lang w:eastAsia="cs-CZ"/>
        </w:rPr>
        <w:t>lokali</w:t>
      </w:r>
      <w:r w:rsidR="001945FD">
        <w:rPr>
          <w:rFonts w:ascii="Calibri" w:eastAsia="Calibri" w:hAnsi="Calibri" w:cs="Calibri"/>
          <w:lang w:eastAsia="cs-CZ"/>
        </w:rPr>
        <w:t xml:space="preserve">tách: </w:t>
      </w:r>
    </w:p>
    <w:p w14:paraId="74BC67B7" w14:textId="77777777" w:rsidR="00C87F20" w:rsidRDefault="00C87F20" w:rsidP="00C87F20">
      <w:pPr>
        <w:ind w:left="708"/>
        <w:jc w:val="both"/>
        <w:rPr>
          <w:rFonts w:ascii="Calibri" w:eastAsia="Calibri" w:hAnsi="Calibri" w:cs="Calibri"/>
          <w:lang w:val="pl-PL"/>
        </w:rPr>
      </w:pPr>
      <w:r w:rsidRPr="00740D8F">
        <w:rPr>
          <w:rFonts w:ascii="Calibri" w:eastAsia="Calibri" w:hAnsi="Calibri" w:cs="Calibri"/>
          <w:lang w:eastAsia="cs-CZ"/>
        </w:rPr>
        <w:t xml:space="preserve">Lokalita 1: </w:t>
      </w:r>
      <w:r w:rsidRPr="00740D8F">
        <w:rPr>
          <w:rFonts w:ascii="Calibri" w:eastAsia="Calibri" w:hAnsi="Calibri" w:cs="Calibri"/>
          <w:lang w:val="pl-PL"/>
        </w:rPr>
        <w:t>Archiv hl.m. Prahy, Archivní 1280/6, Praha 4 - Chodov, 149</w:t>
      </w:r>
      <w:r>
        <w:rPr>
          <w:rFonts w:ascii="Calibri" w:eastAsia="Calibri" w:hAnsi="Calibri" w:cs="Calibri"/>
          <w:lang w:val="pl-PL"/>
        </w:rPr>
        <w:t xml:space="preserve"> </w:t>
      </w:r>
      <w:r w:rsidRPr="00740D8F">
        <w:rPr>
          <w:rFonts w:ascii="Calibri" w:eastAsia="Calibri" w:hAnsi="Calibri" w:cs="Calibri"/>
          <w:lang w:val="pl-PL"/>
        </w:rPr>
        <w:t>00</w:t>
      </w:r>
    </w:p>
    <w:p w14:paraId="7AE3DB93" w14:textId="51BCF138" w:rsidR="00C87F20" w:rsidRDefault="00C87F20" w:rsidP="005E0D4A">
      <w:pPr>
        <w:ind w:firstLine="708"/>
        <w:jc w:val="both"/>
        <w:rPr>
          <w:rFonts w:ascii="Calibri" w:eastAsia="Calibri" w:hAnsi="Calibri" w:cs="Calibri"/>
          <w:lang w:val="pl-PL"/>
        </w:rPr>
      </w:pPr>
      <w:r w:rsidRPr="00740D8F">
        <w:rPr>
          <w:rFonts w:ascii="Calibri" w:eastAsia="Calibri" w:hAnsi="Calibri" w:cs="Calibri"/>
          <w:lang w:eastAsia="cs-CZ"/>
        </w:rPr>
        <w:t>Lokalita</w:t>
      </w:r>
      <w:r w:rsidRPr="00740D8F">
        <w:rPr>
          <w:rFonts w:ascii="Calibri" w:eastAsia="Calibri" w:hAnsi="Calibri" w:cs="Calibri"/>
          <w:lang w:val="pl-PL"/>
        </w:rPr>
        <w:t xml:space="preserve"> 2: TRADE CENTRE PRAHA, a.s., Čimická 848/41, Praha 8 - Troja, 182</w:t>
      </w:r>
      <w:r>
        <w:rPr>
          <w:rFonts w:ascii="Calibri" w:eastAsia="Calibri" w:hAnsi="Calibri" w:cs="Calibri"/>
          <w:lang w:val="pl-PL"/>
        </w:rPr>
        <w:t xml:space="preserve"> </w:t>
      </w:r>
      <w:r w:rsidRPr="00740D8F">
        <w:rPr>
          <w:rFonts w:ascii="Calibri" w:eastAsia="Calibri" w:hAnsi="Calibri" w:cs="Calibri"/>
          <w:lang w:val="pl-PL"/>
        </w:rPr>
        <w:t>00</w:t>
      </w:r>
    </w:p>
    <w:p w14:paraId="126B9F99" w14:textId="77777777" w:rsidR="00C87F20" w:rsidRDefault="00C87F20" w:rsidP="00C87F20">
      <w:pPr>
        <w:ind w:left="708"/>
        <w:jc w:val="both"/>
        <w:rPr>
          <w:rFonts w:ascii="Calibri" w:eastAsia="Calibri" w:hAnsi="Calibri" w:cs="Calibri"/>
          <w:lang w:val="pl-PL"/>
        </w:rPr>
      </w:pPr>
      <w:r>
        <w:rPr>
          <w:rFonts w:ascii="Calibri" w:eastAsia="Calibri" w:hAnsi="Calibri" w:cs="Calibri"/>
          <w:lang w:val="pl-PL"/>
        </w:rPr>
        <w:t>Lokalita 3: Hlavní město Praha Liga servis s.r.o., Diskařská 100, Praha 6 – Břevnov, 169 00</w:t>
      </w:r>
    </w:p>
    <w:p w14:paraId="259F8BA1" w14:textId="5A103B49" w:rsidR="00C87F20" w:rsidRPr="0019582C" w:rsidRDefault="00C87F20" w:rsidP="0019582C">
      <w:pPr>
        <w:ind w:left="708"/>
        <w:jc w:val="both"/>
        <w:rPr>
          <w:rFonts w:ascii="Calibri" w:eastAsia="Calibri" w:hAnsi="Calibri" w:cs="Calibri"/>
          <w:lang w:val="pl-PL"/>
        </w:rPr>
      </w:pPr>
      <w:r>
        <w:rPr>
          <w:rFonts w:ascii="Calibri" w:eastAsia="Calibri" w:hAnsi="Calibri" w:cs="Calibri"/>
          <w:lang w:val="pl-PL"/>
        </w:rPr>
        <w:t>Lokalita 4: Botanická zahrada hl.m. Prahy, Trojská 196/800, Praha 7 – Troja, 171 00</w:t>
      </w:r>
    </w:p>
    <w:p w14:paraId="655391C4" w14:textId="7079F832" w:rsidR="005E08CB" w:rsidRDefault="005E08CB" w:rsidP="005C4490">
      <w:pPr>
        <w:tabs>
          <w:tab w:val="num" w:pos="1474"/>
        </w:tabs>
        <w:ind w:left="708" w:hanging="708"/>
        <w:jc w:val="both"/>
        <w:rPr>
          <w:rFonts w:cstheme="minorHAnsi"/>
        </w:rPr>
      </w:pPr>
      <w:r>
        <w:rPr>
          <w:rFonts w:cstheme="minorHAnsi"/>
        </w:rPr>
        <w:t>2.3</w:t>
      </w:r>
      <w:r>
        <w:rPr>
          <w:rFonts w:cstheme="minorHAnsi"/>
        </w:rPr>
        <w:tab/>
      </w:r>
      <w:r w:rsidR="00D718EC">
        <w:rPr>
          <w:rFonts w:cstheme="minorHAnsi"/>
        </w:rPr>
        <w:t>V</w:t>
      </w:r>
      <w:r>
        <w:rPr>
          <w:rFonts w:cstheme="minorHAnsi"/>
        </w:rPr>
        <w:t xml:space="preserve"> návaznosti na výše uvedené se </w:t>
      </w:r>
      <w:proofErr w:type="gramStart"/>
      <w:r>
        <w:rPr>
          <w:rFonts w:cstheme="minorHAnsi"/>
        </w:rPr>
        <w:t>ruší</w:t>
      </w:r>
      <w:proofErr w:type="gramEnd"/>
      <w:r>
        <w:rPr>
          <w:rFonts w:cstheme="minorHAnsi"/>
        </w:rPr>
        <w:t xml:space="preserve"> čl</w:t>
      </w:r>
      <w:r w:rsidRPr="005C4490">
        <w:rPr>
          <w:rFonts w:cstheme="minorHAnsi"/>
        </w:rPr>
        <w:t>.</w:t>
      </w:r>
      <w:r w:rsidR="005C4490" w:rsidRPr="005C4490">
        <w:rPr>
          <w:rFonts w:cstheme="minorHAnsi"/>
        </w:rPr>
        <w:t xml:space="preserve"> </w:t>
      </w:r>
      <w:r w:rsidRPr="005C4490">
        <w:rPr>
          <w:rFonts w:cstheme="minorHAnsi"/>
          <w:b/>
          <w:bCs/>
        </w:rPr>
        <w:t>3</w:t>
      </w:r>
      <w:r w:rsidR="005C4490" w:rsidRPr="005C4490">
        <w:rPr>
          <w:rFonts w:cstheme="minorHAnsi"/>
          <w:b/>
          <w:bCs/>
        </w:rPr>
        <w:t xml:space="preserve"> CENA ZA POSKYTNUTÍ DÍLA</w:t>
      </w:r>
      <w:r>
        <w:rPr>
          <w:rFonts w:cstheme="minorHAnsi"/>
        </w:rPr>
        <w:t xml:space="preserve"> odst. 3.1 a nahrazuje tímto zněním:  </w:t>
      </w:r>
    </w:p>
    <w:p w14:paraId="057631A4" w14:textId="6B0FEEB5" w:rsidR="005E08CB" w:rsidRDefault="005E08CB" w:rsidP="005E08CB">
      <w:pPr>
        <w:tabs>
          <w:tab w:val="num" w:pos="709"/>
        </w:tabs>
        <w:ind w:left="1416" w:hanging="1416"/>
        <w:jc w:val="both"/>
        <w:rPr>
          <w:rFonts w:cstheme="minorHAnsi"/>
          <w:i/>
          <w:iCs/>
        </w:rPr>
      </w:pPr>
      <w:r>
        <w:rPr>
          <w:rFonts w:cstheme="minorHAnsi"/>
        </w:rPr>
        <w:tab/>
      </w:r>
      <w:r w:rsidR="005C4490">
        <w:rPr>
          <w:rFonts w:cstheme="minorHAnsi"/>
        </w:rPr>
        <w:t>„</w:t>
      </w:r>
      <w:r>
        <w:rPr>
          <w:rFonts w:cstheme="minorHAnsi"/>
        </w:rPr>
        <w:t>3.1</w:t>
      </w:r>
      <w:r>
        <w:rPr>
          <w:rFonts w:cstheme="minorHAnsi"/>
        </w:rPr>
        <w:tab/>
      </w:r>
      <w:r w:rsidRPr="005E08CB">
        <w:rPr>
          <w:rFonts w:cstheme="minorHAnsi"/>
          <w:i/>
          <w:iCs/>
        </w:rPr>
        <w:t xml:space="preserve">Smluvní strany se dohodly, že celková cena za poskytnutí Díla, zahrnující veškeré náklady Poskytovatele spojené s poskytnutím předmětu této Smlouvy, činí </w:t>
      </w:r>
      <w:r>
        <w:rPr>
          <w:rFonts w:cstheme="minorHAnsi"/>
          <w:i/>
          <w:iCs/>
        </w:rPr>
        <w:t>271 200</w:t>
      </w:r>
      <w:r w:rsidRPr="005E08CB">
        <w:rPr>
          <w:rFonts w:cstheme="minorHAnsi"/>
          <w:i/>
          <w:iCs/>
        </w:rPr>
        <w:t xml:space="preserve">,- (slovy: dvě stě </w:t>
      </w:r>
      <w:r>
        <w:rPr>
          <w:rFonts w:cstheme="minorHAnsi"/>
          <w:i/>
          <w:iCs/>
        </w:rPr>
        <w:t>sedmdesát jedna</w:t>
      </w:r>
      <w:r w:rsidRPr="005E08CB">
        <w:rPr>
          <w:rFonts w:cstheme="minorHAnsi"/>
          <w:i/>
          <w:iCs/>
        </w:rPr>
        <w:t xml:space="preserve"> tisíc</w:t>
      </w:r>
      <w:r>
        <w:rPr>
          <w:rFonts w:cstheme="minorHAnsi"/>
          <w:i/>
          <w:iCs/>
        </w:rPr>
        <w:t xml:space="preserve"> dvě stě </w:t>
      </w:r>
      <w:r w:rsidR="00621C1A">
        <w:rPr>
          <w:rFonts w:cstheme="minorHAnsi"/>
          <w:i/>
          <w:iCs/>
        </w:rPr>
        <w:t>korun českých</w:t>
      </w:r>
      <w:r w:rsidRPr="005E08CB">
        <w:rPr>
          <w:rFonts w:cstheme="minorHAnsi"/>
          <w:i/>
          <w:iCs/>
        </w:rPr>
        <w:t xml:space="preserve">) Kč bez DPH, a jedná se o cenu maximální a nejvýše přípustnou (dále jen </w:t>
      </w:r>
      <w:r w:rsidRPr="005E08CB">
        <w:rPr>
          <w:rFonts w:cstheme="minorHAnsi"/>
          <w:b/>
          <w:bCs/>
          <w:i/>
          <w:iCs/>
        </w:rPr>
        <w:t>„Cena díla”</w:t>
      </w:r>
      <w:r w:rsidRPr="005E08CB">
        <w:rPr>
          <w:rFonts w:cstheme="minorHAnsi"/>
          <w:i/>
          <w:iCs/>
        </w:rPr>
        <w:t>).</w:t>
      </w:r>
      <w:r w:rsidR="005C4490">
        <w:rPr>
          <w:rFonts w:cstheme="minorHAnsi"/>
          <w:i/>
          <w:iCs/>
        </w:rPr>
        <w:t>“</w:t>
      </w:r>
      <w:r w:rsidR="005C4490">
        <w:rPr>
          <w:rFonts w:cstheme="minorHAnsi"/>
          <w:i/>
          <w:iCs/>
        </w:rPr>
        <w:tab/>
      </w:r>
    </w:p>
    <w:p w14:paraId="34B12A55" w14:textId="611E14C9" w:rsidR="0017758A" w:rsidRDefault="005C4490" w:rsidP="0019582C">
      <w:pPr>
        <w:tabs>
          <w:tab w:val="num" w:pos="709"/>
        </w:tabs>
        <w:ind w:left="709" w:hanging="709"/>
        <w:jc w:val="both"/>
        <w:rPr>
          <w:rFonts w:cstheme="minorHAnsi"/>
        </w:rPr>
      </w:pPr>
      <w:r w:rsidRPr="005C4490">
        <w:rPr>
          <w:rFonts w:cstheme="minorHAnsi"/>
        </w:rPr>
        <w:t>2.4</w:t>
      </w:r>
      <w:r w:rsidRPr="005C4490">
        <w:rPr>
          <w:rFonts w:cstheme="minorHAnsi"/>
        </w:rPr>
        <w:tab/>
        <w:t xml:space="preserve">Dále čl. </w:t>
      </w:r>
      <w:r w:rsidRPr="005C4490">
        <w:rPr>
          <w:rFonts w:cstheme="minorHAnsi"/>
          <w:b/>
          <w:bCs/>
        </w:rPr>
        <w:t>2 DOBA A MÍSTO PŘEDÁNÍ</w:t>
      </w:r>
      <w:r w:rsidRPr="005C4490">
        <w:rPr>
          <w:rFonts w:cstheme="minorHAnsi"/>
        </w:rPr>
        <w:t xml:space="preserve"> odst. 2.2 se rozšiřuje a stanovuje termín dokončení a předání Díla </w:t>
      </w:r>
      <w:r>
        <w:rPr>
          <w:rFonts w:cstheme="minorHAnsi"/>
        </w:rPr>
        <w:t xml:space="preserve">Objednateli </w:t>
      </w:r>
      <w:r w:rsidRPr="005C4490">
        <w:rPr>
          <w:rFonts w:cstheme="minorHAnsi"/>
        </w:rPr>
        <w:t xml:space="preserve">v rozsahu víceprací dle tohoto Dodatku nejpozději </w:t>
      </w:r>
      <w:r w:rsidRPr="005C4490">
        <w:rPr>
          <w:rFonts w:cstheme="minorHAnsi"/>
          <w:b/>
          <w:bCs/>
        </w:rPr>
        <w:t>do 8.12.2023</w:t>
      </w:r>
      <w:r w:rsidRPr="005C4490">
        <w:rPr>
          <w:rFonts w:cstheme="minorHAnsi"/>
        </w:rPr>
        <w:t xml:space="preserve">. </w:t>
      </w:r>
      <w:r w:rsidR="00724514">
        <w:rPr>
          <w:rFonts w:cstheme="minorHAnsi"/>
        </w:rPr>
        <w:t xml:space="preserve"> </w:t>
      </w:r>
    </w:p>
    <w:p w14:paraId="05DBA54E" w14:textId="641B17E1" w:rsidR="0017758A" w:rsidRDefault="0017758A" w:rsidP="0017758A">
      <w:pPr>
        <w:ind w:left="708" w:hanging="708"/>
        <w:jc w:val="both"/>
        <w:rPr>
          <w:rFonts w:cstheme="minorHAnsi"/>
        </w:rPr>
      </w:pPr>
      <w:r>
        <w:rPr>
          <w:rFonts w:cstheme="minorHAnsi"/>
        </w:rPr>
        <w:t>2.</w:t>
      </w:r>
      <w:r w:rsidR="005C2F9C">
        <w:rPr>
          <w:rFonts w:cstheme="minorHAnsi"/>
        </w:rPr>
        <w:t>5</w:t>
      </w:r>
      <w:r>
        <w:rPr>
          <w:rFonts w:cstheme="minorHAnsi"/>
        </w:rPr>
        <w:tab/>
      </w:r>
      <w:r w:rsidRPr="0017758A">
        <w:rPr>
          <w:rFonts w:cstheme="minorHAnsi"/>
        </w:rPr>
        <w:t>Pro vyloučení pochybnosti Smluvní strany uvádí, že k dokončení a předání Díla v rozsahu dle Smlouvy ve znění před uzavřením tohoto Dodatku platí termín uvedený v čl. 2.2 Smlouvy, tedy nejpozději do 74 kalendářních dnů od oboustranného podpisu Smlouvy</w:t>
      </w:r>
      <w:r>
        <w:rPr>
          <w:rFonts w:cstheme="minorHAnsi"/>
        </w:rPr>
        <w:t xml:space="preserve"> je Poskytovatel povinný dokončit a předat Objednateli Dílo na základě předávacího protokolu dle čl. 4 odst. 4.7 Smlouvy</w:t>
      </w:r>
      <w:r w:rsidR="00F0304C">
        <w:rPr>
          <w:rFonts w:cstheme="minorHAnsi"/>
        </w:rPr>
        <w:t>.</w:t>
      </w:r>
      <w:r>
        <w:rPr>
          <w:rFonts w:cstheme="minorHAnsi"/>
        </w:rPr>
        <w:t xml:space="preserve"> </w:t>
      </w:r>
      <w:r w:rsidRPr="0017758A">
        <w:rPr>
          <w:rFonts w:cstheme="minorHAnsi"/>
        </w:rPr>
        <w:t>Termín 8.12.2023 je termínem</w:t>
      </w:r>
      <w:r w:rsidR="00F0304C">
        <w:rPr>
          <w:rFonts w:cstheme="minorHAnsi"/>
        </w:rPr>
        <w:t xml:space="preserve"> pro</w:t>
      </w:r>
      <w:r w:rsidRPr="0017758A">
        <w:rPr>
          <w:rFonts w:cstheme="minorHAnsi"/>
        </w:rPr>
        <w:t xml:space="preserve"> dokončení a předání Díla </w:t>
      </w:r>
      <w:r w:rsidR="00F0304C">
        <w:rPr>
          <w:rFonts w:cstheme="minorHAnsi"/>
        </w:rPr>
        <w:t>v</w:t>
      </w:r>
      <w:r w:rsidRPr="0017758A">
        <w:rPr>
          <w:rFonts w:cstheme="minorHAnsi"/>
        </w:rPr>
        <w:t> rozsahu víceprací dle tohoto Dodatku</w:t>
      </w:r>
      <w:r>
        <w:rPr>
          <w:rFonts w:cstheme="minorHAnsi"/>
        </w:rPr>
        <w:t xml:space="preserve">. </w:t>
      </w:r>
      <w:r w:rsidR="00F0304C">
        <w:rPr>
          <w:rFonts w:cstheme="minorHAnsi"/>
        </w:rPr>
        <w:t>Až p</w:t>
      </w:r>
      <w:r>
        <w:rPr>
          <w:rFonts w:cstheme="minorHAnsi"/>
        </w:rPr>
        <w:t xml:space="preserve">o předání Díla vč. víceprací Poskytovatel vyfakturuje </w:t>
      </w:r>
      <w:r w:rsidR="00F0304C">
        <w:rPr>
          <w:rFonts w:cstheme="minorHAnsi"/>
        </w:rPr>
        <w:t xml:space="preserve">jednou fakturou </w:t>
      </w:r>
      <w:r>
        <w:rPr>
          <w:rFonts w:cstheme="minorHAnsi"/>
        </w:rPr>
        <w:t xml:space="preserve">Cenu díla dle čl. 3 odst. 3.5 a násl. Smlouvy. </w:t>
      </w:r>
      <w:r w:rsidRPr="0017758A">
        <w:rPr>
          <w:rFonts w:cstheme="minorHAnsi"/>
        </w:rPr>
        <w:t xml:space="preserve"> </w:t>
      </w:r>
    </w:p>
    <w:p w14:paraId="21B337DA" w14:textId="5B8F3975" w:rsidR="005C2F9C" w:rsidRPr="005C2F9C" w:rsidRDefault="005C2F9C" w:rsidP="005C2F9C">
      <w:pPr>
        <w:ind w:left="708" w:hanging="708"/>
        <w:jc w:val="both"/>
        <w:rPr>
          <w:rFonts w:cstheme="minorHAnsi"/>
        </w:rPr>
      </w:pPr>
      <w:r>
        <w:rPr>
          <w:rFonts w:cstheme="minorHAnsi"/>
        </w:rPr>
        <w:t>2.6</w:t>
      </w:r>
      <w:r>
        <w:rPr>
          <w:rFonts w:cstheme="minorHAnsi"/>
        </w:rPr>
        <w:tab/>
      </w:r>
      <w:r w:rsidRPr="005C2F9C">
        <w:rPr>
          <w:rFonts w:cstheme="minorHAnsi"/>
        </w:rPr>
        <w:t xml:space="preserve">Ostatní ustanovení Smlouvy zůstávají tímto Dodatkem nezměněná a v platnosti. </w:t>
      </w:r>
    </w:p>
    <w:p w14:paraId="30C57200" w14:textId="77777777" w:rsidR="005C2F9C" w:rsidRDefault="005C2F9C" w:rsidP="0017758A">
      <w:pPr>
        <w:ind w:left="708" w:hanging="708"/>
        <w:jc w:val="both"/>
        <w:rPr>
          <w:rFonts w:cstheme="minorHAnsi"/>
        </w:rPr>
      </w:pPr>
    </w:p>
    <w:p w14:paraId="7B27C6E6" w14:textId="77777777" w:rsidR="008C3F76" w:rsidRPr="00C15EB6" w:rsidRDefault="008C3F76" w:rsidP="0017758A">
      <w:pPr>
        <w:jc w:val="both"/>
        <w:rPr>
          <w:rFonts w:cstheme="minorHAnsi"/>
        </w:rPr>
      </w:pPr>
    </w:p>
    <w:p w14:paraId="09699E4B" w14:textId="049FA4D0" w:rsidR="00DD0DB1" w:rsidRPr="00C15EB6" w:rsidRDefault="00C15EB6" w:rsidP="00DD0DB1">
      <w:pPr>
        <w:jc w:val="center"/>
        <w:rPr>
          <w:rFonts w:cstheme="minorHAnsi"/>
          <w:b/>
        </w:rPr>
      </w:pPr>
      <w:r>
        <w:rPr>
          <w:rFonts w:cstheme="minorHAnsi"/>
          <w:b/>
        </w:rPr>
        <w:t>3.</w:t>
      </w:r>
      <w:r w:rsidR="00DD0DB1" w:rsidRPr="00C15EB6">
        <w:rPr>
          <w:rFonts w:cstheme="minorHAnsi"/>
          <w:b/>
        </w:rPr>
        <w:t xml:space="preserve"> ZÁVĚREČNÁ USTANOVENÍ</w:t>
      </w:r>
    </w:p>
    <w:p w14:paraId="41E3C3BC" w14:textId="56E42404" w:rsidR="00DD0DB1" w:rsidRPr="00C15EB6" w:rsidRDefault="00DD0DB1" w:rsidP="0017758A">
      <w:pPr>
        <w:tabs>
          <w:tab w:val="num" w:pos="737"/>
        </w:tabs>
        <w:ind w:left="708" w:hanging="708"/>
        <w:jc w:val="both"/>
        <w:rPr>
          <w:rFonts w:cstheme="minorHAnsi"/>
        </w:rPr>
      </w:pPr>
      <w:r w:rsidRPr="00C15EB6">
        <w:rPr>
          <w:rFonts w:cstheme="minorHAnsi"/>
        </w:rPr>
        <w:t>3.1</w:t>
      </w:r>
      <w:r w:rsidRPr="00C15EB6">
        <w:rPr>
          <w:rFonts w:cstheme="minorHAnsi"/>
        </w:rPr>
        <w:tab/>
        <w:t xml:space="preserve">Není-li v tomto Dodatku stanoveno jinak, mají veškeré pojmy definované ve Smlouvě a použité v tomto Dodatku stejný význam jako ve Smlouvě. </w:t>
      </w:r>
      <w:r w:rsidRPr="00C15EB6">
        <w:rPr>
          <w:rFonts w:cstheme="minorHAnsi"/>
        </w:rPr>
        <w:tab/>
        <w:t xml:space="preserve"> </w:t>
      </w:r>
    </w:p>
    <w:p w14:paraId="59D8DA40" w14:textId="5ABED499" w:rsidR="00DD0DB1" w:rsidRPr="00C15EB6" w:rsidRDefault="00DD0DB1" w:rsidP="00DD0DB1">
      <w:pPr>
        <w:tabs>
          <w:tab w:val="num" w:pos="737"/>
        </w:tabs>
        <w:ind w:left="708" w:hanging="708"/>
        <w:jc w:val="both"/>
        <w:rPr>
          <w:rFonts w:cstheme="minorHAnsi"/>
        </w:rPr>
      </w:pPr>
      <w:r w:rsidRPr="00C15EB6">
        <w:rPr>
          <w:rFonts w:cstheme="minorHAnsi"/>
        </w:rPr>
        <w:t>3.3</w:t>
      </w:r>
      <w:r w:rsidRPr="00C15EB6">
        <w:rPr>
          <w:rFonts w:cstheme="minorHAnsi"/>
        </w:rPr>
        <w:tab/>
        <w:t>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6F39AE67" w14:textId="08BD227C" w:rsidR="00DD0DB1" w:rsidRPr="00C15EB6" w:rsidRDefault="00DD0DB1" w:rsidP="00DD0DB1">
      <w:pPr>
        <w:tabs>
          <w:tab w:val="num" w:pos="737"/>
        </w:tabs>
        <w:ind w:left="708" w:hanging="708"/>
        <w:jc w:val="both"/>
        <w:rPr>
          <w:rFonts w:cstheme="minorHAnsi"/>
        </w:rPr>
      </w:pPr>
      <w:r w:rsidRPr="00C15EB6">
        <w:rPr>
          <w:rFonts w:cstheme="minorHAnsi"/>
        </w:rPr>
        <w:t>3.4</w:t>
      </w:r>
      <w:r w:rsidRPr="00C15EB6">
        <w:rPr>
          <w:rFonts w:cstheme="minorHAnsi"/>
        </w:rPr>
        <w:tab/>
        <w:t xml:space="preserve">Smluvní strany berou na vědomí, že tento Dodatek může podléhat povinnosti jejího uveřejnění prostřednictvím registru smluv v souladu se zákonem č. 340/2015 Sb., o zvláštních podmínkách účinnosti některých smluv, uveřejňování těchto smluv a o registru smluv, ve znění pozdějších předpisů (dále jen „ZRS“). V případě, že tento Dodatek bude podléhat povinnosti uveřejnění </w:t>
      </w:r>
      <w:r w:rsidRPr="00C15EB6">
        <w:rPr>
          <w:rFonts w:cstheme="minorHAnsi"/>
        </w:rPr>
        <w:lastRenderedPageBreak/>
        <w:t xml:space="preserve">dle ZRS, nastává jeho účinnost nejdříve dnem jejího uveřejnění prostřednictvím registru smluv, v opačném případě Dodatek nabývá účinnosti dnem podpisu oběma Smluvními stranami, nestanovuje-li Dodatek účinnost jiným způsobem. Podléhá-li Dodatek uveřejnění v ZRS zašle Objednatel tento Dodatek správci registru smluv k uveřejnění bez zbytečného odkladu, nejpozději však do třiceti (30) dnů od jejího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12E48781" w14:textId="1B6765C0" w:rsidR="00DD0DB1" w:rsidRPr="00C15EB6" w:rsidRDefault="00DD0DB1" w:rsidP="00DD0DB1">
      <w:pPr>
        <w:tabs>
          <w:tab w:val="num" w:pos="737"/>
        </w:tabs>
        <w:ind w:left="708" w:hanging="708"/>
        <w:jc w:val="both"/>
        <w:rPr>
          <w:rFonts w:cstheme="minorHAnsi"/>
        </w:rPr>
      </w:pPr>
      <w:r w:rsidRPr="00C15EB6">
        <w:rPr>
          <w:rFonts w:cstheme="minorHAnsi"/>
        </w:rPr>
        <w:t>3.5</w:t>
      </w:r>
      <w:r w:rsidRPr="00C15EB6">
        <w:rPr>
          <w:rFonts w:cstheme="minorHAnsi"/>
        </w:rPr>
        <w:tab/>
        <w:t>Smluvní strany prohlašují, že skutečnosti uvedené v tomto Dodatku nepovažují za obchodní tajemství ve smyslu § 504 občanského zákoníku a udělují svolení k jejich užití a zveřejnění bez stanovení jakýchkoli dalších podmínek.</w:t>
      </w:r>
    </w:p>
    <w:p w14:paraId="642F0A7F" w14:textId="44E287A3" w:rsidR="00DD0DB1" w:rsidRPr="00C15EB6" w:rsidRDefault="00DD0DB1" w:rsidP="00DD0DB1">
      <w:pPr>
        <w:tabs>
          <w:tab w:val="num" w:pos="737"/>
        </w:tabs>
        <w:ind w:left="708" w:hanging="708"/>
        <w:jc w:val="both"/>
        <w:rPr>
          <w:rFonts w:cstheme="minorHAnsi"/>
        </w:rPr>
      </w:pPr>
      <w:r w:rsidRPr="00C15EB6">
        <w:rPr>
          <w:rFonts w:cstheme="minorHAnsi"/>
        </w:rPr>
        <w:t>3.6</w:t>
      </w:r>
      <w:r w:rsidRPr="00C15EB6">
        <w:rPr>
          <w:rFonts w:cstheme="minorHAnsi"/>
        </w:rPr>
        <w:tab/>
        <w:t xml:space="preserve">Tento Dodatek je vyhotoven ve dvou (2) stejnopisech, z nichž Objednatel obdrží jedno (1) vyhotovení a Poskytovatel obdrží jedno (1) vyhotovení. V případě, že je </w:t>
      </w:r>
      <w:r w:rsidR="008C3F76">
        <w:rPr>
          <w:rFonts w:cstheme="minorHAnsi"/>
        </w:rPr>
        <w:t xml:space="preserve">tento Dodatek </w:t>
      </w:r>
      <w:r w:rsidRPr="00C15EB6">
        <w:rPr>
          <w:rFonts w:cstheme="minorHAnsi"/>
        </w:rPr>
        <w:t xml:space="preserve">uzavírán elektronicky za využití uznávaných elektronických podpisů, postačí jedno </w:t>
      </w:r>
      <w:r w:rsidR="008C3F76">
        <w:rPr>
          <w:rFonts w:cstheme="minorHAnsi"/>
        </w:rPr>
        <w:t>vyhotovení Dodatku</w:t>
      </w:r>
      <w:r w:rsidRPr="00C15EB6">
        <w:rPr>
          <w:rFonts w:cstheme="minorHAnsi"/>
        </w:rPr>
        <w:t xml:space="preserve">, na kterém jsou zaznamenány uznávané elektronické podpisy zástupců Smluvních stran oprávněných </w:t>
      </w:r>
      <w:r w:rsidR="008C3F76">
        <w:rPr>
          <w:rFonts w:cstheme="minorHAnsi"/>
        </w:rPr>
        <w:t xml:space="preserve">tento Dodatek </w:t>
      </w:r>
      <w:r w:rsidRPr="00C15EB6">
        <w:rPr>
          <w:rFonts w:cstheme="minorHAnsi"/>
        </w:rPr>
        <w:t>uzavřít.</w:t>
      </w:r>
    </w:p>
    <w:p w14:paraId="7BB29189" w14:textId="578CF449" w:rsidR="00DD0DB1" w:rsidRPr="00C15EB6" w:rsidRDefault="00DD0DB1" w:rsidP="00DD0DB1">
      <w:pPr>
        <w:tabs>
          <w:tab w:val="num" w:pos="737"/>
        </w:tabs>
        <w:ind w:left="708" w:hanging="708"/>
        <w:jc w:val="both"/>
        <w:rPr>
          <w:rFonts w:cstheme="minorHAnsi"/>
        </w:rPr>
      </w:pPr>
      <w:r w:rsidRPr="00C15EB6">
        <w:rPr>
          <w:rFonts w:cstheme="minorHAnsi"/>
        </w:rPr>
        <w:t>3.7</w:t>
      </w:r>
      <w:r w:rsidRPr="00C15EB6">
        <w:rPr>
          <w:rFonts w:cstheme="minorHAnsi"/>
        </w:rPr>
        <w:tab/>
        <w:t>Smluvní 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w:t>
      </w:r>
    </w:p>
    <w:p w14:paraId="7081EBDC" w14:textId="77777777" w:rsidR="00DD0DB1" w:rsidRPr="00C15EB6" w:rsidRDefault="00DD0DB1" w:rsidP="00DD0DB1">
      <w:pPr>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15EB6" w:rsidRPr="00C15EB6" w14:paraId="27136CAC" w14:textId="77777777" w:rsidTr="00137210">
        <w:tc>
          <w:tcPr>
            <w:tcW w:w="4531" w:type="dxa"/>
          </w:tcPr>
          <w:p w14:paraId="00085FAD" w14:textId="77777777" w:rsidR="00C15EB6" w:rsidRPr="00C15EB6" w:rsidRDefault="00C15EB6" w:rsidP="00137210">
            <w:pPr>
              <w:rPr>
                <w:rFonts w:cstheme="minorHAnsi"/>
              </w:rPr>
            </w:pPr>
            <w:r w:rsidRPr="00C15EB6">
              <w:rPr>
                <w:rFonts w:cstheme="minorHAnsi"/>
              </w:rPr>
              <w:t xml:space="preserve">V Praze dne </w:t>
            </w:r>
          </w:p>
          <w:p w14:paraId="5C4B2100" w14:textId="77777777" w:rsidR="00C15EB6" w:rsidRPr="00C15EB6" w:rsidRDefault="00C15EB6" w:rsidP="00137210">
            <w:pPr>
              <w:rPr>
                <w:rFonts w:cstheme="minorHAnsi"/>
              </w:rPr>
            </w:pPr>
          </w:p>
          <w:p w14:paraId="493DDCD6" w14:textId="77777777" w:rsidR="00C15EB6" w:rsidRPr="00C15EB6" w:rsidRDefault="00C15EB6" w:rsidP="00137210">
            <w:pPr>
              <w:rPr>
                <w:rFonts w:cstheme="minorHAnsi"/>
              </w:rPr>
            </w:pPr>
          </w:p>
          <w:p w14:paraId="654DCB11" w14:textId="77777777" w:rsidR="00C15EB6" w:rsidRPr="00C15EB6" w:rsidRDefault="00C15EB6" w:rsidP="00137210">
            <w:pPr>
              <w:rPr>
                <w:rFonts w:cstheme="minorHAnsi"/>
              </w:rPr>
            </w:pPr>
          </w:p>
          <w:p w14:paraId="74743665" w14:textId="77777777" w:rsidR="00C15EB6" w:rsidRDefault="00C15EB6" w:rsidP="00137210">
            <w:pPr>
              <w:rPr>
                <w:rFonts w:cstheme="minorHAnsi"/>
              </w:rPr>
            </w:pPr>
          </w:p>
          <w:p w14:paraId="31E011E8" w14:textId="77777777" w:rsidR="0019582C" w:rsidRPr="00C15EB6" w:rsidRDefault="0019582C" w:rsidP="00137210">
            <w:pPr>
              <w:rPr>
                <w:rFonts w:cstheme="minorHAnsi"/>
              </w:rPr>
            </w:pPr>
          </w:p>
          <w:p w14:paraId="2957BE20" w14:textId="77777777" w:rsidR="00C15EB6" w:rsidRPr="00C15EB6" w:rsidRDefault="00C15EB6" w:rsidP="00137210">
            <w:pPr>
              <w:spacing w:after="240"/>
              <w:jc w:val="center"/>
              <w:rPr>
                <w:rFonts w:cstheme="minorHAnsi"/>
              </w:rPr>
            </w:pPr>
            <w:r w:rsidRPr="00C15EB6">
              <w:rPr>
                <w:rFonts w:cstheme="minorHAnsi"/>
              </w:rPr>
              <w:t>…………………………………………………</w:t>
            </w:r>
          </w:p>
          <w:p w14:paraId="262587CD" w14:textId="45ED3C2B" w:rsidR="00C15EB6" w:rsidRPr="008C3F76" w:rsidRDefault="00C15EB6" w:rsidP="00137210">
            <w:pPr>
              <w:pStyle w:val="Default"/>
              <w:jc w:val="center"/>
              <w:rPr>
                <w:rFonts w:asciiTheme="minorHAnsi" w:hAnsiTheme="minorHAnsi" w:cstheme="minorHAnsi"/>
                <w:sz w:val="22"/>
                <w:szCs w:val="22"/>
              </w:rPr>
            </w:pPr>
            <w:r w:rsidRPr="008C3F76">
              <w:rPr>
                <w:rFonts w:asciiTheme="minorHAnsi" w:hAnsiTheme="minorHAnsi" w:cstheme="minorHAnsi"/>
                <w:b/>
                <w:bCs/>
                <w:sz w:val="22"/>
                <w:szCs w:val="22"/>
              </w:rPr>
              <w:t xml:space="preserve">Ing. Tomáš Novotný </w:t>
            </w:r>
          </w:p>
          <w:p w14:paraId="08D78377" w14:textId="30405409" w:rsidR="00C15EB6" w:rsidRPr="008C3F76" w:rsidRDefault="00C15EB6" w:rsidP="00137210">
            <w:pPr>
              <w:pStyle w:val="Default"/>
              <w:jc w:val="center"/>
              <w:rPr>
                <w:rFonts w:asciiTheme="minorHAnsi" w:hAnsiTheme="minorHAnsi" w:cstheme="minorHAnsi"/>
                <w:sz w:val="22"/>
                <w:szCs w:val="22"/>
              </w:rPr>
            </w:pPr>
            <w:r w:rsidRPr="008C3F76">
              <w:rPr>
                <w:rFonts w:asciiTheme="minorHAnsi" w:hAnsiTheme="minorHAnsi" w:cstheme="minorHAnsi"/>
                <w:sz w:val="22"/>
                <w:szCs w:val="22"/>
              </w:rPr>
              <w:t>místopředseda představenstva</w:t>
            </w:r>
          </w:p>
          <w:p w14:paraId="4EDB245A" w14:textId="77777777" w:rsidR="00C15EB6" w:rsidRPr="00C15EB6" w:rsidRDefault="00C15EB6" w:rsidP="00137210">
            <w:pPr>
              <w:jc w:val="center"/>
              <w:rPr>
                <w:rFonts w:cstheme="minorHAnsi"/>
              </w:rPr>
            </w:pPr>
            <w:r w:rsidRPr="00C15EB6">
              <w:rPr>
                <w:rFonts w:cstheme="minorHAnsi"/>
              </w:rPr>
              <w:t>Technologie hlavního města Prahy, a.s.</w:t>
            </w:r>
          </w:p>
        </w:tc>
        <w:tc>
          <w:tcPr>
            <w:tcW w:w="4531" w:type="dxa"/>
          </w:tcPr>
          <w:p w14:paraId="480E6C68" w14:textId="77777777" w:rsidR="00C15EB6" w:rsidRPr="00C15EB6" w:rsidRDefault="00C15EB6" w:rsidP="00A936F9">
            <w:pPr>
              <w:ind w:firstLine="327"/>
              <w:rPr>
                <w:rFonts w:cstheme="minorHAnsi"/>
              </w:rPr>
            </w:pPr>
            <w:r w:rsidRPr="00C15EB6">
              <w:rPr>
                <w:rFonts w:cstheme="minorHAnsi"/>
              </w:rPr>
              <w:t xml:space="preserve">V Praze dne </w:t>
            </w:r>
          </w:p>
          <w:p w14:paraId="6C61B835" w14:textId="77777777" w:rsidR="00C15EB6" w:rsidRPr="00C15EB6" w:rsidRDefault="00C15EB6" w:rsidP="00A936F9">
            <w:pPr>
              <w:ind w:firstLine="327"/>
              <w:rPr>
                <w:rFonts w:cstheme="minorHAnsi"/>
              </w:rPr>
            </w:pPr>
          </w:p>
          <w:p w14:paraId="7BE4AEB4" w14:textId="77777777" w:rsidR="00C15EB6" w:rsidRPr="00C15EB6" w:rsidRDefault="00C15EB6" w:rsidP="00A936F9">
            <w:pPr>
              <w:ind w:firstLine="327"/>
              <w:rPr>
                <w:rFonts w:cstheme="minorHAnsi"/>
              </w:rPr>
            </w:pPr>
          </w:p>
          <w:p w14:paraId="0F0F2D80" w14:textId="77777777" w:rsidR="00C15EB6" w:rsidRPr="00C15EB6" w:rsidRDefault="00C15EB6" w:rsidP="00A936F9">
            <w:pPr>
              <w:ind w:firstLine="327"/>
              <w:rPr>
                <w:rFonts w:cstheme="minorHAnsi"/>
              </w:rPr>
            </w:pPr>
          </w:p>
          <w:p w14:paraId="54512F96" w14:textId="77777777" w:rsidR="00C15EB6" w:rsidRPr="00C15EB6" w:rsidRDefault="00C15EB6" w:rsidP="00A936F9">
            <w:pPr>
              <w:ind w:firstLine="327"/>
              <w:rPr>
                <w:rFonts w:cstheme="minorHAnsi"/>
              </w:rPr>
            </w:pPr>
          </w:p>
          <w:p w14:paraId="499B6E26" w14:textId="608F8558" w:rsidR="00C15EB6" w:rsidRPr="00C15EB6" w:rsidRDefault="00C15EB6" w:rsidP="00A936F9">
            <w:pPr>
              <w:spacing w:after="240"/>
              <w:ind w:firstLine="327"/>
              <w:rPr>
                <w:rFonts w:cstheme="minorHAnsi"/>
              </w:rPr>
            </w:pPr>
            <w:r w:rsidRPr="00C15EB6">
              <w:rPr>
                <w:rFonts w:cstheme="minorHAnsi"/>
              </w:rPr>
              <w:t>……………………………………………………</w:t>
            </w:r>
            <w:r w:rsidR="00A936F9">
              <w:rPr>
                <w:rFonts w:cstheme="minorHAnsi"/>
              </w:rPr>
              <w:t>…………..</w:t>
            </w:r>
          </w:p>
          <w:p w14:paraId="6ADD8DC8" w14:textId="77777777" w:rsidR="00C15EB6" w:rsidRPr="00C15EB6" w:rsidRDefault="00C15EB6" w:rsidP="00A936F9">
            <w:pPr>
              <w:ind w:firstLine="327"/>
              <w:jc w:val="center"/>
              <w:rPr>
                <w:rFonts w:cstheme="minorHAnsi"/>
                <w:b/>
                <w:bCs/>
              </w:rPr>
            </w:pPr>
            <w:r w:rsidRPr="00C15EB6">
              <w:rPr>
                <w:rFonts w:cstheme="minorHAnsi"/>
                <w:b/>
                <w:bCs/>
              </w:rPr>
              <w:t>Ing. Daniel Vlček</w:t>
            </w:r>
          </w:p>
          <w:p w14:paraId="509513A9" w14:textId="77777777" w:rsidR="00C15EB6" w:rsidRPr="00C15EB6" w:rsidRDefault="00C15EB6" w:rsidP="00A936F9">
            <w:pPr>
              <w:ind w:firstLine="327"/>
              <w:jc w:val="center"/>
              <w:rPr>
                <w:rFonts w:cstheme="minorHAnsi"/>
              </w:rPr>
            </w:pPr>
            <w:r w:rsidRPr="00C15EB6">
              <w:rPr>
                <w:rFonts w:cstheme="minorHAnsi"/>
              </w:rPr>
              <w:t>jednatel společnosti</w:t>
            </w:r>
          </w:p>
          <w:p w14:paraId="02202AB7" w14:textId="77777777" w:rsidR="00C15EB6" w:rsidRPr="00C15EB6" w:rsidRDefault="00C15EB6" w:rsidP="00A936F9">
            <w:pPr>
              <w:ind w:firstLine="327"/>
              <w:jc w:val="center"/>
              <w:rPr>
                <w:rFonts w:cstheme="minorHAnsi"/>
              </w:rPr>
            </w:pPr>
            <w:r w:rsidRPr="00C15EB6">
              <w:rPr>
                <w:rFonts w:cstheme="minorHAnsi"/>
              </w:rPr>
              <w:t>EnerSolutio s.r.o.</w:t>
            </w:r>
          </w:p>
        </w:tc>
      </w:tr>
      <w:tr w:rsidR="00C15EB6" w:rsidRPr="00C15EB6" w14:paraId="366CAECE" w14:textId="77777777" w:rsidTr="00137210">
        <w:tc>
          <w:tcPr>
            <w:tcW w:w="4531" w:type="dxa"/>
          </w:tcPr>
          <w:p w14:paraId="2F3CD330" w14:textId="77777777" w:rsidR="00C15EB6" w:rsidRPr="00C15EB6" w:rsidRDefault="00C15EB6" w:rsidP="00137210">
            <w:pPr>
              <w:jc w:val="center"/>
              <w:rPr>
                <w:rFonts w:cstheme="minorHAnsi"/>
              </w:rPr>
            </w:pPr>
          </w:p>
          <w:p w14:paraId="4B7E949B" w14:textId="77777777" w:rsidR="00C15EB6" w:rsidRPr="00C15EB6" w:rsidRDefault="00C15EB6" w:rsidP="00137210">
            <w:pPr>
              <w:jc w:val="center"/>
              <w:rPr>
                <w:rFonts w:cstheme="minorHAnsi"/>
              </w:rPr>
            </w:pPr>
          </w:p>
          <w:p w14:paraId="5217D2AD" w14:textId="77777777" w:rsidR="00C15EB6" w:rsidRDefault="00C15EB6" w:rsidP="00137210">
            <w:pPr>
              <w:jc w:val="center"/>
              <w:rPr>
                <w:rFonts w:cstheme="minorHAnsi"/>
              </w:rPr>
            </w:pPr>
          </w:p>
          <w:p w14:paraId="05425615" w14:textId="77777777" w:rsidR="00A936F9" w:rsidRDefault="00A936F9" w:rsidP="00137210">
            <w:pPr>
              <w:jc w:val="center"/>
              <w:rPr>
                <w:rFonts w:cstheme="minorHAnsi"/>
              </w:rPr>
            </w:pPr>
          </w:p>
          <w:p w14:paraId="01F0644B" w14:textId="77777777" w:rsidR="00A936F9" w:rsidRPr="00C15EB6" w:rsidRDefault="00A936F9" w:rsidP="0019582C">
            <w:pPr>
              <w:rPr>
                <w:rFonts w:cstheme="minorHAnsi"/>
              </w:rPr>
            </w:pPr>
          </w:p>
          <w:p w14:paraId="76FA24EA" w14:textId="77777777" w:rsidR="00C15EB6" w:rsidRPr="00C15EB6" w:rsidRDefault="00C15EB6" w:rsidP="00137210">
            <w:pPr>
              <w:jc w:val="center"/>
              <w:rPr>
                <w:rFonts w:cstheme="minorHAnsi"/>
              </w:rPr>
            </w:pPr>
          </w:p>
          <w:p w14:paraId="75671EB0" w14:textId="77777777" w:rsidR="00C15EB6" w:rsidRPr="00C15EB6" w:rsidRDefault="00C15EB6" w:rsidP="00137210">
            <w:pPr>
              <w:spacing w:after="240"/>
              <w:jc w:val="center"/>
              <w:rPr>
                <w:rFonts w:cstheme="minorHAnsi"/>
              </w:rPr>
            </w:pPr>
            <w:r w:rsidRPr="00C15EB6">
              <w:rPr>
                <w:rFonts w:cstheme="minorHAnsi"/>
              </w:rPr>
              <w:t>…………………………………………………</w:t>
            </w:r>
          </w:p>
          <w:p w14:paraId="1011458B" w14:textId="5521AFD7" w:rsidR="00C15EB6" w:rsidRPr="008C3F76" w:rsidRDefault="00C15EB6" w:rsidP="00137210">
            <w:pPr>
              <w:pStyle w:val="Default"/>
              <w:jc w:val="center"/>
              <w:rPr>
                <w:rFonts w:asciiTheme="minorHAnsi" w:hAnsiTheme="minorHAnsi" w:cstheme="minorHAnsi"/>
                <w:sz w:val="22"/>
                <w:szCs w:val="22"/>
              </w:rPr>
            </w:pPr>
            <w:r w:rsidRPr="008C3F76">
              <w:rPr>
                <w:rFonts w:asciiTheme="minorHAnsi" w:hAnsiTheme="minorHAnsi" w:cstheme="minorHAnsi"/>
                <w:b/>
                <w:bCs/>
                <w:sz w:val="22"/>
                <w:szCs w:val="22"/>
              </w:rPr>
              <w:t>Michal Fišer, MBA</w:t>
            </w:r>
          </w:p>
          <w:p w14:paraId="01A5A5DD" w14:textId="459155FF" w:rsidR="00C15EB6" w:rsidRPr="008C3F76" w:rsidRDefault="00C15EB6" w:rsidP="00137210">
            <w:pPr>
              <w:pStyle w:val="Default"/>
              <w:jc w:val="center"/>
              <w:rPr>
                <w:rFonts w:asciiTheme="minorHAnsi" w:hAnsiTheme="minorHAnsi" w:cstheme="minorHAnsi"/>
                <w:sz w:val="22"/>
                <w:szCs w:val="22"/>
              </w:rPr>
            </w:pPr>
            <w:r w:rsidRPr="008C3F76">
              <w:rPr>
                <w:rFonts w:asciiTheme="minorHAnsi" w:hAnsiTheme="minorHAnsi" w:cstheme="minorHAnsi"/>
                <w:sz w:val="22"/>
                <w:szCs w:val="22"/>
              </w:rPr>
              <w:t>člen představenstva</w:t>
            </w:r>
          </w:p>
          <w:p w14:paraId="4AD8C3E2" w14:textId="77777777" w:rsidR="00C15EB6" w:rsidRPr="00C15EB6" w:rsidRDefault="00C15EB6" w:rsidP="00137210">
            <w:pPr>
              <w:jc w:val="center"/>
              <w:rPr>
                <w:rFonts w:cstheme="minorHAnsi"/>
              </w:rPr>
            </w:pPr>
            <w:r w:rsidRPr="00C15EB6">
              <w:rPr>
                <w:rFonts w:cstheme="minorHAnsi"/>
              </w:rPr>
              <w:t>Technologie hlavního města Prahy, a.s.</w:t>
            </w:r>
          </w:p>
        </w:tc>
        <w:tc>
          <w:tcPr>
            <w:tcW w:w="4531" w:type="dxa"/>
          </w:tcPr>
          <w:p w14:paraId="78DFA292" w14:textId="77777777" w:rsidR="00C15EB6" w:rsidRPr="00C15EB6" w:rsidRDefault="00C15EB6" w:rsidP="00A936F9">
            <w:pPr>
              <w:ind w:firstLine="327"/>
              <w:rPr>
                <w:rFonts w:cstheme="minorHAnsi"/>
              </w:rPr>
            </w:pPr>
          </w:p>
        </w:tc>
      </w:tr>
    </w:tbl>
    <w:p w14:paraId="5EA24A10" w14:textId="77777777" w:rsidR="00E00B85" w:rsidRPr="00C15EB6" w:rsidRDefault="00E00B85" w:rsidP="00007757">
      <w:pPr>
        <w:rPr>
          <w:rFonts w:cstheme="minorHAnsi"/>
        </w:rPr>
      </w:pPr>
    </w:p>
    <w:sectPr w:rsidR="00E00B85" w:rsidRPr="00C15E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1C2E" w14:textId="77777777" w:rsidR="00B65EEE" w:rsidRDefault="00B65EEE" w:rsidP="001E1BDD">
      <w:pPr>
        <w:spacing w:after="0" w:line="240" w:lineRule="auto"/>
      </w:pPr>
      <w:r>
        <w:separator/>
      </w:r>
    </w:p>
  </w:endnote>
  <w:endnote w:type="continuationSeparator" w:id="0">
    <w:p w14:paraId="4CD63B6B" w14:textId="77777777" w:rsidR="00B65EEE" w:rsidRDefault="00B65EEE" w:rsidP="001E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289341"/>
      <w:docPartObj>
        <w:docPartGallery w:val="Page Numbers (Bottom of Page)"/>
        <w:docPartUnique/>
      </w:docPartObj>
    </w:sdtPr>
    <w:sdtEndPr/>
    <w:sdtContent>
      <w:p w14:paraId="687D2082" w14:textId="291ADC39" w:rsidR="001E1BDD" w:rsidRDefault="001E1BDD">
        <w:pPr>
          <w:pStyle w:val="Zpat"/>
          <w:jc w:val="center"/>
        </w:pPr>
        <w:r>
          <w:fldChar w:fldCharType="begin"/>
        </w:r>
        <w:r>
          <w:instrText>PAGE   \* MERGEFORMAT</w:instrText>
        </w:r>
        <w:r>
          <w:fldChar w:fldCharType="separate"/>
        </w:r>
        <w:r>
          <w:t>2</w:t>
        </w:r>
        <w:r>
          <w:fldChar w:fldCharType="end"/>
        </w:r>
      </w:p>
    </w:sdtContent>
  </w:sdt>
  <w:p w14:paraId="353D2576" w14:textId="77777777" w:rsidR="001E1BDD" w:rsidRDefault="001E1B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582A" w14:textId="77777777" w:rsidR="00B65EEE" w:rsidRDefault="00B65EEE" w:rsidP="001E1BDD">
      <w:pPr>
        <w:spacing w:after="0" w:line="240" w:lineRule="auto"/>
      </w:pPr>
      <w:r>
        <w:separator/>
      </w:r>
    </w:p>
  </w:footnote>
  <w:footnote w:type="continuationSeparator" w:id="0">
    <w:p w14:paraId="4F4BDC8B" w14:textId="77777777" w:rsidR="00B65EEE" w:rsidRDefault="00B65EEE" w:rsidP="001E1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3277"/>
    <w:multiLevelType w:val="hybridMultilevel"/>
    <w:tmpl w:val="F79A8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665EE4"/>
    <w:multiLevelType w:val="hybridMultilevel"/>
    <w:tmpl w:val="7B2809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F17C8A"/>
    <w:multiLevelType w:val="hybridMultilevel"/>
    <w:tmpl w:val="F9C0F0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DA0F69"/>
    <w:multiLevelType w:val="hybridMultilevel"/>
    <w:tmpl w:val="F79A8B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6C0CE8"/>
    <w:multiLevelType w:val="hybridMultilevel"/>
    <w:tmpl w:val="271A898A"/>
    <w:lvl w:ilvl="0" w:tplc="B75249EA">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5" w15:restartNumberingAfterBreak="0">
    <w:nsid w:val="6DF64915"/>
    <w:multiLevelType w:val="hybridMultilevel"/>
    <w:tmpl w:val="295AC11A"/>
    <w:lvl w:ilvl="0" w:tplc="368ADDC4">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844327529">
    <w:abstractNumId w:val="0"/>
  </w:num>
  <w:num w:numId="2" w16cid:durableId="427890626">
    <w:abstractNumId w:val="5"/>
  </w:num>
  <w:num w:numId="3" w16cid:durableId="242227861">
    <w:abstractNumId w:val="1"/>
  </w:num>
  <w:num w:numId="4" w16cid:durableId="623191483">
    <w:abstractNumId w:val="2"/>
  </w:num>
  <w:num w:numId="5" w16cid:durableId="1358849478">
    <w:abstractNumId w:val="3"/>
  </w:num>
  <w:num w:numId="6" w16cid:durableId="146053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2A"/>
    <w:rsid w:val="00007757"/>
    <w:rsid w:val="000B734C"/>
    <w:rsid w:val="000F15C7"/>
    <w:rsid w:val="00143313"/>
    <w:rsid w:val="0014761A"/>
    <w:rsid w:val="0017758A"/>
    <w:rsid w:val="001945FD"/>
    <w:rsid w:val="0019582C"/>
    <w:rsid w:val="001A5BC7"/>
    <w:rsid w:val="001C29F8"/>
    <w:rsid w:val="001D2E2F"/>
    <w:rsid w:val="001E1BDD"/>
    <w:rsid w:val="001E6489"/>
    <w:rsid w:val="002303A9"/>
    <w:rsid w:val="00274122"/>
    <w:rsid w:val="00282B72"/>
    <w:rsid w:val="002B3A52"/>
    <w:rsid w:val="003416FD"/>
    <w:rsid w:val="0036718F"/>
    <w:rsid w:val="003A4AB0"/>
    <w:rsid w:val="003F50D3"/>
    <w:rsid w:val="00456984"/>
    <w:rsid w:val="00545206"/>
    <w:rsid w:val="005513A6"/>
    <w:rsid w:val="005703BA"/>
    <w:rsid w:val="00576D2A"/>
    <w:rsid w:val="005C2F9C"/>
    <w:rsid w:val="005C4490"/>
    <w:rsid w:val="005E00AF"/>
    <w:rsid w:val="005E08CB"/>
    <w:rsid w:val="005E0D4A"/>
    <w:rsid w:val="006166FD"/>
    <w:rsid w:val="00621C1A"/>
    <w:rsid w:val="006F56A2"/>
    <w:rsid w:val="00724514"/>
    <w:rsid w:val="00740D8F"/>
    <w:rsid w:val="007C21D9"/>
    <w:rsid w:val="007E185D"/>
    <w:rsid w:val="007E29B9"/>
    <w:rsid w:val="00875DCA"/>
    <w:rsid w:val="008B54C6"/>
    <w:rsid w:val="008C3F76"/>
    <w:rsid w:val="008C6082"/>
    <w:rsid w:val="008E2C17"/>
    <w:rsid w:val="00963E16"/>
    <w:rsid w:val="009E739B"/>
    <w:rsid w:val="00A51577"/>
    <w:rsid w:val="00A936F9"/>
    <w:rsid w:val="00A97EBC"/>
    <w:rsid w:val="00AB2925"/>
    <w:rsid w:val="00B43FD4"/>
    <w:rsid w:val="00B65EEE"/>
    <w:rsid w:val="00C06E1A"/>
    <w:rsid w:val="00C15EB6"/>
    <w:rsid w:val="00C4067C"/>
    <w:rsid w:val="00C837FA"/>
    <w:rsid w:val="00C87F20"/>
    <w:rsid w:val="00CB4C2E"/>
    <w:rsid w:val="00D0314D"/>
    <w:rsid w:val="00D4490C"/>
    <w:rsid w:val="00D6244B"/>
    <w:rsid w:val="00D718EC"/>
    <w:rsid w:val="00D93A9B"/>
    <w:rsid w:val="00DB435C"/>
    <w:rsid w:val="00DB6E40"/>
    <w:rsid w:val="00DD0DB1"/>
    <w:rsid w:val="00DD7CBF"/>
    <w:rsid w:val="00E00B85"/>
    <w:rsid w:val="00E04448"/>
    <w:rsid w:val="00E2180A"/>
    <w:rsid w:val="00E27010"/>
    <w:rsid w:val="00E47B1F"/>
    <w:rsid w:val="00EC5266"/>
    <w:rsid w:val="00F0304C"/>
    <w:rsid w:val="00F13BC4"/>
    <w:rsid w:val="00F37D06"/>
    <w:rsid w:val="00F4024D"/>
    <w:rsid w:val="00F53B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838F"/>
  <w15:chartTrackingRefBased/>
  <w15:docId w15:val="{57BEC9E8-6F30-4B32-9C72-3B637096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uiPriority w:val="35"/>
    <w:unhideWhenUsed/>
    <w:qFormat/>
    <w:rsid w:val="00B43FD4"/>
    <w:pPr>
      <w:spacing w:after="200" w:line="240" w:lineRule="auto"/>
    </w:pPr>
    <w:rPr>
      <w:i/>
      <w:iCs/>
      <w:color w:val="0070C0"/>
      <w:sz w:val="18"/>
      <w:szCs w:val="18"/>
    </w:rPr>
  </w:style>
  <w:style w:type="table" w:styleId="Mkatabulky">
    <w:name w:val="Table Grid"/>
    <w:basedOn w:val="Normlntabulka"/>
    <w:uiPriority w:val="39"/>
    <w:rsid w:val="0057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76D2A"/>
    <w:pPr>
      <w:ind w:left="720"/>
      <w:contextualSpacing/>
    </w:pPr>
  </w:style>
  <w:style w:type="character" w:styleId="Hypertextovodkaz">
    <w:name w:val="Hyperlink"/>
    <w:basedOn w:val="Standardnpsmoodstavce"/>
    <w:uiPriority w:val="99"/>
    <w:unhideWhenUsed/>
    <w:rsid w:val="00576D2A"/>
    <w:rPr>
      <w:color w:val="0563C1" w:themeColor="hyperlink"/>
      <w:u w:val="single"/>
    </w:rPr>
  </w:style>
  <w:style w:type="character" w:styleId="Nevyeenzmnka">
    <w:name w:val="Unresolved Mention"/>
    <w:basedOn w:val="Standardnpsmoodstavce"/>
    <w:uiPriority w:val="99"/>
    <w:semiHidden/>
    <w:unhideWhenUsed/>
    <w:rsid w:val="00576D2A"/>
    <w:rPr>
      <w:color w:val="605E5C"/>
      <w:shd w:val="clear" w:color="auto" w:fill="E1DFDD"/>
    </w:rPr>
  </w:style>
  <w:style w:type="paragraph" w:customStyle="1" w:styleId="Default">
    <w:name w:val="Default"/>
    <w:rsid w:val="00143313"/>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1E1B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1BDD"/>
  </w:style>
  <w:style w:type="paragraph" w:styleId="Zpat">
    <w:name w:val="footer"/>
    <w:basedOn w:val="Normln"/>
    <w:link w:val="ZpatChar"/>
    <w:uiPriority w:val="99"/>
    <w:unhideWhenUsed/>
    <w:rsid w:val="001E1BDD"/>
    <w:pPr>
      <w:tabs>
        <w:tab w:val="center" w:pos="4536"/>
        <w:tab w:val="right" w:pos="9072"/>
      </w:tabs>
      <w:spacing w:after="0" w:line="240" w:lineRule="auto"/>
    </w:pPr>
  </w:style>
  <w:style w:type="character" w:customStyle="1" w:styleId="ZpatChar">
    <w:name w:val="Zápatí Char"/>
    <w:basedOn w:val="Standardnpsmoodstavce"/>
    <w:link w:val="Zpat"/>
    <w:uiPriority w:val="99"/>
    <w:rsid w:val="001E1BDD"/>
  </w:style>
  <w:style w:type="paragraph" w:styleId="Revize">
    <w:name w:val="Revision"/>
    <w:hidden/>
    <w:uiPriority w:val="99"/>
    <w:semiHidden/>
    <w:rsid w:val="00A51577"/>
    <w:pPr>
      <w:spacing w:after="0" w:line="240" w:lineRule="auto"/>
    </w:pPr>
  </w:style>
  <w:style w:type="paragraph" w:customStyle="1" w:styleId="RLNzevsmlouvy">
    <w:name w:val="RL Název smlouvy"/>
    <w:basedOn w:val="Normln"/>
    <w:next w:val="Normln"/>
    <w:rsid w:val="008C3F76"/>
    <w:pPr>
      <w:spacing w:before="120" w:after="1200" w:line="240" w:lineRule="auto"/>
      <w:jc w:val="center"/>
    </w:pPr>
    <w:rPr>
      <w:rFonts w:ascii="Arial" w:eastAsia="Times New Roman" w:hAnsi="Arial" w:cs="Arial"/>
      <w:b/>
      <w:bCs/>
      <w:caps/>
      <w:spacing w:val="40"/>
      <w:kern w:val="28"/>
      <w:sz w:val="32"/>
      <w:szCs w:val="32"/>
      <w:lang w:eastAsia="cs-CZ"/>
    </w:rPr>
  </w:style>
  <w:style w:type="character" w:styleId="Odkaznakoment">
    <w:name w:val="annotation reference"/>
    <w:basedOn w:val="Standardnpsmoodstavce"/>
    <w:uiPriority w:val="99"/>
    <w:semiHidden/>
    <w:unhideWhenUsed/>
    <w:rsid w:val="005E08CB"/>
    <w:rPr>
      <w:sz w:val="16"/>
      <w:szCs w:val="16"/>
    </w:rPr>
  </w:style>
  <w:style w:type="paragraph" w:styleId="Textkomente">
    <w:name w:val="annotation text"/>
    <w:basedOn w:val="Normln"/>
    <w:link w:val="TextkomenteChar"/>
    <w:uiPriority w:val="99"/>
    <w:unhideWhenUsed/>
    <w:rsid w:val="005E08CB"/>
    <w:pPr>
      <w:spacing w:line="240" w:lineRule="auto"/>
    </w:pPr>
    <w:rPr>
      <w:sz w:val="20"/>
      <w:szCs w:val="20"/>
    </w:rPr>
  </w:style>
  <w:style w:type="character" w:customStyle="1" w:styleId="TextkomenteChar">
    <w:name w:val="Text komentáře Char"/>
    <w:basedOn w:val="Standardnpsmoodstavce"/>
    <w:link w:val="Textkomente"/>
    <w:uiPriority w:val="99"/>
    <w:rsid w:val="005E08CB"/>
    <w:rPr>
      <w:sz w:val="20"/>
      <w:szCs w:val="20"/>
    </w:rPr>
  </w:style>
  <w:style w:type="paragraph" w:styleId="Pedmtkomente">
    <w:name w:val="annotation subject"/>
    <w:basedOn w:val="Textkomente"/>
    <w:next w:val="Textkomente"/>
    <w:link w:val="PedmtkomenteChar"/>
    <w:uiPriority w:val="99"/>
    <w:semiHidden/>
    <w:unhideWhenUsed/>
    <w:rsid w:val="005E08CB"/>
    <w:rPr>
      <w:b/>
      <w:bCs/>
    </w:rPr>
  </w:style>
  <w:style w:type="character" w:customStyle="1" w:styleId="PedmtkomenteChar">
    <w:name w:val="Předmět komentáře Char"/>
    <w:basedOn w:val="TextkomenteChar"/>
    <w:link w:val="Pedmtkomente"/>
    <w:uiPriority w:val="99"/>
    <w:semiHidden/>
    <w:rsid w:val="005E08CB"/>
    <w:rPr>
      <w:b/>
      <w:bCs/>
      <w:sz w:val="20"/>
      <w:szCs w:val="20"/>
    </w:rPr>
  </w:style>
  <w:style w:type="paragraph" w:styleId="Normlnweb">
    <w:name w:val="Normal (Web)"/>
    <w:basedOn w:val="Normln"/>
    <w:uiPriority w:val="99"/>
    <w:semiHidden/>
    <w:unhideWhenUsed/>
    <w:rsid w:val="0054520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3127">
      <w:bodyDiv w:val="1"/>
      <w:marLeft w:val="0"/>
      <w:marRight w:val="0"/>
      <w:marTop w:val="0"/>
      <w:marBottom w:val="0"/>
      <w:divBdr>
        <w:top w:val="none" w:sz="0" w:space="0" w:color="auto"/>
        <w:left w:val="none" w:sz="0" w:space="0" w:color="auto"/>
        <w:bottom w:val="none" w:sz="0" w:space="0" w:color="auto"/>
        <w:right w:val="none" w:sz="0" w:space="0" w:color="auto"/>
      </w:divBdr>
    </w:div>
    <w:div w:id="570848486">
      <w:bodyDiv w:val="1"/>
      <w:marLeft w:val="0"/>
      <w:marRight w:val="0"/>
      <w:marTop w:val="0"/>
      <w:marBottom w:val="0"/>
      <w:divBdr>
        <w:top w:val="none" w:sz="0" w:space="0" w:color="auto"/>
        <w:left w:val="none" w:sz="0" w:space="0" w:color="auto"/>
        <w:bottom w:val="none" w:sz="0" w:space="0" w:color="auto"/>
        <w:right w:val="none" w:sz="0" w:space="0" w:color="auto"/>
      </w:divBdr>
    </w:div>
    <w:div w:id="1133525522">
      <w:bodyDiv w:val="1"/>
      <w:marLeft w:val="0"/>
      <w:marRight w:val="0"/>
      <w:marTop w:val="0"/>
      <w:marBottom w:val="0"/>
      <w:divBdr>
        <w:top w:val="none" w:sz="0" w:space="0" w:color="auto"/>
        <w:left w:val="none" w:sz="0" w:space="0" w:color="auto"/>
        <w:bottom w:val="none" w:sz="0" w:space="0" w:color="auto"/>
        <w:right w:val="none" w:sz="0" w:space="0" w:color="auto"/>
      </w:divBdr>
    </w:div>
    <w:div w:id="1752697187">
      <w:bodyDiv w:val="1"/>
      <w:marLeft w:val="0"/>
      <w:marRight w:val="0"/>
      <w:marTop w:val="0"/>
      <w:marBottom w:val="0"/>
      <w:divBdr>
        <w:top w:val="none" w:sz="0" w:space="0" w:color="auto"/>
        <w:left w:val="none" w:sz="0" w:space="0" w:color="auto"/>
        <w:bottom w:val="none" w:sz="0" w:space="0" w:color="auto"/>
        <w:right w:val="none" w:sz="0" w:space="0" w:color="auto"/>
      </w:divBdr>
    </w:div>
    <w:div w:id="19058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7269</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Prouza, Mikulas</dc:creator>
  <cp:keywords/>
  <dc:description/>
  <cp:lastModifiedBy>Vítová Petra</cp:lastModifiedBy>
  <cp:revision>2</cp:revision>
  <cp:lastPrinted>2023-10-31T09:10:00Z</cp:lastPrinted>
  <dcterms:created xsi:type="dcterms:W3CDTF">2023-11-21T11:51:00Z</dcterms:created>
  <dcterms:modified xsi:type="dcterms:W3CDTF">2023-11-21T11:51:00Z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2023-11-08T10:16:29Z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2ff01dad-b8d7-4944-9c9a-776798295c8b</vt:lpwstr>
  </property>
  <property fmtid="{D5CDD505-2E9C-101B-9397-08002B2CF9AE}" pid="8" name="MSIP_Label_53b2c928-728b-4698-a3fd-c5d03555aa71_ContentBits">
    <vt:lpwstr>0</vt:lpwstr>
  </property>
</Properties>
</file>