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99" w:rsidRDefault="0096505E">
      <w:pPr>
        <w:pStyle w:val="Nadpis40"/>
        <w:framePr w:wrap="none" w:vAnchor="page" w:hAnchor="page" w:x="1357" w:y="1163"/>
        <w:shd w:val="clear" w:color="auto" w:fill="auto"/>
        <w:spacing w:after="0" w:line="240" w:lineRule="exact"/>
        <w:ind w:left="6440"/>
      </w:pPr>
      <w:bookmarkStart w:id="0" w:name="bookmark0"/>
      <w:r>
        <w:t>č</w:t>
      </w:r>
      <w:r w:rsidR="00D05139">
        <w:t>.j.: NG/1527/2016</w:t>
      </w:r>
      <w:bookmarkEnd w:id="0"/>
    </w:p>
    <w:p w:rsidR="00F52A99" w:rsidRDefault="00D05139">
      <w:pPr>
        <w:pStyle w:val="Nadpis40"/>
        <w:framePr w:wrap="none" w:vAnchor="page" w:hAnchor="page" w:x="1357" w:y="1661"/>
        <w:shd w:val="clear" w:color="auto" w:fill="auto"/>
        <w:spacing w:after="0" w:line="240" w:lineRule="exact"/>
      </w:pPr>
      <w:bookmarkStart w:id="1" w:name="bookmark1"/>
      <w:r>
        <w:t>Smluvní strany:</w:t>
      </w:r>
      <w:bookmarkEnd w:id="1"/>
    </w:p>
    <w:p w:rsidR="00F52A99" w:rsidRDefault="00D05139">
      <w:pPr>
        <w:pStyle w:val="Nadpis40"/>
        <w:framePr w:w="9151" w:h="5008" w:hRule="exact" w:wrap="none" w:vAnchor="page" w:hAnchor="page" w:x="1357" w:y="2468"/>
        <w:shd w:val="clear" w:color="auto" w:fill="auto"/>
        <w:spacing w:after="0" w:line="274" w:lineRule="exact"/>
      </w:pPr>
      <w:bookmarkStart w:id="2" w:name="bookmark2"/>
      <w:r>
        <w:t>Národní galerie v Praze,</w:t>
      </w:r>
      <w:bookmarkEnd w:id="2"/>
    </w:p>
    <w:p w:rsidR="00F52A99" w:rsidRDefault="00D05139">
      <w:pPr>
        <w:pStyle w:val="Zkladntext20"/>
        <w:framePr w:w="9151" w:h="5008" w:hRule="exact" w:wrap="none" w:vAnchor="page" w:hAnchor="page" w:x="1357" w:y="2468"/>
        <w:shd w:val="clear" w:color="auto" w:fill="auto"/>
      </w:pPr>
      <w:r>
        <w:t>se sídlem v Praze 1, Staroměstské nám. 12, PSČ 110 15,</w:t>
      </w:r>
    </w:p>
    <w:p w:rsidR="0096505E" w:rsidRDefault="00D05139" w:rsidP="0096505E">
      <w:pPr>
        <w:pStyle w:val="Zkladntext20"/>
        <w:framePr w:w="9151" w:h="5008" w:hRule="exact" w:wrap="none" w:vAnchor="page" w:hAnchor="page" w:x="1357" w:y="2468"/>
        <w:shd w:val="clear" w:color="auto" w:fill="auto"/>
        <w:spacing w:line="240" w:lineRule="auto"/>
        <w:ind w:right="482"/>
      </w:pPr>
      <w:r>
        <w:t xml:space="preserve">IČO: 00023281, DIČ: CZ00023281, příspěvková organizace, </w:t>
      </w:r>
    </w:p>
    <w:p w:rsidR="0096505E" w:rsidRDefault="00D05139" w:rsidP="0096505E">
      <w:pPr>
        <w:pStyle w:val="Zkladntext20"/>
        <w:framePr w:w="9151" w:h="5008" w:hRule="exact" w:wrap="none" w:vAnchor="page" w:hAnchor="page" w:x="1357" w:y="2468"/>
        <w:shd w:val="clear" w:color="auto" w:fill="auto"/>
        <w:spacing w:line="240" w:lineRule="auto"/>
        <w:ind w:right="482"/>
      </w:pPr>
      <w:r>
        <w:t xml:space="preserve">bankovní spojení: KB Praha 1, č. ú.: 8839011/0100, </w:t>
      </w:r>
    </w:p>
    <w:p w:rsidR="0096505E" w:rsidRDefault="00D05139" w:rsidP="0096505E">
      <w:pPr>
        <w:pStyle w:val="Zkladntext20"/>
        <w:framePr w:w="9151" w:h="5008" w:hRule="exact" w:wrap="none" w:vAnchor="page" w:hAnchor="page" w:x="1357" w:y="2468"/>
        <w:shd w:val="clear" w:color="auto" w:fill="auto"/>
        <w:spacing w:line="240" w:lineRule="auto"/>
        <w:ind w:right="482"/>
      </w:pPr>
      <w:r>
        <w:t xml:space="preserve">zastoupená doc. Dr. et Ing. Jiřím Fajtem, Ph.D., generálním ředitelem </w:t>
      </w:r>
    </w:p>
    <w:p w:rsidR="00F52A99" w:rsidRDefault="00D05139" w:rsidP="0096505E">
      <w:pPr>
        <w:pStyle w:val="Zkladntext20"/>
        <w:framePr w:w="9151" w:h="5008" w:hRule="exact" w:wrap="none" w:vAnchor="page" w:hAnchor="page" w:x="1357" w:y="2468"/>
        <w:shd w:val="clear" w:color="auto" w:fill="auto"/>
        <w:spacing w:line="240" w:lineRule="auto"/>
        <w:ind w:right="482"/>
        <w:rPr>
          <w:rStyle w:val="Zkladntext2Tun"/>
        </w:rPr>
      </w:pPr>
      <w:r>
        <w:t xml:space="preserve">na straně jedné (dále jen </w:t>
      </w:r>
      <w:r>
        <w:rPr>
          <w:rStyle w:val="Zkladntext2Tun"/>
        </w:rPr>
        <w:t>„pronajímatel“)</w:t>
      </w:r>
    </w:p>
    <w:p w:rsidR="0096505E" w:rsidRDefault="0096505E" w:rsidP="0096505E">
      <w:pPr>
        <w:pStyle w:val="Zkladntext20"/>
        <w:framePr w:w="9151" w:h="5008" w:hRule="exact" w:wrap="none" w:vAnchor="page" w:hAnchor="page" w:x="1357" w:y="2468"/>
        <w:shd w:val="clear" w:color="auto" w:fill="auto"/>
        <w:spacing w:line="240" w:lineRule="auto"/>
        <w:ind w:right="482"/>
      </w:pPr>
    </w:p>
    <w:p w:rsidR="00F52A99" w:rsidRDefault="00D05139">
      <w:pPr>
        <w:pStyle w:val="Nadpis40"/>
        <w:framePr w:w="9151" w:h="5008" w:hRule="exact" w:wrap="none" w:vAnchor="page" w:hAnchor="page" w:x="1357" w:y="2468"/>
        <w:shd w:val="clear" w:color="auto" w:fill="auto"/>
        <w:spacing w:after="262" w:line="240" w:lineRule="exact"/>
      </w:pPr>
      <w:bookmarkStart w:id="3" w:name="bookmark3"/>
      <w:r>
        <w:t>a</w:t>
      </w:r>
      <w:bookmarkEnd w:id="3"/>
    </w:p>
    <w:p w:rsidR="00F52A99" w:rsidRDefault="00D05139">
      <w:pPr>
        <w:pStyle w:val="Nadpis40"/>
        <w:framePr w:w="9151" w:h="5008" w:hRule="exact" w:wrap="none" w:vAnchor="page" w:hAnchor="page" w:x="1357" w:y="2468"/>
        <w:shd w:val="clear" w:color="auto" w:fill="auto"/>
        <w:spacing w:after="0" w:line="274" w:lineRule="exact"/>
      </w:pPr>
      <w:bookmarkStart w:id="4" w:name="bookmark4"/>
      <w:r>
        <w:t>GOLEM, spol. s r.o.</w:t>
      </w:r>
      <w:bookmarkEnd w:id="4"/>
    </w:p>
    <w:p w:rsidR="0096505E" w:rsidRDefault="00D05139">
      <w:pPr>
        <w:pStyle w:val="Zkladntext20"/>
        <w:framePr w:w="9151" w:h="5008" w:hRule="exact" w:wrap="none" w:vAnchor="page" w:hAnchor="page" w:x="1357" w:y="2468"/>
        <w:shd w:val="clear" w:color="auto" w:fill="auto"/>
      </w:pPr>
      <w:r>
        <w:t>se sídlem: Na Ú</w:t>
      </w:r>
      <w:r>
        <w:t xml:space="preserve">bočí 1167, 180 00 Praha 8 </w:t>
      </w:r>
    </w:p>
    <w:p w:rsidR="00F52A99" w:rsidRDefault="00D05139">
      <w:pPr>
        <w:pStyle w:val="Zkladntext20"/>
        <w:framePr w:w="9151" w:h="5008" w:hRule="exact" w:wrap="none" w:vAnchor="page" w:hAnchor="page" w:x="1357" w:y="2468"/>
        <w:shd w:val="clear" w:color="auto" w:fill="auto"/>
      </w:pPr>
      <w:r>
        <w:t>zastoupená: Jindřichem Chytráčkem, jednatelem</w:t>
      </w:r>
    </w:p>
    <w:p w:rsidR="00F52A99" w:rsidRDefault="00D05139">
      <w:pPr>
        <w:pStyle w:val="Zkladntext20"/>
        <w:framePr w:w="9151" w:h="5008" w:hRule="exact" w:wrap="none" w:vAnchor="page" w:hAnchor="page" w:x="1357" w:y="2468"/>
        <w:shd w:val="clear" w:color="auto" w:fill="auto"/>
      </w:pPr>
      <w:r>
        <w:t>zapsaná v obchodním rejstříku vedeném Městským soudem v Praze, oddíl C, vložka 8815</w:t>
      </w:r>
    </w:p>
    <w:p w:rsidR="00F52A99" w:rsidRDefault="00D05139">
      <w:pPr>
        <w:pStyle w:val="Zkladntext20"/>
        <w:framePr w:w="9151" w:h="5008" w:hRule="exact" w:wrap="none" w:vAnchor="page" w:hAnchor="page" w:x="1357" w:y="2468"/>
        <w:shd w:val="clear" w:color="auto" w:fill="auto"/>
      </w:pPr>
      <w:r>
        <w:t>IČ: 45311617, DIČ: CZ45311617</w:t>
      </w:r>
    </w:p>
    <w:p w:rsidR="00F52A99" w:rsidRDefault="00D05139">
      <w:pPr>
        <w:pStyle w:val="Zkladntext20"/>
        <w:framePr w:w="9151" w:h="5008" w:hRule="exact" w:wrap="none" w:vAnchor="page" w:hAnchor="page" w:x="1357" w:y="2468"/>
        <w:shd w:val="clear" w:color="auto" w:fill="auto"/>
      </w:pPr>
      <w:r>
        <w:t>adresa pro doručování: U Milosrdných 17, 110 00 Praha 1</w:t>
      </w:r>
    </w:p>
    <w:p w:rsidR="00F52A99" w:rsidRDefault="00D05139">
      <w:pPr>
        <w:pStyle w:val="Zkladntext20"/>
        <w:framePr w:w="9151" w:h="5008" w:hRule="exact" w:wrap="none" w:vAnchor="page" w:hAnchor="page" w:x="1357" w:y="2468"/>
        <w:shd w:val="clear" w:color="auto" w:fill="auto"/>
        <w:spacing w:after="267"/>
      </w:pPr>
      <w:r>
        <w:t xml:space="preserve">na straně druhé (dále jen </w:t>
      </w:r>
      <w:r>
        <w:rPr>
          <w:rStyle w:val="Zkladntext2Tun"/>
        </w:rPr>
        <w:t>„nájemce“)</w:t>
      </w:r>
    </w:p>
    <w:p w:rsidR="00F52A99" w:rsidRDefault="00D05139">
      <w:pPr>
        <w:pStyle w:val="Zkladntext20"/>
        <w:framePr w:w="9151" w:h="5008" w:hRule="exact" w:wrap="none" w:vAnchor="page" w:hAnchor="page" w:x="1357" w:y="2468"/>
        <w:shd w:val="clear" w:color="auto" w:fill="auto"/>
        <w:spacing w:line="240" w:lineRule="exact"/>
      </w:pPr>
      <w:r>
        <w:t>uzavírají tento</w:t>
      </w:r>
    </w:p>
    <w:p w:rsidR="00F52A99" w:rsidRDefault="00D05139">
      <w:pPr>
        <w:pStyle w:val="Nadpis30"/>
        <w:framePr w:w="9151" w:h="2497" w:hRule="exact" w:wrap="none" w:vAnchor="page" w:hAnchor="page" w:x="1357" w:y="7795"/>
        <w:shd w:val="clear" w:color="auto" w:fill="auto"/>
        <w:spacing w:before="0" w:after="0" w:line="280" w:lineRule="exact"/>
      </w:pPr>
      <w:bookmarkStart w:id="5" w:name="bookmark5"/>
      <w:r>
        <w:t xml:space="preserve">dodatek </w:t>
      </w:r>
      <w:r>
        <w:rPr>
          <w:rStyle w:val="Nadpis312pt"/>
          <w:b/>
          <w:bCs/>
        </w:rPr>
        <w:t>č. 2</w:t>
      </w:r>
      <w:bookmarkEnd w:id="5"/>
    </w:p>
    <w:p w:rsidR="00F52A99" w:rsidRDefault="00D05139">
      <w:pPr>
        <w:pStyle w:val="Zkladntext30"/>
        <w:framePr w:w="9151" w:h="2497" w:hRule="exact" w:wrap="none" w:vAnchor="page" w:hAnchor="page" w:x="1357" w:y="7795"/>
        <w:shd w:val="clear" w:color="auto" w:fill="auto"/>
        <w:spacing w:before="0" w:after="202" w:line="240" w:lineRule="exact"/>
      </w:pPr>
      <w:r>
        <w:t xml:space="preserve">ke smlouvě o nájmu nebytových prostor </w:t>
      </w:r>
      <w:r w:rsidR="0096505E">
        <w:t>č</w:t>
      </w:r>
      <w:r>
        <w:t>. NG/177/2009</w:t>
      </w:r>
    </w:p>
    <w:p w:rsidR="00F52A99" w:rsidRDefault="00D05139">
      <w:pPr>
        <w:pStyle w:val="Nadpis10"/>
        <w:framePr w:w="9151" w:h="2497" w:hRule="exact" w:wrap="none" w:vAnchor="page" w:hAnchor="page" w:x="1357" w:y="7795"/>
        <w:shd w:val="clear" w:color="auto" w:fill="auto"/>
        <w:spacing w:before="0" w:line="190" w:lineRule="exact"/>
      </w:pPr>
      <w:bookmarkStart w:id="6" w:name="bookmark6"/>
      <w:r>
        <w:t>I.</w:t>
      </w:r>
      <w:bookmarkEnd w:id="6"/>
    </w:p>
    <w:p w:rsidR="00F52A99" w:rsidRDefault="00D05139">
      <w:pPr>
        <w:pStyle w:val="Nadpis40"/>
        <w:framePr w:w="9151" w:h="2497" w:hRule="exact" w:wrap="none" w:vAnchor="page" w:hAnchor="page" w:x="1357" w:y="7795"/>
        <w:shd w:val="clear" w:color="auto" w:fill="auto"/>
        <w:spacing w:after="269" w:line="240" w:lineRule="exact"/>
        <w:jc w:val="center"/>
      </w:pPr>
      <w:bookmarkStart w:id="7" w:name="bookmark7"/>
      <w:r>
        <w:t>Úvodní ustanovení</w:t>
      </w:r>
      <w:bookmarkEnd w:id="7"/>
    </w:p>
    <w:p w:rsidR="00F52A99" w:rsidRDefault="00D05139">
      <w:pPr>
        <w:pStyle w:val="Zkladntext20"/>
        <w:framePr w:w="9151" w:h="2497" w:hRule="exact" w:wrap="none" w:vAnchor="page" w:hAnchor="page" w:x="1357" w:y="7795"/>
        <w:numPr>
          <w:ilvl w:val="0"/>
          <w:numId w:val="1"/>
        </w:numPr>
        <w:shd w:val="clear" w:color="auto" w:fill="auto"/>
        <w:tabs>
          <w:tab w:val="left" w:pos="703"/>
        </w:tabs>
        <w:jc w:val="both"/>
      </w:pPr>
      <w:r>
        <w:t xml:space="preserve">Nájemce má na základě Smlouvy o nájmu nebytových prostor č. NG/177/2009 ze dne 12.2.2009 (dále jen </w:t>
      </w:r>
      <w:r>
        <w:rPr>
          <w:rStyle w:val="Zkladntext2Tun"/>
        </w:rPr>
        <w:t xml:space="preserve">„smlouva“), </w:t>
      </w:r>
      <w:r>
        <w:t>prona</w:t>
      </w:r>
      <w:r>
        <w:t>jaty nebytové prostory nacházející se v Anežském klášteře, U Milosrdných 17, Praha 1, 110 00, za účelem užívání pro kancelář..</w:t>
      </w:r>
    </w:p>
    <w:p w:rsidR="00F52A99" w:rsidRDefault="00D05139">
      <w:pPr>
        <w:pStyle w:val="Nadpis320"/>
        <w:framePr w:w="9151" w:h="3852" w:hRule="exact" w:wrap="none" w:vAnchor="page" w:hAnchor="page" w:x="1357" w:y="10835"/>
        <w:shd w:val="clear" w:color="auto" w:fill="auto"/>
        <w:spacing w:before="0" w:after="0" w:line="220" w:lineRule="exact"/>
        <w:ind w:left="4280"/>
      </w:pPr>
      <w:bookmarkStart w:id="8" w:name="bookmark8"/>
      <w:r>
        <w:t>II.</w:t>
      </w:r>
      <w:bookmarkEnd w:id="8"/>
    </w:p>
    <w:p w:rsidR="00F52A99" w:rsidRDefault="00D05139">
      <w:pPr>
        <w:pStyle w:val="Nadpis40"/>
        <w:framePr w:w="9151" w:h="3852" w:hRule="exact" w:wrap="none" w:vAnchor="page" w:hAnchor="page" w:x="1357" w:y="10835"/>
        <w:shd w:val="clear" w:color="auto" w:fill="auto"/>
        <w:spacing w:after="185" w:line="240" w:lineRule="exact"/>
        <w:jc w:val="center"/>
      </w:pPr>
      <w:bookmarkStart w:id="9" w:name="bookmark9"/>
      <w:r>
        <w:t>Předmět dodatku</w:t>
      </w:r>
      <w:bookmarkEnd w:id="9"/>
    </w:p>
    <w:p w:rsidR="00F52A99" w:rsidRDefault="00D05139">
      <w:pPr>
        <w:pStyle w:val="Zkladntext20"/>
        <w:framePr w:w="9151" w:h="3852" w:hRule="exact" w:wrap="none" w:vAnchor="page" w:hAnchor="page" w:x="1357" w:y="10835"/>
        <w:numPr>
          <w:ilvl w:val="0"/>
          <w:numId w:val="2"/>
        </w:numPr>
        <w:shd w:val="clear" w:color="auto" w:fill="auto"/>
        <w:tabs>
          <w:tab w:val="left" w:pos="703"/>
        </w:tabs>
        <w:spacing w:after="240"/>
        <w:jc w:val="both"/>
      </w:pPr>
      <w:r>
        <w:t xml:space="preserve">ČI. VI. odst. 3 smlouvy se mění a doplňuje tak, že smluvní strany výslovně sjednávají, že služby poskytované </w:t>
      </w:r>
      <w:r>
        <w:t xml:space="preserve">a fakturované pronajímatelem nájemci v souvislosti s užíváním předmětu nájmu (zejména elektrická energie, vodné, stočné, dodávka tepla a teplé vody a provozní služby, jsou-li pronajímatelem poskytovány) budou nově nájemci fakturovány včetně daně z přidané </w:t>
      </w:r>
      <w:r>
        <w:t>hodnoty v zákonné výši a to v sazbách 15% nebo 21% v závislosti na typu poskytnutého plnění. Dojde-li po nabytí účinnosti tohoto dodatku k změnám sazeb daně z přidané hodnoty, budou tyto při fakturaci pronajímatelem zohledněny bez nutnosti dalších změn sml</w:t>
      </w:r>
      <w:r>
        <w:t>ouvy.</w:t>
      </w:r>
    </w:p>
    <w:p w:rsidR="00F52A99" w:rsidRDefault="00D05139">
      <w:pPr>
        <w:pStyle w:val="Zkladntext20"/>
        <w:framePr w:w="9151" w:h="3852" w:hRule="exact" w:wrap="none" w:vAnchor="page" w:hAnchor="page" w:x="1357" w:y="10835"/>
        <w:numPr>
          <w:ilvl w:val="0"/>
          <w:numId w:val="2"/>
        </w:numPr>
        <w:shd w:val="clear" w:color="auto" w:fill="auto"/>
        <w:tabs>
          <w:tab w:val="left" w:pos="703"/>
        </w:tabs>
        <w:ind w:right="480"/>
      </w:pPr>
      <w:r>
        <w:t>Tento dodatek nabývá platnosti dnem podpisu smluvních stran a účinnosti dne 1. srpna 2016.</w:t>
      </w:r>
    </w:p>
    <w:p w:rsidR="00F52A99" w:rsidRDefault="00F52A99">
      <w:pPr>
        <w:rPr>
          <w:sz w:val="2"/>
          <w:szCs w:val="2"/>
        </w:rPr>
        <w:sectPr w:rsidR="00F52A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2A99" w:rsidRDefault="00D05139">
      <w:pPr>
        <w:pStyle w:val="Nadpis330"/>
        <w:framePr w:w="9320" w:h="575" w:hRule="exact" w:wrap="none" w:vAnchor="page" w:hAnchor="page" w:x="1273" w:y="1156"/>
        <w:shd w:val="clear" w:color="auto" w:fill="auto"/>
        <w:spacing w:after="0" w:line="240" w:lineRule="exact"/>
        <w:ind w:left="4400"/>
      </w:pPr>
      <w:bookmarkStart w:id="10" w:name="bookmark10"/>
      <w:r>
        <w:lastRenderedPageBreak/>
        <w:t>III.</w:t>
      </w:r>
      <w:bookmarkEnd w:id="10"/>
    </w:p>
    <w:p w:rsidR="00F52A99" w:rsidRDefault="00D05139">
      <w:pPr>
        <w:pStyle w:val="Nadpis40"/>
        <w:framePr w:w="9320" w:h="575" w:hRule="exact" w:wrap="none" w:vAnchor="page" w:hAnchor="page" w:x="1273" w:y="1156"/>
        <w:shd w:val="clear" w:color="auto" w:fill="auto"/>
        <w:spacing w:after="0" w:line="240" w:lineRule="exact"/>
        <w:ind w:left="200"/>
        <w:jc w:val="center"/>
      </w:pPr>
      <w:bookmarkStart w:id="11" w:name="bookmark11"/>
      <w:r>
        <w:t>Závěrečná ustanovení</w:t>
      </w:r>
      <w:bookmarkEnd w:id="11"/>
    </w:p>
    <w:p w:rsidR="00F52A99" w:rsidRDefault="00D05139">
      <w:pPr>
        <w:pStyle w:val="Zkladntext20"/>
        <w:framePr w:w="9320" w:h="4468" w:hRule="exact" w:wrap="none" w:vAnchor="page" w:hAnchor="page" w:x="1273" w:y="1950"/>
        <w:numPr>
          <w:ilvl w:val="0"/>
          <w:numId w:val="3"/>
        </w:numPr>
        <w:shd w:val="clear" w:color="auto" w:fill="auto"/>
        <w:tabs>
          <w:tab w:val="left" w:pos="706"/>
        </w:tabs>
        <w:spacing w:after="267"/>
        <w:ind w:right="240"/>
        <w:jc w:val="both"/>
      </w:pPr>
      <w:r>
        <w:t>Tento dodatek se vyhotovuje ve čtyřech stejnopisech, z nichž každá smluvní strana obdrží po dvou.</w:t>
      </w:r>
    </w:p>
    <w:p w:rsidR="00F52A99" w:rsidRDefault="00D05139">
      <w:pPr>
        <w:pStyle w:val="Zkladntext20"/>
        <w:framePr w:w="9320" w:h="4468" w:hRule="exact" w:wrap="none" w:vAnchor="page" w:hAnchor="page" w:x="1273" w:y="1950"/>
        <w:numPr>
          <w:ilvl w:val="0"/>
          <w:numId w:val="3"/>
        </w:numPr>
        <w:shd w:val="clear" w:color="auto" w:fill="auto"/>
        <w:tabs>
          <w:tab w:val="left" w:pos="706"/>
        </w:tabs>
        <w:spacing w:after="195" w:line="240" w:lineRule="exact"/>
        <w:jc w:val="both"/>
      </w:pPr>
      <w:r>
        <w:t xml:space="preserve">Ostatní </w:t>
      </w:r>
      <w:r>
        <w:t>ustanovení smlouvy se tímto dodatkem nemění.</w:t>
      </w:r>
    </w:p>
    <w:p w:rsidR="00F52A99" w:rsidRDefault="00D05139">
      <w:pPr>
        <w:pStyle w:val="Zkladntext20"/>
        <w:framePr w:w="9320" w:h="4468" w:hRule="exact" w:wrap="none" w:vAnchor="page" w:hAnchor="page" w:x="1273" w:y="1950"/>
        <w:numPr>
          <w:ilvl w:val="0"/>
          <w:numId w:val="3"/>
        </w:numPr>
        <w:shd w:val="clear" w:color="auto" w:fill="auto"/>
        <w:tabs>
          <w:tab w:val="left" w:pos="706"/>
        </w:tabs>
        <w:spacing w:after="240"/>
        <w:ind w:right="240"/>
        <w:jc w:val="both"/>
      </w:pPr>
      <w:r>
        <w:t>Pro případ povinnosti zveřejnění tohoto dodatku a smlouvy dle zákona č. 340/2015 Sb., o registru smluv, smluvní strany sjednávají, že zveřejnění provede pronajímatel. Obě strany berou na vědomí, že nebudou zveře</w:t>
      </w:r>
      <w:r>
        <w:t>jněny pouze ty informace, které nelze poskytnout podle předpisů upravujících svobodný přístup k informacím. Považuje-li nájemce některé informace uvedené ve smlouvě nebo dodatku za informace, které nemohou být zveřejněny v registru smluv dle zákona č. 340/</w:t>
      </w:r>
      <w:r>
        <w:t>2015 Sb., je povinen na to pronajímatele současně s uzavřením tohoto dodatku písemně upozornit.</w:t>
      </w:r>
    </w:p>
    <w:p w:rsidR="00F52A99" w:rsidRDefault="00D05139">
      <w:pPr>
        <w:pStyle w:val="Zkladntext20"/>
        <w:framePr w:w="9320" w:h="4468" w:hRule="exact" w:wrap="none" w:vAnchor="page" w:hAnchor="page" w:x="1273" w:y="1950"/>
        <w:numPr>
          <w:ilvl w:val="0"/>
          <w:numId w:val="3"/>
        </w:numPr>
        <w:shd w:val="clear" w:color="auto" w:fill="auto"/>
        <w:tabs>
          <w:tab w:val="left" w:pos="706"/>
        </w:tabs>
        <w:ind w:right="240"/>
        <w:jc w:val="both"/>
      </w:pPr>
      <w:r>
        <w:t>Pronajímatel a nájemce si dodatek přečetli, všechna jeho ustanovení jsou jim jasná a srozumitelná, přičemž dostatečným způsobem vyjadřují vážnou a svobodnou vůl</w:t>
      </w:r>
      <w:r>
        <w:t>i smluvních stran bez jakýchkoli omylů, na důkaz čehož připojují smluvní strany své podpisy.</w:t>
      </w:r>
    </w:p>
    <w:p w:rsidR="00F52A99" w:rsidRDefault="00D05139">
      <w:pPr>
        <w:pStyle w:val="Zkladntext20"/>
        <w:framePr w:wrap="none" w:vAnchor="page" w:hAnchor="page" w:x="1240" w:y="7478"/>
        <w:shd w:val="clear" w:color="auto" w:fill="auto"/>
        <w:spacing w:line="240" w:lineRule="exact"/>
      </w:pPr>
      <w:r>
        <w:t>V Praze dne</w:t>
      </w:r>
      <w:r w:rsidR="0096505E">
        <w:t xml:space="preserve">  21. 7. 2016</w:t>
      </w:r>
    </w:p>
    <w:p w:rsidR="00F52A99" w:rsidRDefault="00F52A99">
      <w:pPr>
        <w:pStyle w:val="Nadpis20"/>
        <w:framePr w:wrap="none" w:vAnchor="page" w:hAnchor="page" w:x="3292" w:y="7533"/>
        <w:shd w:val="clear" w:color="auto" w:fill="auto"/>
        <w:spacing w:line="400" w:lineRule="exact"/>
      </w:pPr>
    </w:p>
    <w:p w:rsidR="00F52A99" w:rsidRDefault="00D05139">
      <w:pPr>
        <w:pStyle w:val="Zkladntext20"/>
        <w:framePr w:wrap="none" w:vAnchor="page" w:hAnchor="page" w:x="1240" w:y="8572"/>
        <w:shd w:val="clear" w:color="auto" w:fill="auto"/>
        <w:spacing w:line="240" w:lineRule="exact"/>
      </w:pPr>
      <w:r>
        <w:t>Pronajímatel:</w:t>
      </w:r>
    </w:p>
    <w:p w:rsidR="00F52A99" w:rsidRDefault="00D05139">
      <w:pPr>
        <w:pStyle w:val="Titulekobrzku20"/>
        <w:framePr w:w="3060" w:h="542" w:hRule="exact" w:wrap="none" w:vAnchor="page" w:hAnchor="page" w:x="1240" w:y="9717"/>
        <w:shd w:val="clear" w:color="auto" w:fill="auto"/>
        <w:spacing w:after="0" w:line="240" w:lineRule="exact"/>
      </w:pPr>
      <w:r>
        <w:t>Národní galerie v Praze</w:t>
      </w:r>
    </w:p>
    <w:p w:rsidR="00F52A99" w:rsidRDefault="00D05139">
      <w:pPr>
        <w:pStyle w:val="Titulekobrzku0"/>
        <w:framePr w:w="3060" w:h="542" w:hRule="exact" w:wrap="none" w:vAnchor="page" w:hAnchor="page" w:x="1240" w:y="9717"/>
        <w:shd w:val="clear" w:color="auto" w:fill="auto"/>
        <w:spacing w:before="0" w:line="240" w:lineRule="exact"/>
      </w:pPr>
      <w:r>
        <w:t xml:space="preserve">Doc. Dr. et </w:t>
      </w:r>
      <w:r>
        <w:t>Ing. Jiří Fajt, Ph.D.</w:t>
      </w:r>
    </w:p>
    <w:p w:rsidR="00F52A99" w:rsidRDefault="00D05139">
      <w:pPr>
        <w:pStyle w:val="Zkladntext20"/>
        <w:framePr w:wrap="none" w:vAnchor="page" w:hAnchor="page" w:x="6892" w:y="7407"/>
        <w:shd w:val="clear" w:color="auto" w:fill="auto"/>
        <w:spacing w:line="280" w:lineRule="exact"/>
      </w:pPr>
      <w:r>
        <w:t xml:space="preserve">V Praze dne </w:t>
      </w:r>
      <w:r w:rsidR="0096505E">
        <w:t xml:space="preserve"> </w:t>
      </w:r>
    </w:p>
    <w:p w:rsidR="00F52A99" w:rsidRDefault="00D05139">
      <w:pPr>
        <w:pStyle w:val="Zkladntext20"/>
        <w:framePr w:wrap="none" w:vAnchor="page" w:hAnchor="page" w:x="6885" w:y="8569"/>
        <w:shd w:val="clear" w:color="auto" w:fill="auto"/>
        <w:spacing w:line="240" w:lineRule="exact"/>
      </w:pPr>
      <w:r>
        <w:t>Nájemce:</w:t>
      </w:r>
    </w:p>
    <w:p w:rsidR="00F52A99" w:rsidRDefault="0096505E">
      <w:pPr>
        <w:pStyle w:val="Nadpis40"/>
        <w:framePr w:w="2066" w:h="691" w:hRule="exact" w:wrap="none" w:vAnchor="page" w:hAnchor="page" w:x="6885" w:y="9567"/>
        <w:shd w:val="clear" w:color="auto" w:fill="auto"/>
        <w:spacing w:after="0" w:line="240" w:lineRule="exact"/>
      </w:pPr>
      <w:bookmarkStart w:id="12" w:name="bookmark13"/>
      <w:r>
        <w:t>Golem, spol. s.r</w:t>
      </w:r>
      <w:r w:rsidR="00D05139">
        <w:t>.</w:t>
      </w:r>
      <w:r>
        <w:t>o.</w:t>
      </w:r>
      <w:r w:rsidR="00D05139">
        <w:t xml:space="preserve"> </w:t>
      </w:r>
      <w:bookmarkEnd w:id="12"/>
    </w:p>
    <w:p w:rsidR="00F52A99" w:rsidRDefault="00D05139">
      <w:pPr>
        <w:pStyle w:val="Zkladntext20"/>
        <w:framePr w:w="2066" w:h="691" w:hRule="exact" w:wrap="none" w:vAnchor="page" w:hAnchor="page" w:x="6885" w:y="9567"/>
        <w:shd w:val="clear" w:color="auto" w:fill="auto"/>
        <w:spacing w:line="240" w:lineRule="exact"/>
      </w:pPr>
      <w:r>
        <w:t>Jindřich Chytráč</w:t>
      </w:r>
      <w:r w:rsidR="0096505E">
        <w:t>ek</w:t>
      </w:r>
    </w:p>
    <w:p w:rsidR="00F52A99" w:rsidRDefault="00F52A99">
      <w:pPr>
        <w:rPr>
          <w:sz w:val="2"/>
          <w:szCs w:val="2"/>
        </w:rPr>
      </w:pPr>
      <w:bookmarkStart w:id="13" w:name="_GoBack"/>
      <w:bookmarkEnd w:id="13"/>
    </w:p>
    <w:sectPr w:rsidR="00F52A9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139" w:rsidRDefault="00D05139">
      <w:r>
        <w:separator/>
      </w:r>
    </w:p>
  </w:endnote>
  <w:endnote w:type="continuationSeparator" w:id="0">
    <w:p w:rsidR="00D05139" w:rsidRDefault="00D0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139" w:rsidRDefault="00D05139"/>
  </w:footnote>
  <w:footnote w:type="continuationSeparator" w:id="0">
    <w:p w:rsidR="00D05139" w:rsidRDefault="00D051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864D5"/>
    <w:multiLevelType w:val="multilevel"/>
    <w:tmpl w:val="1E642D4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773588"/>
    <w:multiLevelType w:val="multilevel"/>
    <w:tmpl w:val="BEB005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3A32DD"/>
    <w:multiLevelType w:val="multilevel"/>
    <w:tmpl w:val="139228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52A99"/>
    <w:rsid w:val="0096505E"/>
    <w:rsid w:val="00D05139"/>
    <w:rsid w:val="00F5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4A43"/>
  <w15:docId w15:val="{6BE8C35A-A907-4703-A37F-58F95C4A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12pt">
    <w:name w:val="Nadpis #3 + 12 pt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Georgia" w:eastAsia="Georgia" w:hAnsi="Georgia" w:cs="Georg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2">
    <w:name w:val="Nadpis #3 (2)_"/>
    <w:basedOn w:val="Standardnpsmoodstavce"/>
    <w:link w:val="Nadpis3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3">
    <w:name w:val="Nadpis #3 (3)_"/>
    <w:basedOn w:val="Standardnpsmoodstavce"/>
    <w:link w:val="Nadpis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Georgia" w:eastAsia="Georgia" w:hAnsi="Georgia" w:cs="Georgia"/>
      <w:b w:val="0"/>
      <w:bCs w:val="0"/>
      <w:i/>
      <w:iCs/>
      <w:smallCaps w:val="0"/>
      <w:strike w:val="0"/>
      <w:spacing w:val="70"/>
      <w:sz w:val="40"/>
      <w:szCs w:val="40"/>
      <w:u w:val="none"/>
    </w:rPr>
  </w:style>
  <w:style w:type="character" w:customStyle="1" w:styleId="Nadpis2ArialNarrow115ptTunNekurzvadkovn0pt">
    <w:name w:val="Nadpis #2 + Arial Narrow;11;5 pt;Tučné;Ne kurzíva;Řádkování 0 pt"/>
    <w:basedOn w:val="Nadpis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2TimesNewRoman14ptNekurzvadkovn-1pt">
    <w:name w:val="Nadpis #2 + Times New Roman;14 pt;Ne kurzíva;Řádkování -1 pt"/>
    <w:basedOn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4ptTunKurzvaMtko40">
    <w:name w:val="Základní text (2) + 14 pt;Tučné;Kurzíva;Měřítko 40%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40"/>
      <w:position w:val="0"/>
      <w:sz w:val="28"/>
      <w:szCs w:val="28"/>
      <w:u w:val="none"/>
      <w:lang w:val="cs-CZ" w:eastAsia="cs-CZ" w:bidi="cs-CZ"/>
    </w:rPr>
  </w:style>
  <w:style w:type="character" w:customStyle="1" w:styleId="Zkladntext2Calibri13ptTun">
    <w:name w:val="Základní text (2) + Calibri;13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line="0" w:lineRule="atLeast"/>
      <w:jc w:val="center"/>
      <w:outlineLvl w:val="0"/>
    </w:pPr>
    <w:rPr>
      <w:rFonts w:ascii="Georgia" w:eastAsia="Georgia" w:hAnsi="Georgia" w:cs="Georgia"/>
      <w:b/>
      <w:bCs/>
      <w:sz w:val="19"/>
      <w:szCs w:val="19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480" w:after="60" w:line="0" w:lineRule="atLeast"/>
      <w:outlineLvl w:val="2"/>
    </w:pPr>
    <w:rPr>
      <w:rFonts w:ascii="Georgia" w:eastAsia="Georgia" w:hAnsi="Georgia" w:cs="Georgia"/>
      <w:sz w:val="22"/>
      <w:szCs w:val="22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Georgia" w:eastAsia="Georgia" w:hAnsi="Georgia" w:cs="Georgia"/>
      <w:i/>
      <w:iCs/>
      <w:spacing w:val="70"/>
      <w:sz w:val="40"/>
      <w:szCs w:val="4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c224.pk.gr-20170619120040</dc:title>
  <dc:subject/>
  <dc:creator/>
  <cp:keywords/>
  <cp:lastModifiedBy>Zdenka Šímová</cp:lastModifiedBy>
  <cp:revision>2</cp:revision>
  <dcterms:created xsi:type="dcterms:W3CDTF">2017-06-19T10:04:00Z</dcterms:created>
  <dcterms:modified xsi:type="dcterms:W3CDTF">2017-06-19T10:10:00Z</dcterms:modified>
</cp:coreProperties>
</file>