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3F08" w14:textId="4BA11D0B" w:rsidR="00C53CC0" w:rsidRDefault="00C53CC0" w:rsidP="00C53CC0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O B J E D N Á V K A   č. 2</w:t>
      </w:r>
      <w:r w:rsidR="00E15D7C">
        <w:rPr>
          <w:rFonts w:ascii="Arial" w:hAnsi="Arial"/>
          <w:b/>
          <w:sz w:val="32"/>
          <w:szCs w:val="32"/>
        </w:rPr>
        <w:t>4</w:t>
      </w:r>
      <w:r w:rsidR="004F354B">
        <w:rPr>
          <w:rFonts w:ascii="Arial" w:hAnsi="Arial"/>
          <w:b/>
          <w:sz w:val="32"/>
          <w:szCs w:val="32"/>
        </w:rPr>
        <w:t>8</w:t>
      </w:r>
      <w:r>
        <w:rPr>
          <w:rFonts w:ascii="Arial" w:hAnsi="Arial"/>
          <w:b/>
          <w:sz w:val="32"/>
          <w:szCs w:val="32"/>
        </w:rPr>
        <w:t>/2023/GO</w:t>
      </w:r>
    </w:p>
    <w:p w14:paraId="2996D0CD" w14:textId="77777777" w:rsidR="00C53CC0" w:rsidRDefault="00C53CC0" w:rsidP="00C53CC0">
      <w:pPr>
        <w:jc w:val="center"/>
        <w:rPr>
          <w:rStyle w:val="standardnpsmoodstavce1"/>
        </w:rPr>
      </w:pPr>
    </w:p>
    <w:p w14:paraId="19D51979" w14:textId="77777777" w:rsidR="00C53CC0" w:rsidRDefault="00C53CC0" w:rsidP="00C53CC0">
      <w:pPr>
        <w:pStyle w:val="Bezmezer"/>
        <w:tabs>
          <w:tab w:val="left" w:pos="2835"/>
        </w:tabs>
        <w:rPr>
          <w:rFonts w:cs="Arial"/>
          <w:sz w:val="20"/>
          <w:szCs w:val="20"/>
        </w:rPr>
      </w:pPr>
      <w:r>
        <w:rPr>
          <w:rStyle w:val="standardnpsmoodstavce1"/>
          <w:rFonts w:ascii="Arial" w:hAnsi="Arial" w:cs="Arial"/>
          <w:b/>
          <w:sz w:val="20"/>
          <w:szCs w:val="20"/>
        </w:rPr>
        <w:t xml:space="preserve">Objednatel:       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  <w:t>Psychiatrická nemocnice Jihlava</w:t>
      </w:r>
    </w:p>
    <w:p w14:paraId="1F3EF7FF" w14:textId="77777777" w:rsidR="00C53CC0" w:rsidRDefault="00C53CC0" w:rsidP="00C53CC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Brněnská 455/54</w:t>
      </w:r>
    </w:p>
    <w:p w14:paraId="4DBCBE96" w14:textId="77777777" w:rsidR="00C53CC0" w:rsidRDefault="00C53CC0" w:rsidP="00C53CC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586 24 Jihlava</w:t>
      </w:r>
    </w:p>
    <w:p w14:paraId="5CE86F3C" w14:textId="77777777" w:rsidR="00C53CC0" w:rsidRDefault="00C53CC0" w:rsidP="00C53CC0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5C003C78" w14:textId="77777777" w:rsidR="00C53CC0" w:rsidRDefault="00C53CC0" w:rsidP="00C53CC0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Objednávku vyřizuje: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Gabriela Olšovská</w:t>
      </w:r>
    </w:p>
    <w:p w14:paraId="101CA21C" w14:textId="77777777" w:rsidR="00C53CC0" w:rsidRDefault="00C53CC0" w:rsidP="00C53CC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referent – oddělení veřejných zakázek</w:t>
      </w:r>
    </w:p>
    <w:p w14:paraId="3583CFD5" w14:textId="77777777" w:rsidR="00C53CC0" w:rsidRDefault="00C53CC0" w:rsidP="00C53CC0">
      <w:pPr>
        <w:pStyle w:val="Bezmezer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>Kontaktní 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567 552 149</w:t>
      </w:r>
    </w:p>
    <w:p w14:paraId="1CC8F90B" w14:textId="77777777" w:rsidR="00C53CC0" w:rsidRDefault="00C53CC0" w:rsidP="00C53CC0">
      <w:pPr>
        <w:pStyle w:val="Bezmezer"/>
        <w:rPr>
          <w:rStyle w:val="standardnpsmoodstavce1"/>
          <w:rFonts w:ascii="Arial" w:hAnsi="Arial" w:cs="Arial"/>
          <w:sz w:val="20"/>
          <w:szCs w:val="20"/>
        </w:rPr>
      </w:pPr>
      <w:r>
        <w:rPr>
          <w:rStyle w:val="standardnpsmoodstavce1"/>
          <w:rFonts w:ascii="Arial" w:hAnsi="Arial" w:cs="Arial"/>
          <w:sz w:val="20"/>
          <w:szCs w:val="20"/>
        </w:rPr>
        <w:t>E-mail: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hyperlink r:id="rId6" w:history="1">
        <w:r>
          <w:rPr>
            <w:rStyle w:val="Hypertextovodkaz"/>
            <w:rFonts w:ascii="Arial" w:hAnsi="Arial"/>
            <w:sz w:val="20"/>
            <w:szCs w:val="20"/>
            <w:lang w:bidi="hi-IN"/>
          </w:rPr>
          <w:t>g.olsovska@pnj.cz</w:t>
        </w:r>
      </w:hyperlink>
    </w:p>
    <w:p w14:paraId="6506EC97" w14:textId="77777777" w:rsidR="00C53CC0" w:rsidRDefault="00C53CC0" w:rsidP="00C53CC0">
      <w:pPr>
        <w:pStyle w:val="Bezmezer"/>
      </w:pPr>
    </w:p>
    <w:p w14:paraId="55AF55A4" w14:textId="77777777" w:rsidR="00C53CC0" w:rsidRDefault="00C53CC0" w:rsidP="00C53CC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00600601</w:t>
      </w:r>
    </w:p>
    <w:p w14:paraId="427546ED" w14:textId="77777777" w:rsidR="00C53CC0" w:rsidRDefault="00C53CC0" w:rsidP="00C53CC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                                           CZ00600601</w:t>
      </w:r>
    </w:p>
    <w:p w14:paraId="282EBD7A" w14:textId="77777777" w:rsidR="00C53CC0" w:rsidRDefault="00C53CC0" w:rsidP="00C53CC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                       ČNB Brno</w:t>
      </w:r>
    </w:p>
    <w:p w14:paraId="241D076A" w14:textId="1CD56832" w:rsidR="00C53CC0" w:rsidRDefault="00C53CC0" w:rsidP="003B76FA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33936681/0710  </w:t>
      </w:r>
    </w:p>
    <w:p w14:paraId="12227D4F" w14:textId="77777777" w:rsidR="00FE4C1D" w:rsidRDefault="00FE4C1D" w:rsidP="003B76FA">
      <w:pPr>
        <w:pStyle w:val="Bezmez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8B24028" w14:textId="77777777" w:rsidR="00C53CC0" w:rsidRDefault="00C53CC0" w:rsidP="00C53CC0">
      <w:pPr>
        <w:pStyle w:val="Bezmezer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Jsme plátci DPH a podléháme režimu přenesení daňové povinnosti dle § 92a zákona o DPH.</w:t>
      </w:r>
    </w:p>
    <w:p w14:paraId="3953FF6B" w14:textId="77777777" w:rsidR="00C53CC0" w:rsidRDefault="00C53CC0" w:rsidP="00C53CC0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67A913F" w14:textId="38DD01CB" w:rsidR="00C53CC0" w:rsidRDefault="00C53CC0" w:rsidP="00C53CC0">
      <w:pPr>
        <w:pStyle w:val="Bezmez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Dodavatel</w:t>
      </w:r>
      <w:r>
        <w:rPr>
          <w:rFonts w:ascii="Arial" w:hAnsi="Arial" w:cs="Arial"/>
          <w:b/>
          <w:sz w:val="20"/>
          <w:szCs w:val="20"/>
        </w:rPr>
        <w:t xml:space="preserve">:                                 </w:t>
      </w:r>
      <w:r w:rsidR="004F354B">
        <w:rPr>
          <w:rFonts w:ascii="Arial" w:hAnsi="Arial" w:cs="Arial"/>
          <w:b/>
          <w:sz w:val="20"/>
          <w:szCs w:val="20"/>
        </w:rPr>
        <w:t>S-CONSTRUCT</w:t>
      </w:r>
    </w:p>
    <w:p w14:paraId="74F19F70" w14:textId="49A769AD" w:rsidR="004F354B" w:rsidRDefault="004F354B" w:rsidP="00C53CC0">
      <w:pPr>
        <w:pStyle w:val="Bezmez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Lukáš Sedláček</w:t>
      </w:r>
    </w:p>
    <w:p w14:paraId="072314E0" w14:textId="196E3AEC" w:rsidR="00C53CC0" w:rsidRDefault="00C53CC0" w:rsidP="00C53CC0">
      <w:pPr>
        <w:pStyle w:val="Bezmez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4F354B">
        <w:rPr>
          <w:rFonts w:ascii="Arial" w:hAnsi="Arial" w:cs="Arial"/>
          <w:b/>
          <w:sz w:val="20"/>
          <w:szCs w:val="20"/>
        </w:rPr>
        <w:t xml:space="preserve"> Počaply 73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67E499EF" w14:textId="525330B5" w:rsidR="00C53CC0" w:rsidRDefault="00C53CC0" w:rsidP="00C53CC0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4F354B">
        <w:rPr>
          <w:rFonts w:ascii="Arial" w:hAnsi="Arial" w:cs="Arial"/>
          <w:b/>
          <w:sz w:val="20"/>
          <w:szCs w:val="20"/>
        </w:rPr>
        <w:t xml:space="preserve"> 412 01 Litoměřice</w:t>
      </w:r>
    </w:p>
    <w:p w14:paraId="47F24761" w14:textId="3F2AD7D4" w:rsidR="00C53CC0" w:rsidRDefault="00C53CC0" w:rsidP="00C53CC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="004F354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IČO:</w:t>
      </w:r>
      <w:r w:rsidR="004F354B">
        <w:rPr>
          <w:rFonts w:ascii="Arial" w:hAnsi="Arial" w:cs="Arial"/>
          <w:sz w:val="20"/>
          <w:szCs w:val="20"/>
        </w:rPr>
        <w:t>01896652 není plátce DPH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14:paraId="34A9411C" w14:textId="77777777" w:rsidR="00C53CC0" w:rsidRDefault="00C53CC0" w:rsidP="00C53CC0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14:paraId="5C33A616" w14:textId="25DDD302" w:rsidR="00C53CC0" w:rsidRDefault="00C53CC0" w:rsidP="00C53CC0">
      <w:pPr>
        <w:pStyle w:val="Bezmezer"/>
        <w:outlineLvl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Předmět dodávky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4F354B">
        <w:rPr>
          <w:rFonts w:ascii="Arial" w:hAnsi="Arial" w:cs="Arial"/>
          <w:b/>
          <w:bCs/>
          <w:sz w:val="20"/>
          <w:szCs w:val="20"/>
        </w:rPr>
        <w:t>Prodejní stánky 5ks (prac</w:t>
      </w:r>
      <w:r w:rsidR="00866123">
        <w:rPr>
          <w:rFonts w:ascii="Arial" w:hAnsi="Arial" w:cs="Arial"/>
          <w:b/>
          <w:bCs/>
          <w:sz w:val="20"/>
          <w:szCs w:val="20"/>
        </w:rPr>
        <w:t xml:space="preserve">ovní </w:t>
      </w:r>
      <w:r w:rsidR="004F354B">
        <w:rPr>
          <w:rFonts w:ascii="Arial" w:hAnsi="Arial" w:cs="Arial"/>
          <w:b/>
          <w:bCs/>
          <w:sz w:val="20"/>
          <w:szCs w:val="20"/>
        </w:rPr>
        <w:t>terapie, CDZ)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41" w:rightFromText="141" w:vertAnchor="text" w:tblpX="108" w:tblpY="1"/>
        <w:tblOverlap w:val="never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851"/>
        <w:gridCol w:w="1277"/>
        <w:gridCol w:w="1414"/>
      </w:tblGrid>
      <w:tr w:rsidR="00D11ED3" w14:paraId="44C36F6E" w14:textId="239E3E5F" w:rsidTr="00EE5798">
        <w:trPr>
          <w:trHeight w:val="558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8ECE" w14:textId="77777777" w:rsidR="00D11ED3" w:rsidRDefault="00D11ED3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557F" w14:textId="77777777" w:rsidR="00D11ED3" w:rsidRDefault="00D11ED3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AFC2" w14:textId="642B0A82" w:rsidR="00D11ED3" w:rsidRDefault="00D11ED3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za 1ks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8AF9" w14:textId="1D9009F1" w:rsidR="00D11ED3" w:rsidRDefault="00D11ED3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celkem</w:t>
            </w:r>
          </w:p>
        </w:tc>
      </w:tr>
      <w:tr w:rsidR="00D11ED3" w14:paraId="2DC256A6" w14:textId="039F1860" w:rsidTr="00EE5798">
        <w:trPr>
          <w:trHeight w:val="408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D6F8" w14:textId="7065B210" w:rsidR="00D11ED3" w:rsidRPr="003B76FA" w:rsidRDefault="00D11ED3">
            <w:pPr>
              <w:widowControl/>
              <w:shd w:val="clear" w:color="auto" w:fill="FFFFFF"/>
              <w:suppressAutoHyphens w:val="0"/>
              <w:outlineLvl w:val="0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 w:rsidRPr="003B76FA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Prodejní stánek 250x250cm</w:t>
            </w:r>
          </w:p>
          <w:p w14:paraId="6FF735A0" w14:textId="7B16B36A" w:rsidR="00D11ED3" w:rsidRPr="00FE139C" w:rsidRDefault="00D11ED3" w:rsidP="00FE139C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</w:pPr>
            <w:r w:rsidRPr="003B76FA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>-zavěšení na háčky, zipy ke spojení stran, přední závěs,</w:t>
            </w:r>
            <w:r w:rsidR="003B76FA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Pr="003B76FA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>pozinkování, pultové desky spodní 18 mm, pultové desky horní 18</w:t>
            </w:r>
            <w:r w:rsidR="00F81FFA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Pr="003B76FA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 xml:space="preserve">mm, vchod zezadu vpravo, suché zipy na vyrolování stěny, </w:t>
            </w:r>
            <w:r w:rsidRPr="00FE139C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 xml:space="preserve">                         </w:t>
            </w:r>
          </w:p>
          <w:p w14:paraId="69FDB847" w14:textId="77777777" w:rsidR="00D11ED3" w:rsidRPr="00FE139C" w:rsidRDefault="00D11ED3" w:rsidP="00FE139C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</w:pPr>
          </w:p>
          <w:p w14:paraId="6C061AC0" w14:textId="6E639893" w:rsidR="00D11ED3" w:rsidRPr="003B76FA" w:rsidRDefault="00D11ED3">
            <w:pPr>
              <w:widowControl/>
              <w:shd w:val="clear" w:color="auto" w:fill="FFFFFF"/>
              <w:suppressAutoHyphens w:val="0"/>
              <w:outlineLvl w:val="0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 w:rsidRPr="003B76FA">
              <w:rPr>
                <w:rFonts w:ascii="Arial" w:hAnsi="Arial"/>
                <w:bCs/>
                <w:sz w:val="20"/>
                <w:szCs w:val="20"/>
                <w:lang w:eastAsia="cs-CZ"/>
              </w:rPr>
              <w:t>-barva světle modrá</w:t>
            </w:r>
          </w:p>
          <w:p w14:paraId="6A7158FB" w14:textId="64124B72" w:rsidR="00D11ED3" w:rsidRPr="003B76FA" w:rsidRDefault="00D11ED3">
            <w:pPr>
              <w:widowControl/>
              <w:shd w:val="clear" w:color="auto" w:fill="FFFFFF"/>
              <w:suppressAutoHyphens w:val="0"/>
              <w:outlineLvl w:val="0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4DAA" w14:textId="77777777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2B1810D6" w14:textId="77777777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256960E7" w14:textId="77777777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45690EB8" w14:textId="12A6D5EB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565" w14:textId="77777777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1EDBE4C2" w14:textId="77777777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5FB1DC78" w14:textId="77777777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788552B1" w14:textId="5DE892C1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25.775,-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73ED" w14:textId="77777777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195116F8" w14:textId="77777777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3C564AFC" w14:textId="77777777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0976CAE8" w14:textId="6C012135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25.775,-</w:t>
            </w:r>
          </w:p>
        </w:tc>
      </w:tr>
      <w:tr w:rsidR="00D11ED3" w14:paraId="5CC74C29" w14:textId="2D52EA51" w:rsidTr="00EE5798">
        <w:trPr>
          <w:trHeight w:val="408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B784" w14:textId="10F7C88A" w:rsidR="00D11ED3" w:rsidRPr="003B76FA" w:rsidRDefault="00D11ED3">
            <w:pPr>
              <w:widowControl/>
              <w:shd w:val="clear" w:color="auto" w:fill="FFFFFF"/>
              <w:suppressAutoHyphens w:val="0"/>
              <w:outlineLvl w:val="0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 w:rsidRPr="003B76FA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Prodejní stánek 200x400</w:t>
            </w:r>
            <w:r w:rsidR="00EE5798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cm</w:t>
            </w:r>
          </w:p>
          <w:p w14:paraId="704FDB0A" w14:textId="0A5ED7B7" w:rsidR="00D11ED3" w:rsidRPr="003B76FA" w:rsidRDefault="00D11ED3" w:rsidP="00484F4F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</w:pPr>
            <w:r w:rsidRPr="003B76FA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>-zavěšení na háčky, zipy ke spojení stran, pozinkování, pultové desky spodní 18 mm, pultové desky horní 18</w:t>
            </w:r>
            <w:r w:rsidRPr="003B76FA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Pr="003B76FA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 xml:space="preserve">mm, </w:t>
            </w:r>
            <w:r w:rsidRPr="003B76FA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 xml:space="preserve">vlnky přední část, </w:t>
            </w:r>
            <w:r w:rsidRPr="003B76FA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 xml:space="preserve">vchod zezadu vpravo, suché zipy na vyrolování stěny, </w:t>
            </w:r>
            <w:r w:rsidRPr="003B76FA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 xml:space="preserve">pult boční strana </w:t>
            </w:r>
            <w:r w:rsidR="00866123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>p</w:t>
            </w:r>
            <w:r w:rsidRPr="003B76FA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>ravá</w:t>
            </w:r>
            <w:r w:rsidRPr="00FE139C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> </w:t>
            </w:r>
          </w:p>
          <w:p w14:paraId="58AE0069" w14:textId="75CDF1A9" w:rsidR="00D11ED3" w:rsidRPr="003B76FA" w:rsidRDefault="00D11ED3" w:rsidP="00484F4F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</w:pPr>
            <w:r w:rsidRPr="003B76FA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>-půlená konstrukce</w:t>
            </w:r>
          </w:p>
          <w:p w14:paraId="1DDB2302" w14:textId="77777777" w:rsidR="00D11ED3" w:rsidRPr="003B76FA" w:rsidRDefault="00D11ED3" w:rsidP="00484F4F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</w:pPr>
          </w:p>
          <w:p w14:paraId="438603BF" w14:textId="1ED4183E" w:rsidR="00D11ED3" w:rsidRPr="00FE139C" w:rsidRDefault="00D11ED3" w:rsidP="00484F4F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</w:pPr>
            <w:r w:rsidRPr="003B76FA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>-barva červená</w:t>
            </w:r>
            <w:r w:rsidRPr="00FE139C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 xml:space="preserve">                   </w:t>
            </w:r>
          </w:p>
          <w:p w14:paraId="74AAB2FF" w14:textId="77777777" w:rsidR="00D11ED3" w:rsidRPr="003B76FA" w:rsidRDefault="00D11ED3">
            <w:pPr>
              <w:widowControl/>
              <w:shd w:val="clear" w:color="auto" w:fill="FFFFFF"/>
              <w:suppressAutoHyphens w:val="0"/>
              <w:outlineLvl w:val="0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8A87" w14:textId="77777777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0EFBF08D" w14:textId="77777777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4E3FABD7" w14:textId="77777777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30B18CD4" w14:textId="77777777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53A1CD0F" w14:textId="1CA2FE84" w:rsidR="00D11ED3" w:rsidRDefault="003B76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74B6" w14:textId="77777777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2A20FAB1" w14:textId="77777777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3EDD9160" w14:textId="77777777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20268A11" w14:textId="77777777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3DBB7D6B" w14:textId="4EC9C6B7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32.300,-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B6FC" w14:textId="77777777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6C2F60AA" w14:textId="77777777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38A16AA3" w14:textId="77777777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351412EF" w14:textId="77777777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60F3FC91" w14:textId="5E5A4014" w:rsidR="00D11ED3" w:rsidRDefault="003B76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32.300</w:t>
            </w:r>
            <w:r w:rsidR="00D11ED3">
              <w:rPr>
                <w:rFonts w:ascii="Arial" w:hAnsi="Arial"/>
                <w:bCs/>
                <w:sz w:val="20"/>
                <w:szCs w:val="20"/>
                <w:lang w:eastAsia="cs-CZ"/>
              </w:rPr>
              <w:t>,-</w:t>
            </w:r>
          </w:p>
        </w:tc>
      </w:tr>
      <w:tr w:rsidR="003B76FA" w14:paraId="0624B8A8" w14:textId="77777777" w:rsidTr="00EE5798">
        <w:trPr>
          <w:trHeight w:val="408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E93A" w14:textId="66C6F5D9" w:rsidR="003B76FA" w:rsidRPr="003B76FA" w:rsidRDefault="003B76FA" w:rsidP="003B76FA">
            <w:pPr>
              <w:widowControl/>
              <w:shd w:val="clear" w:color="auto" w:fill="FFFFFF"/>
              <w:suppressAutoHyphens w:val="0"/>
              <w:outlineLvl w:val="0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 w:rsidRPr="003B76FA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Prodejní stánek 200x400</w:t>
            </w:r>
            <w:r w:rsidR="00EE5798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cm</w:t>
            </w:r>
          </w:p>
          <w:p w14:paraId="21033D53" w14:textId="23529FD9" w:rsidR="003B76FA" w:rsidRPr="003B76FA" w:rsidRDefault="003B76FA" w:rsidP="003B76FA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</w:pPr>
            <w:r w:rsidRPr="003B76FA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>-zavěšení na háčky, zipy ke spojení stran, pozinkování, pultové desky spodní 18 mm, pultové desky horní 18 mm, vlnky přední část, vchod zezadu v</w:t>
            </w:r>
            <w:r w:rsidR="00FE4C1D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>levo</w:t>
            </w:r>
            <w:r w:rsidRPr="003B76FA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 xml:space="preserve">, suché zipy na vyrolování stěny, pult boční strana </w:t>
            </w:r>
            <w:r w:rsidR="00FE4C1D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>levá</w:t>
            </w:r>
            <w:r w:rsidRPr="00FE139C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> </w:t>
            </w:r>
          </w:p>
          <w:p w14:paraId="1454582C" w14:textId="77777777" w:rsidR="003B76FA" w:rsidRPr="003B76FA" w:rsidRDefault="003B76FA" w:rsidP="003B76FA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</w:pPr>
            <w:r w:rsidRPr="003B76FA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>-půlená konstrukce</w:t>
            </w:r>
          </w:p>
          <w:p w14:paraId="02C73A3F" w14:textId="77777777" w:rsidR="003B76FA" w:rsidRPr="003B76FA" w:rsidRDefault="003B76FA" w:rsidP="003B76FA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</w:pPr>
          </w:p>
          <w:p w14:paraId="30124773" w14:textId="77777777" w:rsidR="003B76FA" w:rsidRPr="00FE139C" w:rsidRDefault="003B76FA" w:rsidP="003B76FA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</w:pPr>
            <w:r w:rsidRPr="003B76FA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>-barva červená</w:t>
            </w:r>
            <w:r w:rsidRPr="00FE139C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 xml:space="preserve">                   </w:t>
            </w:r>
          </w:p>
          <w:p w14:paraId="086F0064" w14:textId="77777777" w:rsidR="003B76FA" w:rsidRPr="003B76FA" w:rsidRDefault="003B76FA" w:rsidP="003B76FA">
            <w:pPr>
              <w:widowControl/>
              <w:shd w:val="clear" w:color="auto" w:fill="FFFFFF"/>
              <w:suppressAutoHyphens w:val="0"/>
              <w:outlineLvl w:val="0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C1F9" w14:textId="77777777" w:rsidR="003B76FA" w:rsidRDefault="003B76FA" w:rsidP="003B76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1D5D4AF8" w14:textId="77777777" w:rsidR="003B76FA" w:rsidRDefault="003B76FA" w:rsidP="003B76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1F11D9F2" w14:textId="77777777" w:rsidR="003B76FA" w:rsidRDefault="003B76FA" w:rsidP="003B76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0AE2E831" w14:textId="77777777" w:rsidR="003B76FA" w:rsidRDefault="003B76FA" w:rsidP="003B76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256EC0D1" w14:textId="3DF25A05" w:rsidR="003B76FA" w:rsidRDefault="003B76FA" w:rsidP="003B76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50D4" w14:textId="77777777" w:rsidR="003B76FA" w:rsidRDefault="003B76FA" w:rsidP="003B76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2A4D94C8" w14:textId="77777777" w:rsidR="003B76FA" w:rsidRDefault="003B76FA" w:rsidP="003B76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7D51863B" w14:textId="77777777" w:rsidR="003B76FA" w:rsidRDefault="003B76FA" w:rsidP="003B76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3B9793DF" w14:textId="77777777" w:rsidR="003B76FA" w:rsidRDefault="003B76FA" w:rsidP="003B76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24E7C627" w14:textId="4110B764" w:rsidR="003B76FA" w:rsidRDefault="003B76FA" w:rsidP="003B76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32.300,-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47F4" w14:textId="77777777" w:rsidR="003B76FA" w:rsidRDefault="003B76FA" w:rsidP="003B76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0ACD2034" w14:textId="77777777" w:rsidR="003B76FA" w:rsidRDefault="003B76FA" w:rsidP="003B76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7A592615" w14:textId="77777777" w:rsidR="003B76FA" w:rsidRDefault="003B76FA" w:rsidP="003B76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4916E080" w14:textId="77777777" w:rsidR="003B76FA" w:rsidRDefault="003B76FA" w:rsidP="003B76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6AA990CB" w14:textId="0DAF657F" w:rsidR="003B76FA" w:rsidRDefault="003B76FA" w:rsidP="003B76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32.300,-</w:t>
            </w:r>
          </w:p>
        </w:tc>
      </w:tr>
      <w:tr w:rsidR="00D11ED3" w14:paraId="0BF56499" w14:textId="0B2D2A09" w:rsidTr="00EE5798">
        <w:trPr>
          <w:trHeight w:val="1692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338A" w14:textId="4DCFC416" w:rsidR="00D11ED3" w:rsidRDefault="00D11ED3">
            <w:pPr>
              <w:widowControl/>
              <w:shd w:val="clear" w:color="auto" w:fill="FFFFFF"/>
              <w:suppressAutoHyphens w:val="0"/>
              <w:outlineLvl w:val="0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 w:rsidRPr="00FE139C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lastRenderedPageBreak/>
              <w:t>Prodejní stánek 200x</w:t>
            </w:r>
            <w:r w:rsidR="003B76FA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210</w:t>
            </w:r>
            <w:r w:rsidR="00EE5798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cm</w:t>
            </w:r>
          </w:p>
          <w:p w14:paraId="0529D356" w14:textId="7F31FDAD" w:rsidR="003B76FA" w:rsidRDefault="003B76FA" w:rsidP="003B76FA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</w:pPr>
            <w:r w:rsidRPr="003B76FA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 xml:space="preserve">-zavěšení na háčky, zipy ke spojení stran, pozinkování, pultové desky spodní 18 mm, pultové desky horní 18 mm, vlnky přední část, vchod zezadu </w:t>
            </w:r>
            <w:r w:rsidR="00FE4C1D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>vlevo</w:t>
            </w:r>
            <w:r w:rsidRPr="003B76FA"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>, suché zipy na vyrolování stěny</w:t>
            </w:r>
          </w:p>
          <w:p w14:paraId="3445A4A7" w14:textId="77777777" w:rsidR="00FE4C1D" w:rsidRDefault="00FE4C1D" w:rsidP="003B76FA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</w:pPr>
          </w:p>
          <w:p w14:paraId="660186A0" w14:textId="0BE0A5AB" w:rsidR="00FE4C1D" w:rsidRPr="003B76FA" w:rsidRDefault="00FE4C1D" w:rsidP="003B76FA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cs-CZ" w:bidi="ar-SA"/>
              </w:rPr>
              <w:t>-barva červená</w:t>
            </w:r>
          </w:p>
          <w:p w14:paraId="45943A3C" w14:textId="77777777" w:rsidR="00D11ED3" w:rsidRDefault="00D11ED3">
            <w:pPr>
              <w:widowControl/>
              <w:shd w:val="clear" w:color="auto" w:fill="FFFFFF"/>
              <w:suppressAutoHyphens w:val="0"/>
              <w:outlineLvl w:val="0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AEBB" w14:textId="77777777" w:rsidR="003B76FA" w:rsidRDefault="003B76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1E60EFFD" w14:textId="77777777" w:rsidR="003B76FA" w:rsidRDefault="003B76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40409F40" w14:textId="77777777" w:rsidR="003B76FA" w:rsidRDefault="003B76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628AE9EF" w14:textId="0A2A39F0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BE8B" w14:textId="77777777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0BB4FCDF" w14:textId="77777777" w:rsidR="00FE4C1D" w:rsidRDefault="00FE4C1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259FD8EA" w14:textId="77777777" w:rsidR="00FE4C1D" w:rsidRDefault="00FE4C1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7C19FC6A" w14:textId="67329F33" w:rsidR="00FE4C1D" w:rsidRDefault="00FE4C1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21.650,-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754E" w14:textId="77777777" w:rsidR="00D11ED3" w:rsidRDefault="00D11E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79D98AC4" w14:textId="77777777" w:rsidR="00FE4C1D" w:rsidRDefault="00FE4C1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7E16DDDF" w14:textId="77777777" w:rsidR="00FE4C1D" w:rsidRDefault="00FE4C1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5EB24933" w14:textId="6C621D62" w:rsidR="00FE4C1D" w:rsidRDefault="00FE4C1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43.300,-</w:t>
            </w:r>
          </w:p>
        </w:tc>
      </w:tr>
      <w:tr w:rsidR="00EE5798" w14:paraId="206BB68A" w14:textId="78AF10A0" w:rsidTr="00EE5798">
        <w:trPr>
          <w:trHeight w:val="8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C7E2" w14:textId="77777777" w:rsidR="00EE5798" w:rsidRPr="006B411F" w:rsidRDefault="00EE579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6F1DC7ED" w14:textId="35E9EA11" w:rsidR="00EE5798" w:rsidRPr="006B411F" w:rsidRDefault="00EE5798" w:rsidP="00EE579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6B411F">
              <w:rPr>
                <w:rFonts w:ascii="Arial" w:hAnsi="Arial"/>
                <w:b/>
                <w:sz w:val="20"/>
                <w:szCs w:val="20"/>
                <w:lang w:eastAsia="cs-CZ"/>
              </w:rPr>
              <w:t xml:space="preserve">Celková cena včetně dopravy:                                                                                                         </w:t>
            </w:r>
            <w:r w:rsidRPr="006B411F"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>133.675,-Kč</w:t>
            </w:r>
          </w:p>
        </w:tc>
      </w:tr>
    </w:tbl>
    <w:p w14:paraId="128AB13F" w14:textId="77777777" w:rsidR="00FE4C1D" w:rsidRDefault="00FE4C1D" w:rsidP="00C53CC0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1095340" w14:textId="0911FFB0" w:rsidR="00C53CC0" w:rsidRDefault="00C53CC0" w:rsidP="00C53CC0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Termín dodání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       do </w:t>
      </w:r>
      <w:r w:rsidR="004F354B">
        <w:rPr>
          <w:rFonts w:ascii="Arial" w:hAnsi="Arial" w:cs="Arial"/>
          <w:b/>
          <w:bCs/>
          <w:sz w:val="20"/>
          <w:szCs w:val="20"/>
        </w:rPr>
        <w:t>31.12.2023</w:t>
      </w:r>
    </w:p>
    <w:p w14:paraId="0DCBA402" w14:textId="6DBE7B1A" w:rsidR="00C53CC0" w:rsidRDefault="00C53CC0" w:rsidP="00C53CC0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Platební podmínky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</w:t>
      </w:r>
      <w:r>
        <w:rPr>
          <w:rFonts w:ascii="Arial" w:hAnsi="Arial" w:cs="Arial"/>
          <w:sz w:val="20"/>
          <w:szCs w:val="20"/>
        </w:rPr>
        <w:t xml:space="preserve">Faktura, splatnost  30 dní </w:t>
      </w:r>
    </w:p>
    <w:p w14:paraId="63E2764A" w14:textId="2506E3CF" w:rsidR="00C53CC0" w:rsidRDefault="00C53CC0" w:rsidP="00C53CC0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Dodací podmínky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:                      </w:t>
      </w:r>
      <w:r>
        <w:rPr>
          <w:rFonts w:ascii="Arial" w:hAnsi="Arial" w:cs="Arial"/>
          <w:sz w:val="20"/>
          <w:szCs w:val="20"/>
        </w:rPr>
        <w:t>Psychiatrická nemocnice Jihlava</w:t>
      </w:r>
      <w:r w:rsidR="007B5EEE">
        <w:rPr>
          <w:rFonts w:ascii="Arial" w:hAnsi="Arial" w:cs="Arial"/>
          <w:sz w:val="20"/>
          <w:szCs w:val="20"/>
        </w:rPr>
        <w:t>, Brněnská 455/54, 586 01 Jihlava</w:t>
      </w:r>
    </w:p>
    <w:p w14:paraId="289B1E8E" w14:textId="2B4FFF65" w:rsidR="00C53CC0" w:rsidRDefault="004F354B" w:rsidP="00C53CC0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Sklad MTZ (budova ředitelství č.6-v přízemí vlevo)</w:t>
      </w:r>
    </w:p>
    <w:p w14:paraId="61EFE329" w14:textId="77777777" w:rsidR="00C53CC0" w:rsidRDefault="00C53CC0" w:rsidP="00C53CC0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</w:p>
    <w:p w14:paraId="4AEA87DE" w14:textId="77777777" w:rsidR="00C53CC0" w:rsidRDefault="00C53CC0" w:rsidP="00C53CC0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</w:p>
    <w:p w14:paraId="226B1FAD" w14:textId="77777777" w:rsidR="00C53CC0" w:rsidRDefault="00C53CC0" w:rsidP="00C53CC0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</w:p>
    <w:p w14:paraId="02AAE307" w14:textId="77777777" w:rsidR="00C53CC0" w:rsidRDefault="00C53CC0" w:rsidP="00C53CC0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Děkuji za vyřízení</w:t>
      </w:r>
    </w:p>
    <w:p w14:paraId="70D43957" w14:textId="77777777" w:rsidR="00C53CC0" w:rsidRDefault="00C53CC0" w:rsidP="00C53CC0">
      <w:pPr>
        <w:pStyle w:val="normln1"/>
        <w:spacing w:after="0" w:line="100" w:lineRule="atLeast"/>
        <w:rPr>
          <w:rFonts w:ascii="Arial" w:hAnsi="Arial" w:cs="Arial"/>
          <w:sz w:val="20"/>
          <w:szCs w:val="20"/>
        </w:rPr>
      </w:pPr>
    </w:p>
    <w:p w14:paraId="18A8A87C" w14:textId="77777777" w:rsidR="00C53CC0" w:rsidRDefault="00C53CC0" w:rsidP="00C53CC0">
      <w:pPr>
        <w:pStyle w:val="normln1"/>
        <w:spacing w:after="0" w:line="100" w:lineRule="atLeast"/>
        <w:rPr>
          <w:rFonts w:ascii="Arial" w:hAnsi="Arial" w:cs="Arial"/>
          <w:sz w:val="20"/>
          <w:szCs w:val="20"/>
        </w:rPr>
      </w:pPr>
    </w:p>
    <w:p w14:paraId="19545A6A" w14:textId="515C6E38" w:rsidR="00C53CC0" w:rsidRDefault="00C53CC0" w:rsidP="00C53CC0">
      <w:pPr>
        <w:pStyle w:val="normln1"/>
        <w:spacing w:after="0" w:line="100" w:lineRule="atLeast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 xml:space="preserve">Datum: </w:t>
      </w:r>
      <w:r w:rsidR="00326956">
        <w:rPr>
          <w:rFonts w:ascii="Arial" w:hAnsi="Arial" w:cs="Arial"/>
          <w:sz w:val="20"/>
          <w:szCs w:val="20"/>
        </w:rPr>
        <w:t>1</w:t>
      </w:r>
      <w:r w:rsidR="009E41A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="00326956">
        <w:rPr>
          <w:rFonts w:ascii="Arial" w:hAnsi="Arial" w:cs="Arial"/>
          <w:sz w:val="20"/>
          <w:szCs w:val="20"/>
        </w:rPr>
        <w:t>1</w:t>
      </w:r>
      <w:r w:rsidR="00A8745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202</w:t>
      </w:r>
      <w:r w:rsidR="0032695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Po</w:t>
      </w:r>
      <w:r>
        <w:rPr>
          <w:rStyle w:val="standardnpsmoodstavce1"/>
          <w:rFonts w:ascii="Arial" w:hAnsi="Arial" w:cs="Arial"/>
          <w:sz w:val="20"/>
          <w:szCs w:val="20"/>
        </w:rPr>
        <w:t>dpis</w:t>
      </w:r>
      <w:r>
        <w:rPr>
          <w:rStyle w:val="standardnpsmoodstavce1"/>
          <w:rFonts w:ascii="Arial" w:hAnsi="Arial"/>
          <w:sz w:val="20"/>
          <w:szCs w:val="20"/>
        </w:rPr>
        <w:t xml:space="preserve">    </w:t>
      </w:r>
      <w:r w:rsidR="00326956">
        <w:rPr>
          <w:rStyle w:val="standardnpsmoodstavce1"/>
          <w:rFonts w:ascii="Arial" w:hAnsi="Arial"/>
          <w:sz w:val="20"/>
          <w:szCs w:val="20"/>
        </w:rPr>
        <w:t>Jiří Procházka</w:t>
      </w:r>
    </w:p>
    <w:p w14:paraId="541D6548" w14:textId="05A8C879" w:rsidR="00C53CC0" w:rsidRDefault="00C53CC0" w:rsidP="00C53CC0">
      <w:r>
        <w:rPr>
          <w:rStyle w:val="standardnpsmoodstavce1"/>
          <w:rFonts w:ascii="Arial" w:hAnsi="Arial"/>
          <w:sz w:val="20"/>
          <w:szCs w:val="20"/>
        </w:rPr>
        <w:t xml:space="preserve">                                                                    vedoucí oddělení veřejných zakázek   </w:t>
      </w:r>
    </w:p>
    <w:p w14:paraId="643937CC" w14:textId="77777777" w:rsidR="00DD551D" w:rsidRDefault="00DD551D"/>
    <w:sectPr w:rsidR="00DD551D" w:rsidSect="00A90A1C">
      <w:headerReference w:type="default" r:id="rId7"/>
      <w:footerReference w:type="default" r:id="rId8"/>
      <w:pgSz w:w="11906" w:h="16838"/>
      <w:pgMar w:top="2267" w:right="850" w:bottom="2267" w:left="850" w:header="850" w:footer="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5492" w14:textId="77777777" w:rsidR="0030092A" w:rsidRDefault="00A90A1C">
      <w:r>
        <w:separator/>
      </w:r>
    </w:p>
  </w:endnote>
  <w:endnote w:type="continuationSeparator" w:id="0">
    <w:p w14:paraId="7462261D" w14:textId="77777777" w:rsidR="0030092A" w:rsidRDefault="00A9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8D88" w14:textId="77777777" w:rsidR="00DD551D" w:rsidRDefault="00A90A1C">
    <w:pPr>
      <w:pStyle w:val="Zpat"/>
    </w:pPr>
    <w:r>
      <w:rPr>
        <w:noProof/>
      </w:rPr>
      <w:drawing>
        <wp:anchor distT="0" distB="0" distL="0" distR="0" simplePos="0" relativeHeight="3" behindDoc="0" locked="0" layoutInCell="0" allowOverlap="1" wp14:anchorId="3EE5B086" wp14:editId="0CB1E83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80810" cy="474345"/>
          <wp:effectExtent l="0" t="0" r="0" b="0"/>
          <wp:wrapSquare wrapText="largest"/>
          <wp:docPr id="1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7F28" w14:textId="77777777" w:rsidR="0030092A" w:rsidRDefault="00A90A1C">
      <w:r>
        <w:separator/>
      </w:r>
    </w:p>
  </w:footnote>
  <w:footnote w:type="continuationSeparator" w:id="0">
    <w:p w14:paraId="22D9635B" w14:textId="77777777" w:rsidR="0030092A" w:rsidRDefault="00A9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B860" w14:textId="77777777" w:rsidR="00DD551D" w:rsidRDefault="00A90A1C">
    <w:pPr>
      <w:pStyle w:val="Zhlav"/>
    </w:pPr>
    <w:r>
      <w:rPr>
        <w:noProof/>
      </w:rPr>
      <w:drawing>
        <wp:anchor distT="0" distB="0" distL="0" distR="0" simplePos="0" relativeHeight="2" behindDoc="0" locked="0" layoutInCell="0" allowOverlap="1" wp14:anchorId="2D43D0A1" wp14:editId="1DA786A9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472555" cy="534670"/>
          <wp:effectExtent l="0" t="0" r="0" b="0"/>
          <wp:wrapSquare wrapText="largest"/>
          <wp:docPr id="1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44" r="-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1D"/>
    <w:rsid w:val="00093E5D"/>
    <w:rsid w:val="0030092A"/>
    <w:rsid w:val="00326956"/>
    <w:rsid w:val="003B76FA"/>
    <w:rsid w:val="00484F4F"/>
    <w:rsid w:val="004F354B"/>
    <w:rsid w:val="006B411F"/>
    <w:rsid w:val="007B5EEE"/>
    <w:rsid w:val="00851520"/>
    <w:rsid w:val="00866123"/>
    <w:rsid w:val="009B4FDF"/>
    <w:rsid w:val="009E41A8"/>
    <w:rsid w:val="00A87452"/>
    <w:rsid w:val="00A90A1C"/>
    <w:rsid w:val="00C53CC0"/>
    <w:rsid w:val="00D11ED3"/>
    <w:rsid w:val="00DD551D"/>
    <w:rsid w:val="00E15D7C"/>
    <w:rsid w:val="00EE5798"/>
    <w:rsid w:val="00F81FFA"/>
    <w:rsid w:val="00FE139C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AD032"/>
  <w15:docId w15:val="{0AF7D9BC-3FF3-4547-B8A1-ED2CB1C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SimSun" w:hAnsi="Times New Roman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semiHidden/>
    <w:unhideWhenUsed/>
    <w:rsid w:val="00C53CC0"/>
    <w:rPr>
      <w:rFonts w:ascii="Times New Roman" w:hAnsi="Times New Roman" w:cs="Times New Roman" w:hint="default"/>
      <w:color w:val="000080"/>
      <w:u w:val="single"/>
    </w:rPr>
  </w:style>
  <w:style w:type="paragraph" w:styleId="Bezmezer">
    <w:name w:val="No Spacing"/>
    <w:qFormat/>
    <w:rsid w:val="00C53CC0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ormln1">
    <w:name w:val="normln1"/>
    <w:basedOn w:val="Normln"/>
    <w:rsid w:val="00C53CC0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character" w:customStyle="1" w:styleId="standardnpsmoodstavce1">
    <w:name w:val="standardnpsmoodstavce1"/>
    <w:rsid w:val="00C5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olsovska@pn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Gabriela Olšovská</cp:lastModifiedBy>
  <cp:revision>26</cp:revision>
  <cp:lastPrinted>2023-11-16T09:26:00Z</cp:lastPrinted>
  <dcterms:created xsi:type="dcterms:W3CDTF">2013-09-20T10:11:00Z</dcterms:created>
  <dcterms:modified xsi:type="dcterms:W3CDTF">2023-11-16T09:35:00Z</dcterms:modified>
  <dc:language>cs-CZ</dc:language>
</cp:coreProperties>
</file>