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14E02E12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0C975A48" w:rsidR="00081AF7" w:rsidRDefault="007214B8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2015</w:t>
      </w:r>
      <w:r w:rsidR="00B66801">
        <w:rPr>
          <w:b/>
          <w:bCs/>
          <w:sz w:val="44"/>
          <w:szCs w:val="44"/>
        </w:rPr>
        <w:t>/OIVZ</w:t>
      </w:r>
      <w:r>
        <w:rPr>
          <w:b/>
          <w:bCs/>
          <w:sz w:val="44"/>
          <w:szCs w:val="44"/>
        </w:rPr>
        <w:t>/001</w:t>
      </w:r>
      <w:r w:rsidR="005A3C95">
        <w:rPr>
          <w:b/>
          <w:bCs/>
          <w:sz w:val="44"/>
          <w:szCs w:val="44"/>
        </w:rPr>
        <w:t>,</w:t>
      </w:r>
    </w:p>
    <w:p w14:paraId="1E26EC56" w14:textId="50A95E66" w:rsidR="005A3C95" w:rsidRPr="005A3C95" w:rsidRDefault="005A3C95" w:rsidP="00081AF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evidenční číslo 00841/2023</w:t>
      </w:r>
    </w:p>
    <w:p w14:paraId="4D78127C" w14:textId="77777777" w:rsidR="00C32417" w:rsidRPr="00A76ABF" w:rsidRDefault="00C32417" w:rsidP="00C32417">
      <w:pPr>
        <w:pStyle w:val="Default"/>
        <w:jc w:val="center"/>
        <w:rPr>
          <w:rFonts w:ascii="Arial" w:hAnsi="Arial" w:cs="Arial"/>
          <w:b/>
          <w:bCs/>
          <w:sz w:val="6"/>
          <w:szCs w:val="6"/>
        </w:rPr>
      </w:pPr>
    </w:p>
    <w:p w14:paraId="1269FFDB" w14:textId="6C4A28B6" w:rsidR="00A1678F" w:rsidRPr="00A76ABF" w:rsidRDefault="005A4742" w:rsidP="00C32417">
      <w:pPr>
        <w:jc w:val="center"/>
        <w:rPr>
          <w:szCs w:val="22"/>
        </w:rPr>
      </w:pPr>
      <w:r w:rsidRPr="00A76ABF">
        <w:rPr>
          <w:szCs w:val="22"/>
        </w:rPr>
        <w:t>uzavřené</w:t>
      </w:r>
      <w:r w:rsidR="00A1678F" w:rsidRPr="00A76ABF">
        <w:rPr>
          <w:szCs w:val="22"/>
        </w:rPr>
        <w:t xml:space="preserve"> podle § 2586 a násl. z</w:t>
      </w:r>
      <w:r w:rsidRPr="00A76ABF">
        <w:rPr>
          <w:szCs w:val="22"/>
        </w:rPr>
        <w:t>ákona č. 89/2012 Sb., občanský zákoník</w:t>
      </w:r>
      <w:r w:rsidR="00326F2D" w:rsidRPr="00A76ABF">
        <w:rPr>
          <w:szCs w:val="22"/>
        </w:rPr>
        <w:t>, v platném znění</w:t>
      </w:r>
      <w:r w:rsidR="00A1678F" w:rsidRPr="00A76ABF">
        <w:rPr>
          <w:szCs w:val="22"/>
        </w:rPr>
        <w:t xml:space="preserve"> </w:t>
      </w:r>
    </w:p>
    <w:p w14:paraId="744CEED1" w14:textId="0A893D2D" w:rsidR="006B19A8" w:rsidRDefault="00C32417" w:rsidP="00A76ABF">
      <w:pPr>
        <w:pBdr>
          <w:bottom w:val="single" w:sz="4" w:space="1" w:color="auto"/>
        </w:pBdr>
        <w:spacing w:after="240"/>
        <w:jc w:val="center"/>
        <w:rPr>
          <w:i/>
          <w:szCs w:val="22"/>
        </w:rPr>
      </w:pPr>
      <w:r w:rsidRPr="00A76ABF">
        <w:rPr>
          <w:i/>
          <w:szCs w:val="22"/>
        </w:rPr>
        <w:t>(dále jen „</w:t>
      </w:r>
      <w:r w:rsidR="00326F2D" w:rsidRPr="00A76ABF">
        <w:rPr>
          <w:i/>
          <w:szCs w:val="22"/>
        </w:rPr>
        <w:t>OZ</w:t>
      </w:r>
      <w:r w:rsidRPr="00A76ABF">
        <w:rPr>
          <w:i/>
          <w:szCs w:val="22"/>
        </w:rPr>
        <w:t>“)</w:t>
      </w:r>
    </w:p>
    <w:p w14:paraId="4DFCA131" w14:textId="77777777" w:rsidR="00A76ABF" w:rsidRPr="00A76ABF" w:rsidRDefault="00A76AB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 w:val="6"/>
          <w:szCs w:val="6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3C5D0AC3" w14:textId="77777777" w:rsidR="00B66801" w:rsidRPr="00750455" w:rsidRDefault="00B66801" w:rsidP="00B6680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</w:p>
    <w:p w14:paraId="5872A564" w14:textId="4A0AF817" w:rsidR="00B66801" w:rsidRPr="00750455" w:rsidRDefault="00B66801" w:rsidP="00B66801">
      <w:pPr>
        <w:rPr>
          <w:szCs w:val="22"/>
        </w:rPr>
      </w:pPr>
      <w:r w:rsidRPr="00750455">
        <w:rPr>
          <w:szCs w:val="22"/>
        </w:rPr>
        <w:t>zastoupen</w:t>
      </w:r>
      <w:r>
        <w:rPr>
          <w:szCs w:val="22"/>
        </w:rPr>
        <w:t>á</w:t>
      </w:r>
      <w:r w:rsidRPr="00750455">
        <w:rPr>
          <w:szCs w:val="22"/>
        </w:rPr>
        <w:t xml:space="preserve">:              </w:t>
      </w:r>
      <w:r w:rsidRPr="00750455">
        <w:rPr>
          <w:szCs w:val="22"/>
        </w:rPr>
        <w:tab/>
      </w:r>
      <w:r>
        <w:rPr>
          <w:szCs w:val="22"/>
        </w:rPr>
        <w:tab/>
        <w:t xml:space="preserve">Mgr. Jan Čižinský, starosta </w:t>
      </w:r>
    </w:p>
    <w:p w14:paraId="413FE344" w14:textId="77777777" w:rsidR="00B66801" w:rsidRPr="00750455" w:rsidRDefault="00B66801" w:rsidP="00B6680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szCs w:val="22"/>
        </w:rPr>
        <w:tab/>
        <w:t>U Průhonu 1338/38</w:t>
      </w:r>
      <w:r w:rsidRPr="00750455">
        <w:rPr>
          <w:szCs w:val="22"/>
        </w:rPr>
        <w:t>, 170 00</w:t>
      </w:r>
      <w:r>
        <w:rPr>
          <w:szCs w:val="22"/>
        </w:rPr>
        <w:t>,</w:t>
      </w:r>
      <w:r w:rsidRPr="00750455">
        <w:rPr>
          <w:szCs w:val="22"/>
        </w:rPr>
        <w:t xml:space="preserve"> Praha 7</w:t>
      </w:r>
      <w:r>
        <w:rPr>
          <w:szCs w:val="22"/>
        </w:rPr>
        <w:t xml:space="preserve"> - Holešovice</w:t>
      </w:r>
    </w:p>
    <w:p w14:paraId="4AFE7DCC" w14:textId="77777777" w:rsidR="00B66801" w:rsidRDefault="00B66801" w:rsidP="00B6680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202CC9A3" w14:textId="77777777" w:rsidR="00B66801" w:rsidRPr="00750455" w:rsidRDefault="00B66801" w:rsidP="00B66801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7140337A" w14:textId="77777777" w:rsidR="00B66801" w:rsidRPr="00A96A1B" w:rsidRDefault="00B66801" w:rsidP="00B6680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4703B12D" w14:textId="37267F57" w:rsidR="00B66801" w:rsidRPr="00A96A1B" w:rsidRDefault="00B66801" w:rsidP="00B6680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</w:t>
      </w:r>
      <w:r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14:paraId="73B0EDE0" w14:textId="036E3CFE" w:rsidR="00B66801" w:rsidRPr="00415B35" w:rsidRDefault="00B66801" w:rsidP="00B6680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</w:t>
      </w:r>
      <w:r>
        <w:rPr>
          <w:szCs w:val="22"/>
        </w:rPr>
        <w:tab/>
      </w:r>
      <w:r>
        <w:rPr>
          <w:szCs w:val="22"/>
        </w:rPr>
        <w:tab/>
      </w:r>
    </w:p>
    <w:p w14:paraId="65A2A51B" w14:textId="522C2AAE" w:rsidR="00B66801" w:rsidRPr="00A96A1B" w:rsidRDefault="00B66801" w:rsidP="00B66801">
      <w:pPr>
        <w:spacing w:line="240" w:lineRule="exact"/>
        <w:jc w:val="both"/>
        <w:rPr>
          <w:szCs w:val="22"/>
        </w:rPr>
      </w:pPr>
      <w:r w:rsidRPr="00415B35">
        <w:rPr>
          <w:szCs w:val="22"/>
        </w:rPr>
        <w:t xml:space="preserve">e-mail:                      </w:t>
      </w:r>
      <w:r w:rsidRPr="00415B35">
        <w:rPr>
          <w:szCs w:val="22"/>
        </w:rPr>
        <w:tab/>
      </w:r>
      <w:r>
        <w:rPr>
          <w:szCs w:val="22"/>
        </w:rPr>
        <w:tab/>
      </w:r>
    </w:p>
    <w:p w14:paraId="75002372" w14:textId="002435B2" w:rsidR="00A76ABF" w:rsidRPr="00A76ABF" w:rsidRDefault="00B66801" w:rsidP="00A76ABF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5B642578" w14:textId="78FF4B7E" w:rsidR="00B66801" w:rsidRPr="00A76ABF" w:rsidRDefault="00B66801" w:rsidP="00A76ABF">
      <w:pPr>
        <w:spacing w:line="240" w:lineRule="exact"/>
        <w:jc w:val="both"/>
        <w:rPr>
          <w:i/>
          <w:szCs w:val="22"/>
        </w:rPr>
      </w:pPr>
      <w:r w:rsidRPr="00461D5D">
        <w:rPr>
          <w:b/>
          <w:szCs w:val="22"/>
        </w:rPr>
        <w:t>a</w:t>
      </w:r>
    </w:p>
    <w:p w14:paraId="2BFE5412" w14:textId="77777777" w:rsidR="00B66801" w:rsidRPr="00A76ABF" w:rsidRDefault="00B66801" w:rsidP="00B66801">
      <w:pPr>
        <w:pStyle w:val="Zkladntext"/>
        <w:rPr>
          <w:rFonts w:ascii="Arial" w:hAnsi="Arial" w:cs="Arial"/>
          <w:i/>
          <w:iCs/>
          <w:sz w:val="6"/>
          <w:szCs w:val="6"/>
        </w:rPr>
      </w:pPr>
    </w:p>
    <w:p w14:paraId="414D78E9" w14:textId="70A16372" w:rsidR="005A44E4" w:rsidRPr="007A3FF7" w:rsidRDefault="005A44E4" w:rsidP="005A44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7214B8" w:rsidRPr="007214B8">
        <w:rPr>
          <w:rFonts w:ascii="Arial" w:hAnsi="Arial" w:cs="Arial"/>
          <w:b/>
          <w:sz w:val="22"/>
          <w:szCs w:val="22"/>
        </w:rPr>
        <w:t>MgA. Robert Jansa</w:t>
      </w:r>
      <w:r w:rsidRPr="00D32E2E">
        <w:rPr>
          <w:rFonts w:ascii="Arial" w:hAnsi="Arial" w:cs="Arial"/>
          <w:b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11BAB5B2" w14:textId="7B88EA25" w:rsidR="005A44E4" w:rsidRPr="00025FF7" w:rsidRDefault="005A44E4" w:rsidP="005A44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 w:rsidR="0075291F">
        <w:rPr>
          <w:rFonts w:ascii="Arial" w:hAnsi="Arial" w:cs="Arial"/>
          <w:sz w:val="22"/>
          <w:szCs w:val="22"/>
        </w:rPr>
        <w:t xml:space="preserve">Na Smetance 504/16, 120 00, </w:t>
      </w:r>
      <w:r w:rsidR="007214B8" w:rsidRPr="007214B8">
        <w:rPr>
          <w:rFonts w:ascii="Arial" w:hAnsi="Arial" w:cs="Arial"/>
          <w:sz w:val="22"/>
          <w:szCs w:val="22"/>
        </w:rPr>
        <w:t>Praha 2 - Vinohrady</w:t>
      </w:r>
    </w:p>
    <w:p w14:paraId="42D932C0" w14:textId="0B12256A" w:rsidR="005A44E4" w:rsidRPr="00D32E2E" w:rsidRDefault="005A44E4" w:rsidP="005A44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32E2E">
        <w:rPr>
          <w:rFonts w:ascii="Arial" w:hAnsi="Arial" w:cs="Arial"/>
          <w:sz w:val="22"/>
          <w:szCs w:val="22"/>
        </w:rPr>
        <w:t>IČO:</w:t>
      </w:r>
      <w:r w:rsidRPr="00D32E2E">
        <w:rPr>
          <w:rFonts w:ascii="Arial" w:hAnsi="Arial" w:cs="Arial"/>
          <w:sz w:val="22"/>
          <w:szCs w:val="22"/>
        </w:rPr>
        <w:tab/>
      </w:r>
      <w:r w:rsidRPr="00D32E2E">
        <w:rPr>
          <w:rFonts w:ascii="Arial" w:hAnsi="Arial" w:cs="Arial"/>
          <w:sz w:val="22"/>
          <w:szCs w:val="22"/>
        </w:rPr>
        <w:tab/>
      </w:r>
      <w:r w:rsidRPr="00D32E2E">
        <w:rPr>
          <w:rFonts w:ascii="Arial" w:hAnsi="Arial" w:cs="Arial"/>
          <w:sz w:val="22"/>
          <w:szCs w:val="22"/>
        </w:rPr>
        <w:tab/>
      </w:r>
      <w:r w:rsidRPr="00D32E2E">
        <w:rPr>
          <w:rFonts w:ascii="Arial" w:hAnsi="Arial" w:cs="Arial"/>
          <w:sz w:val="22"/>
          <w:szCs w:val="22"/>
        </w:rPr>
        <w:tab/>
      </w:r>
      <w:r w:rsidR="007214B8" w:rsidRPr="007214B8">
        <w:rPr>
          <w:rFonts w:ascii="Arial" w:hAnsi="Arial" w:cs="Arial"/>
          <w:sz w:val="22"/>
          <w:szCs w:val="22"/>
        </w:rPr>
        <w:t>88813525</w:t>
      </w:r>
    </w:p>
    <w:p w14:paraId="217CB55C" w14:textId="516CAD85" w:rsidR="005A44E4" w:rsidRPr="007A3FF7" w:rsidRDefault="005A44E4" w:rsidP="005A44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32E2E">
        <w:rPr>
          <w:rFonts w:ascii="Arial" w:hAnsi="Arial" w:cs="Arial"/>
          <w:sz w:val="22"/>
          <w:szCs w:val="22"/>
        </w:rPr>
        <w:t>DIČ:</w:t>
      </w:r>
      <w:r w:rsidRPr="00D32E2E">
        <w:rPr>
          <w:rFonts w:ascii="Arial" w:hAnsi="Arial" w:cs="Arial"/>
          <w:sz w:val="22"/>
          <w:szCs w:val="22"/>
        </w:rPr>
        <w:tab/>
      </w:r>
      <w:r w:rsidRPr="00D32E2E">
        <w:rPr>
          <w:rFonts w:ascii="Arial" w:hAnsi="Arial" w:cs="Arial"/>
          <w:sz w:val="22"/>
          <w:szCs w:val="22"/>
        </w:rPr>
        <w:tab/>
      </w:r>
      <w:r w:rsidRPr="00D32E2E">
        <w:rPr>
          <w:rFonts w:ascii="Arial" w:hAnsi="Arial" w:cs="Arial"/>
          <w:sz w:val="22"/>
          <w:szCs w:val="22"/>
        </w:rPr>
        <w:tab/>
      </w:r>
      <w:r w:rsidRPr="00D32E2E">
        <w:rPr>
          <w:rFonts w:ascii="Arial" w:hAnsi="Arial" w:cs="Arial"/>
          <w:sz w:val="22"/>
          <w:szCs w:val="22"/>
        </w:rPr>
        <w:tab/>
      </w:r>
    </w:p>
    <w:p w14:paraId="48465A72" w14:textId="50FB541C" w:rsidR="005A44E4" w:rsidRPr="00865647" w:rsidRDefault="005A44E4" w:rsidP="005A44E4">
      <w:pPr>
        <w:rPr>
          <w:szCs w:val="22"/>
        </w:rPr>
      </w:pPr>
      <w:r>
        <w:rPr>
          <w:szCs w:val="22"/>
        </w:rPr>
        <w:lastRenderedPageBreak/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</w:t>
      </w:r>
      <w:r w:rsidR="007214B8">
        <w:rPr>
          <w:szCs w:val="22"/>
        </w:rPr>
        <w:t xml:space="preserve"> Živnostenském rejstříku od 28. 5. 2012, </w:t>
      </w:r>
      <w:r w:rsidR="007C7FBE">
        <w:rPr>
          <w:szCs w:val="22"/>
        </w:rPr>
        <w:t xml:space="preserve">příslušném </w:t>
      </w:r>
      <w:r w:rsidR="007214B8">
        <w:rPr>
          <w:szCs w:val="22"/>
        </w:rPr>
        <w:t>Úřad</w:t>
      </w:r>
      <w:r w:rsidR="007C7FBE">
        <w:rPr>
          <w:szCs w:val="22"/>
        </w:rPr>
        <w:t>u</w:t>
      </w:r>
      <w:r w:rsidR="007214B8">
        <w:rPr>
          <w:szCs w:val="22"/>
        </w:rPr>
        <w:t xml:space="preserve"> </w:t>
      </w:r>
      <w:r w:rsidR="007C7FBE">
        <w:rPr>
          <w:szCs w:val="22"/>
        </w:rPr>
        <w:t xml:space="preserve">městské části Praha 2 </w:t>
      </w:r>
    </w:p>
    <w:p w14:paraId="250EF99D" w14:textId="2AE9AC59" w:rsidR="00E27678" w:rsidRPr="00E27678" w:rsidRDefault="00E27678" w:rsidP="00E27678">
      <w:pPr>
        <w:spacing w:line="240" w:lineRule="exact"/>
        <w:jc w:val="both"/>
        <w:rPr>
          <w:iCs/>
          <w:color w:val="000000"/>
          <w:szCs w:val="22"/>
        </w:rPr>
      </w:pPr>
      <w:r w:rsidRPr="00E27678">
        <w:rPr>
          <w:iCs/>
          <w:color w:val="000000"/>
          <w:szCs w:val="22"/>
        </w:rPr>
        <w:t xml:space="preserve">bankovní </w:t>
      </w:r>
      <w:r>
        <w:rPr>
          <w:iCs/>
          <w:color w:val="000000"/>
          <w:szCs w:val="22"/>
        </w:rPr>
        <w:t xml:space="preserve">spojení: </w:t>
      </w:r>
      <w:r>
        <w:rPr>
          <w:iCs/>
          <w:color w:val="000000"/>
          <w:szCs w:val="22"/>
        </w:rPr>
        <w:tab/>
      </w:r>
      <w:r>
        <w:rPr>
          <w:iCs/>
          <w:color w:val="000000"/>
          <w:szCs w:val="22"/>
        </w:rPr>
        <w:tab/>
        <w:t>Raiffeisenbank a.s.</w:t>
      </w:r>
    </w:p>
    <w:p w14:paraId="4A8ABF9F" w14:textId="33336DF2" w:rsidR="00E27678" w:rsidRPr="00A0267F" w:rsidRDefault="00E27678" w:rsidP="00E27678">
      <w:pPr>
        <w:spacing w:line="240" w:lineRule="exact"/>
        <w:jc w:val="both"/>
        <w:rPr>
          <w:iCs/>
          <w:szCs w:val="22"/>
        </w:rPr>
      </w:pPr>
      <w:r w:rsidRPr="00E27678">
        <w:rPr>
          <w:iCs/>
          <w:color w:val="000000"/>
          <w:szCs w:val="22"/>
        </w:rPr>
        <w:t xml:space="preserve">číslo účtu: </w:t>
      </w:r>
      <w:r w:rsidRPr="00E27678">
        <w:rPr>
          <w:iCs/>
          <w:color w:val="000000"/>
          <w:szCs w:val="22"/>
        </w:rPr>
        <w:tab/>
      </w:r>
      <w:r w:rsidRPr="00E27678">
        <w:rPr>
          <w:iCs/>
          <w:color w:val="000000"/>
          <w:szCs w:val="22"/>
        </w:rPr>
        <w:tab/>
      </w:r>
      <w:r w:rsidRPr="00E27678">
        <w:rPr>
          <w:iCs/>
          <w:color w:val="000000"/>
          <w:szCs w:val="22"/>
        </w:rPr>
        <w:tab/>
      </w:r>
      <w:r w:rsidRPr="00A0267F">
        <w:rPr>
          <w:iCs/>
          <w:szCs w:val="22"/>
        </w:rPr>
        <w:t xml:space="preserve"> </w:t>
      </w:r>
    </w:p>
    <w:p w14:paraId="47E60A75" w14:textId="570DACA3" w:rsidR="00E27678" w:rsidRPr="00A0267F" w:rsidRDefault="00E27678" w:rsidP="00E27678">
      <w:pPr>
        <w:spacing w:line="240" w:lineRule="exact"/>
        <w:jc w:val="both"/>
        <w:rPr>
          <w:iCs/>
          <w:szCs w:val="22"/>
        </w:rPr>
      </w:pPr>
      <w:r w:rsidRPr="00A0267F">
        <w:rPr>
          <w:iCs/>
          <w:szCs w:val="22"/>
        </w:rPr>
        <w:t>e-mail:</w:t>
      </w:r>
      <w:r w:rsidRPr="00A0267F">
        <w:rPr>
          <w:iCs/>
          <w:szCs w:val="22"/>
        </w:rPr>
        <w:tab/>
      </w:r>
      <w:r w:rsidRPr="00A0267F">
        <w:rPr>
          <w:iCs/>
          <w:szCs w:val="22"/>
        </w:rPr>
        <w:tab/>
      </w:r>
      <w:r w:rsidRPr="00A0267F">
        <w:rPr>
          <w:iCs/>
          <w:szCs w:val="22"/>
        </w:rPr>
        <w:tab/>
      </w:r>
      <w:r w:rsidRPr="00A0267F">
        <w:rPr>
          <w:iCs/>
          <w:szCs w:val="22"/>
        </w:rPr>
        <w:tab/>
      </w:r>
    </w:p>
    <w:p w14:paraId="1EBFC580" w14:textId="42A4CD3F" w:rsidR="00E27678" w:rsidRPr="00A0267F" w:rsidRDefault="00E27678" w:rsidP="00E27678">
      <w:pPr>
        <w:spacing w:line="240" w:lineRule="exact"/>
        <w:jc w:val="both"/>
        <w:rPr>
          <w:iCs/>
          <w:szCs w:val="22"/>
        </w:rPr>
      </w:pPr>
      <w:r w:rsidRPr="00A0267F">
        <w:rPr>
          <w:iCs/>
          <w:szCs w:val="22"/>
        </w:rPr>
        <w:t>telefon:</w:t>
      </w:r>
      <w:r w:rsidRPr="00A0267F">
        <w:rPr>
          <w:iCs/>
          <w:szCs w:val="22"/>
        </w:rPr>
        <w:tab/>
      </w:r>
      <w:r w:rsidRPr="00A0267F">
        <w:rPr>
          <w:iCs/>
          <w:szCs w:val="22"/>
        </w:rPr>
        <w:tab/>
      </w:r>
      <w:r w:rsidRPr="00A0267F">
        <w:rPr>
          <w:iCs/>
          <w:szCs w:val="22"/>
        </w:rPr>
        <w:tab/>
        <w:t xml:space="preserve"> </w:t>
      </w:r>
    </w:p>
    <w:p w14:paraId="523CA132" w14:textId="3E087B98" w:rsidR="00B66801" w:rsidRPr="00E27678" w:rsidRDefault="00B66801" w:rsidP="00E27678">
      <w:pPr>
        <w:spacing w:line="240" w:lineRule="exact"/>
        <w:ind w:firstLine="708"/>
        <w:jc w:val="both"/>
        <w:rPr>
          <w:i/>
          <w:szCs w:val="22"/>
        </w:rPr>
      </w:pPr>
      <w:r w:rsidRPr="00E27678">
        <w:rPr>
          <w:i/>
          <w:szCs w:val="22"/>
        </w:rPr>
        <w:t>(dále jako „Zhotovitel“)</w:t>
      </w:r>
    </w:p>
    <w:p w14:paraId="6A6A1454" w14:textId="77777777" w:rsidR="007C7FBE" w:rsidRDefault="007C7FBE" w:rsidP="00A76ABF">
      <w:pPr>
        <w:spacing w:after="240" w:line="240" w:lineRule="exact"/>
        <w:jc w:val="both"/>
        <w:rPr>
          <w:i/>
          <w:szCs w:val="22"/>
        </w:rPr>
      </w:pPr>
    </w:p>
    <w:p w14:paraId="4672AE94" w14:textId="40B37449" w:rsidR="006B19A8" w:rsidRDefault="008C4059" w:rsidP="005A3C95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E27678">
        <w:rPr>
          <w:szCs w:val="22"/>
        </w:rPr>
        <w:t>2015</w:t>
      </w:r>
      <w:r w:rsidR="00B66801">
        <w:rPr>
          <w:szCs w:val="22"/>
        </w:rPr>
        <w:t>/OIVZ</w:t>
      </w:r>
      <w:r w:rsidR="00E27678">
        <w:rPr>
          <w:szCs w:val="22"/>
        </w:rPr>
        <w:t>/001</w:t>
      </w:r>
      <w:r w:rsidR="00A76ABF">
        <w:rPr>
          <w:szCs w:val="22"/>
        </w:rPr>
        <w:t>, ev. č. 00841/2023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695004">
        <w:rPr>
          <w:szCs w:val="22"/>
        </w:rPr>
        <w:t xml:space="preserve">na </w:t>
      </w:r>
      <w:r w:rsidR="00A1678F">
        <w:rPr>
          <w:szCs w:val="22"/>
        </w:rPr>
        <w:t xml:space="preserve">základě rozhodnutí Rady MČ Praha 7 č. </w:t>
      </w:r>
      <w:r w:rsidR="00A1678F" w:rsidRPr="00F95092">
        <w:rPr>
          <w:szCs w:val="22"/>
        </w:rPr>
        <w:t xml:space="preserve">usnesení </w:t>
      </w:r>
      <w:r w:rsidR="005572ED">
        <w:rPr>
          <w:szCs w:val="22"/>
        </w:rPr>
        <w:t>0671</w:t>
      </w:r>
      <w:r w:rsidR="001D7544">
        <w:rPr>
          <w:szCs w:val="22"/>
        </w:rPr>
        <w:t>/23</w:t>
      </w:r>
      <w:r w:rsidR="005572ED">
        <w:rPr>
          <w:szCs w:val="22"/>
        </w:rPr>
        <w:t xml:space="preserve">-R z jednání č. 55 ze dne 14. 11. </w:t>
      </w:r>
      <w:r w:rsidR="001D7544">
        <w:rPr>
          <w:szCs w:val="22"/>
        </w:rPr>
        <w:t>2023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1D06CA92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>souladu s čl</w:t>
      </w:r>
      <w:r w:rsidR="00443D4D">
        <w:rPr>
          <w:szCs w:val="22"/>
        </w:rPr>
        <w:t>. XI. odst. 9</w:t>
      </w:r>
      <w:r w:rsidR="00695004">
        <w:rPr>
          <w:szCs w:val="22"/>
        </w:rPr>
        <w:t>)</w:t>
      </w:r>
      <w:r w:rsidR="00272EE2" w:rsidRPr="005A44E4">
        <w:rPr>
          <w:szCs w:val="22"/>
        </w:rPr>
        <w:t xml:space="preserve"> S</w:t>
      </w:r>
      <w:r w:rsidR="00272EE2" w:rsidRPr="005A44E4">
        <w:rPr>
          <w:szCs w:val="22"/>
          <w:lang w:eastAsia="cs-CZ"/>
        </w:rPr>
        <w:t>mlouvy</w:t>
      </w:r>
      <w:r w:rsidR="00272EE2" w:rsidRPr="00B66801">
        <w:rPr>
          <w:szCs w:val="22"/>
          <w:lang w:eastAsia="cs-CZ"/>
        </w:rPr>
        <w:t xml:space="preserve"> o dílo</w:t>
      </w:r>
      <w:r w:rsidR="00272EE2" w:rsidRPr="0029607B">
        <w:rPr>
          <w:szCs w:val="22"/>
          <w:lang w:eastAsia="cs-CZ"/>
        </w:rPr>
        <w:t xml:space="preserve"> č. </w:t>
      </w:r>
      <w:r w:rsidR="00330331" w:rsidRPr="0029607B">
        <w:rPr>
          <w:szCs w:val="22"/>
        </w:rPr>
        <w:t>20</w:t>
      </w:r>
      <w:r w:rsidR="00443D4D">
        <w:rPr>
          <w:szCs w:val="22"/>
        </w:rPr>
        <w:t>15</w:t>
      </w:r>
      <w:r w:rsidR="00B66801">
        <w:rPr>
          <w:szCs w:val="22"/>
        </w:rPr>
        <w:t>/OIVZ</w:t>
      </w:r>
      <w:r w:rsidR="00443D4D">
        <w:rPr>
          <w:szCs w:val="22"/>
        </w:rPr>
        <w:t>/001</w:t>
      </w:r>
      <w:r w:rsidR="00A76ABF">
        <w:rPr>
          <w:szCs w:val="22"/>
        </w:rPr>
        <w:t>, ev. č. 00843/2023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9B5139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443D4D">
        <w:rPr>
          <w:szCs w:val="22"/>
        </w:rPr>
        <w:t xml:space="preserve"> na služby</w:t>
      </w:r>
      <w:r w:rsidR="00A8293C" w:rsidRPr="00A8293C">
        <w:rPr>
          <w:szCs w:val="22"/>
        </w:rPr>
        <w:t xml:space="preserve"> </w:t>
      </w:r>
      <w:r w:rsidRPr="00A8293C">
        <w:rPr>
          <w:szCs w:val="22"/>
        </w:rPr>
        <w:t>s</w:t>
      </w:r>
      <w:r w:rsidR="00A76ABF">
        <w:rPr>
          <w:szCs w:val="22"/>
        </w:rPr>
        <w:t xml:space="preserve"> názvem </w:t>
      </w:r>
      <w:r w:rsidR="00081AF7" w:rsidRPr="00A8293C">
        <w:rPr>
          <w:b/>
          <w:szCs w:val="22"/>
        </w:rPr>
        <w:t>„</w:t>
      </w:r>
      <w:r w:rsidR="00443D4D" w:rsidRPr="00443D4D">
        <w:rPr>
          <w:b/>
          <w:szCs w:val="22"/>
        </w:rPr>
        <w:t>Návrh nové grafické podoby časopisu Hobulet a předtisková příprava jednotlivých vydání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3E42A795" w:rsidR="00B131B4" w:rsidRPr="00A8293C" w:rsidRDefault="00B52C79" w:rsidP="00A0267F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443D4D">
        <w:rPr>
          <w:szCs w:val="22"/>
        </w:rPr>
        <w:t>9</w:t>
      </w:r>
      <w:r w:rsidRPr="00A8293C">
        <w:rPr>
          <w:szCs w:val="22"/>
        </w:rPr>
        <w:t xml:space="preserve">. </w:t>
      </w:r>
      <w:r w:rsidR="00443D4D">
        <w:rPr>
          <w:szCs w:val="22"/>
        </w:rPr>
        <w:t>3. 2015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443D4D">
        <w:rPr>
          <w:szCs w:val="22"/>
        </w:rPr>
        <w:t>167</w:t>
      </w:r>
      <w:r w:rsidRPr="00A8293C">
        <w:rPr>
          <w:szCs w:val="22"/>
        </w:rPr>
        <w:t>/</w:t>
      </w:r>
      <w:r w:rsidR="00443D4D">
        <w:rPr>
          <w:szCs w:val="22"/>
        </w:rPr>
        <w:t>15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</w:t>
      </w:r>
      <w:r w:rsidRPr="005A44E4">
        <w:rPr>
          <w:szCs w:val="22"/>
        </w:rPr>
        <w:t xml:space="preserve">ání č. </w:t>
      </w:r>
      <w:r w:rsidR="00443D4D">
        <w:rPr>
          <w:szCs w:val="22"/>
        </w:rPr>
        <w:t>10</w:t>
      </w:r>
      <w:r w:rsidR="00485F8A" w:rsidRPr="005A44E4">
        <w:rPr>
          <w:szCs w:val="22"/>
        </w:rPr>
        <w:t>,</w:t>
      </w:r>
      <w:r w:rsidR="00F25192" w:rsidRPr="005A44E4">
        <w:rPr>
          <w:szCs w:val="22"/>
        </w:rPr>
        <w:t xml:space="preserve"> ze </w:t>
      </w:r>
      <w:r w:rsidR="00443D4D">
        <w:rPr>
          <w:szCs w:val="22"/>
        </w:rPr>
        <w:t>dne 24</w:t>
      </w:r>
      <w:r w:rsidRPr="005A44E4">
        <w:rPr>
          <w:szCs w:val="22"/>
        </w:rPr>
        <w:t xml:space="preserve">. </w:t>
      </w:r>
      <w:r w:rsidR="00443D4D">
        <w:rPr>
          <w:szCs w:val="22"/>
        </w:rPr>
        <w:t>2. 2015</w:t>
      </w:r>
      <w:r w:rsidRPr="005A44E4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50C1D6DD" w14:textId="6DB78C96" w:rsidR="00532D79" w:rsidRDefault="00D34CFE" w:rsidP="00D34CFE">
      <w:pPr>
        <w:numPr>
          <w:ilvl w:val="0"/>
          <w:numId w:val="16"/>
        </w:numPr>
        <w:jc w:val="both"/>
        <w:rPr>
          <w:szCs w:val="22"/>
        </w:rPr>
      </w:pPr>
      <w:r>
        <w:rPr>
          <w:szCs w:val="22"/>
        </w:rPr>
        <w:t xml:space="preserve">S účinností od 10. 3. 2020 </w:t>
      </w:r>
      <w:r w:rsidR="00532D79">
        <w:rPr>
          <w:szCs w:val="22"/>
        </w:rPr>
        <w:t xml:space="preserve">bylo </w:t>
      </w:r>
      <w:r>
        <w:rPr>
          <w:szCs w:val="22"/>
        </w:rPr>
        <w:t xml:space="preserve">změněno sídlo Objednatele takto: </w:t>
      </w:r>
      <w:r w:rsidRPr="00D34CFE">
        <w:rPr>
          <w:szCs w:val="22"/>
        </w:rPr>
        <w:t>MĚSTSKÁ ČÁST PRAHA 7</w:t>
      </w:r>
      <w:r>
        <w:rPr>
          <w:szCs w:val="22"/>
        </w:rPr>
        <w:t xml:space="preserve">, </w:t>
      </w:r>
      <w:r w:rsidRPr="00D34CFE">
        <w:rPr>
          <w:szCs w:val="22"/>
        </w:rPr>
        <w:t>U průhonu 1338/38, 170 00, Praha 7 - Holešovice</w:t>
      </w:r>
      <w:r w:rsidR="00996FA3">
        <w:rPr>
          <w:szCs w:val="22"/>
        </w:rPr>
        <w:t>.</w:t>
      </w:r>
    </w:p>
    <w:p w14:paraId="2B2BDA0E" w14:textId="77777777" w:rsidR="00996FA3" w:rsidRPr="00137D8A" w:rsidRDefault="00996FA3" w:rsidP="00137D8A">
      <w:pPr>
        <w:ind w:left="340"/>
        <w:jc w:val="both"/>
        <w:rPr>
          <w:szCs w:val="22"/>
        </w:rPr>
      </w:pPr>
    </w:p>
    <w:p w14:paraId="68E2B41D" w14:textId="09BA725C" w:rsidR="006A53F1" w:rsidRPr="00A76ABF" w:rsidRDefault="00272EE2" w:rsidP="008D6AEA">
      <w:pPr>
        <w:numPr>
          <w:ilvl w:val="0"/>
          <w:numId w:val="16"/>
        </w:numPr>
        <w:jc w:val="both"/>
        <w:rPr>
          <w:szCs w:val="22"/>
        </w:rPr>
      </w:pPr>
      <w:r w:rsidRPr="00A0267F">
        <w:rPr>
          <w:b/>
          <w:szCs w:val="22"/>
        </w:rPr>
        <w:t>V</w:t>
      </w:r>
      <w:r w:rsidR="00330331" w:rsidRPr="00A0267F">
        <w:rPr>
          <w:b/>
          <w:szCs w:val="22"/>
        </w:rPr>
        <w:t xml:space="preserve">e </w:t>
      </w:r>
      <w:r w:rsidR="009B5139">
        <w:rPr>
          <w:b/>
          <w:szCs w:val="22"/>
        </w:rPr>
        <w:t>smlo</w:t>
      </w:r>
      <w:r w:rsidR="00330331" w:rsidRPr="00A0267F">
        <w:rPr>
          <w:b/>
          <w:szCs w:val="22"/>
        </w:rPr>
        <w:t>uvě v</w:t>
      </w:r>
      <w:r w:rsidR="008D71C2" w:rsidRPr="00A0267F">
        <w:rPr>
          <w:b/>
          <w:szCs w:val="22"/>
        </w:rPr>
        <w:t> čl. IV. C</w:t>
      </w:r>
      <w:r w:rsidR="00A0267F" w:rsidRPr="00A0267F">
        <w:rPr>
          <w:b/>
          <w:szCs w:val="22"/>
        </w:rPr>
        <w:t xml:space="preserve">ena za dílo a platební podmínky </w:t>
      </w:r>
      <w:r w:rsidR="009B5139" w:rsidRPr="00A76ABF">
        <w:rPr>
          <w:szCs w:val="22"/>
        </w:rPr>
        <w:t xml:space="preserve">se </w:t>
      </w:r>
      <w:r w:rsidRPr="00A76ABF">
        <w:rPr>
          <w:szCs w:val="22"/>
        </w:rPr>
        <w:t>mění</w:t>
      </w:r>
      <w:r w:rsidR="009B5139" w:rsidRPr="00A76ABF">
        <w:rPr>
          <w:szCs w:val="22"/>
        </w:rPr>
        <w:t xml:space="preserve"> a doplňuje</w:t>
      </w:r>
      <w:r w:rsidR="008D71C2" w:rsidRPr="00A76ABF">
        <w:rPr>
          <w:szCs w:val="22"/>
        </w:rPr>
        <w:t xml:space="preserve"> </w:t>
      </w:r>
      <w:r w:rsidR="009B5139" w:rsidRPr="00A76ABF">
        <w:rPr>
          <w:szCs w:val="22"/>
        </w:rPr>
        <w:br/>
      </w:r>
      <w:r w:rsidR="008D71C2" w:rsidRPr="00A76ABF">
        <w:rPr>
          <w:szCs w:val="22"/>
        </w:rPr>
        <w:t>odstavec 3)</w:t>
      </w:r>
      <w:r w:rsidR="008E0AA2" w:rsidRPr="00A76ABF">
        <w:rPr>
          <w:szCs w:val="22"/>
        </w:rPr>
        <w:t xml:space="preserve"> takto</w:t>
      </w:r>
      <w:r w:rsidRPr="00A76ABF">
        <w:rPr>
          <w:szCs w:val="22"/>
        </w:rPr>
        <w:t xml:space="preserve">: </w:t>
      </w:r>
    </w:p>
    <w:p w14:paraId="6E9357C9" w14:textId="77777777" w:rsidR="008D6AEA" w:rsidRPr="008D6AEA" w:rsidRDefault="008D6AEA" w:rsidP="008D6AEA">
      <w:pPr>
        <w:ind w:left="708"/>
        <w:jc w:val="both"/>
        <w:rPr>
          <w:sz w:val="6"/>
          <w:szCs w:val="6"/>
        </w:rPr>
      </w:pPr>
    </w:p>
    <w:p w14:paraId="6F8B44BC" w14:textId="53F493F0" w:rsidR="00326F2D" w:rsidRPr="007B6037" w:rsidRDefault="00EF6C8C" w:rsidP="008D6AEA">
      <w:pPr>
        <w:spacing w:after="240"/>
        <w:ind w:left="340"/>
        <w:jc w:val="both"/>
        <w:rPr>
          <w:szCs w:val="22"/>
        </w:rPr>
      </w:pPr>
      <w:r w:rsidRPr="00695004">
        <w:rPr>
          <w:szCs w:val="22"/>
        </w:rPr>
        <w:lastRenderedPageBreak/>
        <w:t>„</w:t>
      </w:r>
      <w:r w:rsidR="009B5139">
        <w:rPr>
          <w:szCs w:val="22"/>
        </w:rPr>
        <w:t xml:space="preserve">3) </w:t>
      </w:r>
      <w:r w:rsidR="00695004" w:rsidRPr="00695004">
        <w:rPr>
          <w:szCs w:val="22"/>
        </w:rPr>
        <w:t xml:space="preserve">Cena za </w:t>
      </w:r>
      <w:r w:rsidR="00A76ABF">
        <w:rPr>
          <w:szCs w:val="22"/>
        </w:rPr>
        <w:t>druhou část díla</w:t>
      </w:r>
      <w:r w:rsidR="001F023E">
        <w:rPr>
          <w:szCs w:val="22"/>
        </w:rPr>
        <w:t xml:space="preserve">, tj. </w:t>
      </w:r>
      <w:r w:rsidR="00A76ABF">
        <w:rPr>
          <w:szCs w:val="22"/>
        </w:rPr>
        <w:t xml:space="preserve">za </w:t>
      </w:r>
      <w:r w:rsidR="00695004" w:rsidRPr="00695004">
        <w:rPr>
          <w:szCs w:val="22"/>
        </w:rPr>
        <w:t>každé jednotlivé vydání časopisu</w:t>
      </w:r>
      <w:r w:rsidR="00695004">
        <w:rPr>
          <w:szCs w:val="22"/>
        </w:rPr>
        <w:t xml:space="preserve"> Hobulet </w:t>
      </w:r>
      <w:r w:rsidR="00A76ABF">
        <w:rPr>
          <w:szCs w:val="22"/>
        </w:rPr>
        <w:t xml:space="preserve">je </w:t>
      </w:r>
      <w:r w:rsidR="00695004" w:rsidRPr="00A0267F">
        <w:rPr>
          <w:szCs w:val="22"/>
        </w:rPr>
        <w:t xml:space="preserve">sjednána ve </w:t>
      </w:r>
      <w:r w:rsidR="00A0267F" w:rsidRPr="00A0267F">
        <w:rPr>
          <w:szCs w:val="22"/>
        </w:rPr>
        <w:t xml:space="preserve">výši 42 000 Kč (slovy: čtyřicet dva tisíce </w:t>
      </w:r>
      <w:r w:rsidR="00695004" w:rsidRPr="00A0267F">
        <w:rPr>
          <w:szCs w:val="22"/>
        </w:rPr>
        <w:t>korun českých) bez DPH</w:t>
      </w:r>
      <w:r w:rsidR="00D34CFE">
        <w:rPr>
          <w:szCs w:val="22"/>
        </w:rPr>
        <w:t xml:space="preserve">, </w:t>
      </w:r>
      <w:r w:rsidR="00024D7C" w:rsidRPr="007B6037">
        <w:rPr>
          <w:szCs w:val="22"/>
        </w:rPr>
        <w:t>s účinností od</w:t>
      </w:r>
      <w:r w:rsidR="005B723B" w:rsidRPr="007B6037">
        <w:rPr>
          <w:szCs w:val="22"/>
        </w:rPr>
        <w:t xml:space="preserve"> prosincového vydání časopisu Hobulet v roce 2023. </w:t>
      </w:r>
      <w:r w:rsidR="00695004" w:rsidRPr="007B6037">
        <w:rPr>
          <w:szCs w:val="22"/>
        </w:rPr>
        <w:t>Tato cena je sjednána jako konečná, neměnná a nepřekročitelná.</w:t>
      </w:r>
      <w:r w:rsidR="00272EE2" w:rsidRPr="007B6037">
        <w:rPr>
          <w:szCs w:val="22"/>
        </w:rPr>
        <w:t>“</w:t>
      </w:r>
    </w:p>
    <w:p w14:paraId="2D595F13" w14:textId="094FCD30" w:rsidR="00A0267F" w:rsidRDefault="008D6AEA" w:rsidP="008D6AEA">
      <w:pPr>
        <w:numPr>
          <w:ilvl w:val="0"/>
          <w:numId w:val="16"/>
        </w:numPr>
        <w:jc w:val="both"/>
        <w:rPr>
          <w:b/>
          <w:szCs w:val="22"/>
        </w:rPr>
      </w:pPr>
      <w:r w:rsidRPr="00A0267F">
        <w:rPr>
          <w:b/>
          <w:szCs w:val="22"/>
        </w:rPr>
        <w:t xml:space="preserve">Ve </w:t>
      </w:r>
      <w:r w:rsidR="009B5139">
        <w:rPr>
          <w:b/>
          <w:szCs w:val="22"/>
        </w:rPr>
        <w:t>smlo</w:t>
      </w:r>
      <w:r w:rsidRPr="00A0267F">
        <w:rPr>
          <w:b/>
          <w:szCs w:val="22"/>
        </w:rPr>
        <w:t>uvě v</w:t>
      </w:r>
      <w:r>
        <w:rPr>
          <w:b/>
          <w:szCs w:val="22"/>
        </w:rPr>
        <w:t xml:space="preserve"> čl. X. Trvání </w:t>
      </w:r>
      <w:r w:rsidR="009B5139">
        <w:rPr>
          <w:b/>
          <w:szCs w:val="22"/>
        </w:rPr>
        <w:t>smlo</w:t>
      </w:r>
      <w:r>
        <w:rPr>
          <w:b/>
          <w:szCs w:val="22"/>
        </w:rPr>
        <w:t>uvy</w:t>
      </w:r>
      <w:r w:rsidRPr="00A0267F">
        <w:rPr>
          <w:b/>
          <w:szCs w:val="22"/>
        </w:rPr>
        <w:t xml:space="preserve"> </w:t>
      </w:r>
      <w:r w:rsidR="009B5139" w:rsidRPr="009B5139">
        <w:rPr>
          <w:szCs w:val="22"/>
        </w:rPr>
        <w:t xml:space="preserve">se </w:t>
      </w:r>
      <w:r w:rsidRPr="009B5139">
        <w:rPr>
          <w:szCs w:val="22"/>
        </w:rPr>
        <w:t>mění a doplňuje odstavec 1) a nově zní takto:</w:t>
      </w:r>
    </w:p>
    <w:p w14:paraId="5CD4BDDF" w14:textId="79F297DF" w:rsidR="00EC04C4" w:rsidRDefault="00EC04C4" w:rsidP="00137D8A">
      <w:pPr>
        <w:spacing w:after="240"/>
        <w:ind w:left="340"/>
        <w:jc w:val="both"/>
        <w:rPr>
          <w:szCs w:val="22"/>
        </w:rPr>
      </w:pPr>
      <w:r>
        <w:rPr>
          <w:szCs w:val="22"/>
        </w:rPr>
        <w:t>„</w:t>
      </w:r>
      <w:r w:rsidR="00136DE6">
        <w:rPr>
          <w:szCs w:val="22"/>
        </w:rPr>
        <w:t xml:space="preserve">1) </w:t>
      </w:r>
      <w:r w:rsidR="008D6AEA" w:rsidRPr="008D6AEA">
        <w:rPr>
          <w:szCs w:val="22"/>
        </w:rPr>
        <w:t xml:space="preserve">Tato </w:t>
      </w:r>
      <w:r w:rsidR="009B5139">
        <w:rPr>
          <w:szCs w:val="22"/>
        </w:rPr>
        <w:t>smlo</w:t>
      </w:r>
      <w:r w:rsidR="008D6AEA" w:rsidRPr="008D6AEA">
        <w:rPr>
          <w:szCs w:val="22"/>
        </w:rPr>
        <w:t>u</w:t>
      </w:r>
      <w:r w:rsidR="008D6AEA">
        <w:rPr>
          <w:szCs w:val="22"/>
        </w:rPr>
        <w:t>va se uzavírá na dobu neurčitou</w:t>
      </w:r>
      <w:r w:rsidR="00136DE6">
        <w:rPr>
          <w:szCs w:val="22"/>
        </w:rPr>
        <w:t xml:space="preserve"> s tím, že cena za plnění dle smlouvy nesmí přesáhnout částku 2 000 000 Kč bez DPH za 48 </w:t>
      </w:r>
      <w:r w:rsidR="009B5139">
        <w:rPr>
          <w:szCs w:val="22"/>
        </w:rPr>
        <w:t>měsíců</w:t>
      </w:r>
      <w:r w:rsidR="00136DE6">
        <w:rPr>
          <w:szCs w:val="22"/>
        </w:rPr>
        <w:t>.“</w:t>
      </w:r>
    </w:p>
    <w:p w14:paraId="6D6B1910" w14:textId="21CE6428" w:rsidR="00272EE2" w:rsidRPr="00EC0D0B" w:rsidRDefault="00272EE2">
      <w:pPr>
        <w:numPr>
          <w:ilvl w:val="0"/>
          <w:numId w:val="16"/>
        </w:numPr>
        <w:jc w:val="both"/>
        <w:rPr>
          <w:b/>
          <w:szCs w:val="22"/>
        </w:rPr>
      </w:pPr>
      <w:r w:rsidRPr="00EC0D0B">
        <w:rPr>
          <w:b/>
          <w:szCs w:val="22"/>
        </w:rPr>
        <w:t>V</w:t>
      </w:r>
      <w:r w:rsidR="009B5139" w:rsidRPr="00EC0D0B">
        <w:rPr>
          <w:b/>
          <w:szCs w:val="22"/>
        </w:rPr>
        <w:t>e s</w:t>
      </w:r>
      <w:r w:rsidR="00330331" w:rsidRPr="00EC0D0B">
        <w:rPr>
          <w:b/>
          <w:szCs w:val="22"/>
        </w:rPr>
        <w:t>mlouvě v</w:t>
      </w:r>
      <w:r w:rsidR="00443D4D" w:rsidRPr="00EC0D0B">
        <w:rPr>
          <w:b/>
          <w:szCs w:val="22"/>
        </w:rPr>
        <w:t> čl. XI</w:t>
      </w:r>
      <w:r w:rsidRPr="00EC0D0B">
        <w:rPr>
          <w:b/>
          <w:szCs w:val="22"/>
        </w:rPr>
        <w:t xml:space="preserve">. </w:t>
      </w:r>
      <w:r w:rsidR="00695004" w:rsidRPr="00EC0D0B">
        <w:rPr>
          <w:b/>
          <w:szCs w:val="22"/>
        </w:rPr>
        <w:t xml:space="preserve">Společná ujednání </w:t>
      </w:r>
      <w:r w:rsidR="009B5139" w:rsidRPr="00EC0D0B">
        <w:rPr>
          <w:szCs w:val="22"/>
        </w:rPr>
        <w:t xml:space="preserve">se </w:t>
      </w:r>
      <w:r w:rsidR="00EC0D0B" w:rsidRPr="00EC0D0B">
        <w:rPr>
          <w:szCs w:val="22"/>
        </w:rPr>
        <w:t xml:space="preserve">přečísluje, </w:t>
      </w:r>
      <w:r w:rsidR="00695004" w:rsidRPr="00EC0D0B">
        <w:rPr>
          <w:szCs w:val="22"/>
        </w:rPr>
        <w:t>mění a doplň</w:t>
      </w:r>
      <w:r w:rsidR="00443D4D" w:rsidRPr="00EC0D0B">
        <w:rPr>
          <w:szCs w:val="22"/>
        </w:rPr>
        <w:t>uje odst. 1</w:t>
      </w:r>
      <w:r w:rsidR="00EC0D0B" w:rsidRPr="00EC0D0B">
        <w:rPr>
          <w:szCs w:val="22"/>
        </w:rPr>
        <w:t>3</w:t>
      </w:r>
      <w:r w:rsidR="00695004" w:rsidRPr="00EC0D0B">
        <w:rPr>
          <w:szCs w:val="22"/>
        </w:rPr>
        <w:t>)</w:t>
      </w:r>
      <w:r w:rsidRPr="00EC0D0B">
        <w:rPr>
          <w:szCs w:val="22"/>
        </w:rPr>
        <w:t xml:space="preserve"> a nově zní takto:</w:t>
      </w:r>
      <w:r w:rsidRPr="00EC0D0B">
        <w:rPr>
          <w:b/>
          <w:szCs w:val="22"/>
        </w:rPr>
        <w:t xml:space="preserve"> </w:t>
      </w:r>
    </w:p>
    <w:p w14:paraId="1E308D39" w14:textId="42C4971E" w:rsidR="00443D4D" w:rsidRPr="00443D4D" w:rsidRDefault="00443D4D" w:rsidP="00443D4D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</w:t>
      </w:r>
      <w:r w:rsidR="00D34CFE">
        <w:rPr>
          <w:szCs w:val="22"/>
        </w:rPr>
        <w:t>3</w:t>
      </w:r>
      <w:r>
        <w:rPr>
          <w:szCs w:val="22"/>
        </w:rPr>
        <w:t xml:space="preserve">) </w:t>
      </w:r>
      <w:r w:rsidRPr="00443D4D">
        <w:rPr>
          <w:szCs w:val="22"/>
        </w:rPr>
        <w:t>Smlouva obsahuje tyto přílohy, je</w:t>
      </w:r>
      <w:r>
        <w:rPr>
          <w:szCs w:val="22"/>
        </w:rPr>
        <w:t xml:space="preserve">ž tvoří její nedílnou součást: </w:t>
      </w:r>
    </w:p>
    <w:p w14:paraId="1F2BD73D" w14:textId="37555E0F" w:rsidR="00443D4D" w:rsidRPr="00443D4D" w:rsidRDefault="00136DE6" w:rsidP="00443D4D">
      <w:pPr>
        <w:suppressAutoHyphens w:val="0"/>
        <w:ind w:left="2124" w:hanging="719"/>
        <w:jc w:val="both"/>
        <w:rPr>
          <w:szCs w:val="22"/>
        </w:rPr>
      </w:pPr>
      <w:r>
        <w:rPr>
          <w:szCs w:val="22"/>
        </w:rPr>
        <w:t xml:space="preserve">č. </w:t>
      </w:r>
      <w:r w:rsidR="00443D4D" w:rsidRPr="00443D4D">
        <w:rPr>
          <w:szCs w:val="22"/>
        </w:rPr>
        <w:t>1 -</w:t>
      </w:r>
      <w:r w:rsidR="00443D4D" w:rsidRPr="00443D4D">
        <w:rPr>
          <w:szCs w:val="22"/>
        </w:rPr>
        <w:tab/>
        <w:t xml:space="preserve">Výzva k podání nabídek pro veřejnou zakázku malého </w:t>
      </w:r>
      <w:r w:rsidR="00443D4D">
        <w:rPr>
          <w:szCs w:val="22"/>
        </w:rPr>
        <w:t xml:space="preserve">rozsahu s názvem „Návrh </w:t>
      </w:r>
      <w:r w:rsidR="00443D4D" w:rsidRPr="00443D4D">
        <w:rPr>
          <w:szCs w:val="22"/>
        </w:rPr>
        <w:t>nové grafické podoby časopisu Hobulet a předt</w:t>
      </w:r>
      <w:r w:rsidR="00443D4D">
        <w:rPr>
          <w:szCs w:val="22"/>
        </w:rPr>
        <w:t xml:space="preserve">isková příprava jednotlivých </w:t>
      </w:r>
      <w:r w:rsidR="00443D4D" w:rsidRPr="00443D4D">
        <w:rPr>
          <w:szCs w:val="22"/>
        </w:rPr>
        <w:t>vydání“</w:t>
      </w:r>
    </w:p>
    <w:p w14:paraId="00119214" w14:textId="6158E85D" w:rsidR="00443D4D" w:rsidRPr="00443D4D" w:rsidRDefault="00443D4D" w:rsidP="00443D4D">
      <w:pPr>
        <w:suppressAutoHyphens w:val="0"/>
        <w:ind w:left="2124" w:hanging="719"/>
        <w:jc w:val="both"/>
        <w:rPr>
          <w:szCs w:val="22"/>
        </w:rPr>
      </w:pPr>
      <w:r w:rsidRPr="00443D4D">
        <w:rPr>
          <w:szCs w:val="22"/>
        </w:rPr>
        <w:t xml:space="preserve">č. 2 -  </w:t>
      </w:r>
      <w:r w:rsidRPr="00443D4D">
        <w:rPr>
          <w:szCs w:val="22"/>
        </w:rPr>
        <w:tab/>
        <w:t>Cenová nabídka zhotovitele podaná do v</w:t>
      </w:r>
      <w:r>
        <w:rPr>
          <w:szCs w:val="22"/>
        </w:rPr>
        <w:t xml:space="preserve">ýběrového řízení o zakázku malého </w:t>
      </w:r>
      <w:r w:rsidRPr="00443D4D">
        <w:rPr>
          <w:szCs w:val="22"/>
        </w:rPr>
        <w:t>rozsahu s názvem „Návrh nové graf</w:t>
      </w:r>
      <w:r>
        <w:rPr>
          <w:szCs w:val="22"/>
        </w:rPr>
        <w:t xml:space="preserve">ické podoby časopisu Hobulet a </w:t>
      </w:r>
      <w:r w:rsidRPr="00443D4D">
        <w:rPr>
          <w:szCs w:val="22"/>
        </w:rPr>
        <w:t>předtisková příprava jednotlivých vydání“</w:t>
      </w:r>
    </w:p>
    <w:p w14:paraId="3D1DB074" w14:textId="44331409" w:rsidR="00443D4D" w:rsidRPr="00443D4D" w:rsidRDefault="00136DE6" w:rsidP="00443D4D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č. </w:t>
      </w:r>
      <w:r w:rsidR="00443D4D" w:rsidRPr="00443D4D">
        <w:rPr>
          <w:szCs w:val="22"/>
        </w:rPr>
        <w:t>3 -</w:t>
      </w:r>
      <w:r w:rsidR="00443D4D" w:rsidRPr="00443D4D">
        <w:rPr>
          <w:szCs w:val="22"/>
        </w:rPr>
        <w:tab/>
        <w:t>Výpis ze Živnostenského rejstříku</w:t>
      </w:r>
    </w:p>
    <w:p w14:paraId="791C9505" w14:textId="366E3895" w:rsidR="00443D4D" w:rsidRDefault="00136DE6" w:rsidP="00695004">
      <w:pPr>
        <w:suppressAutoHyphens w:val="0"/>
        <w:ind w:left="2124" w:hanging="708"/>
        <w:jc w:val="both"/>
        <w:rPr>
          <w:szCs w:val="22"/>
        </w:rPr>
      </w:pPr>
      <w:r>
        <w:rPr>
          <w:szCs w:val="22"/>
        </w:rPr>
        <w:t xml:space="preserve">č. </w:t>
      </w:r>
      <w:r w:rsidR="00443D4D" w:rsidRPr="00443D4D">
        <w:rPr>
          <w:szCs w:val="22"/>
        </w:rPr>
        <w:t>4 -</w:t>
      </w:r>
      <w:r w:rsidR="00443D4D" w:rsidRPr="00443D4D">
        <w:rPr>
          <w:szCs w:val="22"/>
        </w:rPr>
        <w:tab/>
        <w:t>Potvrzení o bezdlužnosti vydané příslušným orgánem Finanční správy ČR</w:t>
      </w:r>
    </w:p>
    <w:p w14:paraId="07B890D6" w14:textId="0FE5F6AC" w:rsidR="005723A8" w:rsidRPr="00695004" w:rsidRDefault="00136DE6" w:rsidP="00695004">
      <w:pPr>
        <w:suppressAutoHyphens w:val="0"/>
        <w:spacing w:after="240"/>
        <w:ind w:left="2124" w:hanging="708"/>
        <w:jc w:val="both"/>
        <w:rPr>
          <w:szCs w:val="22"/>
        </w:rPr>
      </w:pPr>
      <w:r>
        <w:rPr>
          <w:szCs w:val="22"/>
        </w:rPr>
        <w:t xml:space="preserve">č. </w:t>
      </w:r>
      <w:r w:rsidR="00651A81">
        <w:rPr>
          <w:szCs w:val="22"/>
        </w:rPr>
        <w:t xml:space="preserve">5 - </w:t>
      </w:r>
      <w:r w:rsidR="00651A81" w:rsidRPr="00A0267F">
        <w:rPr>
          <w:szCs w:val="22"/>
        </w:rPr>
        <w:tab/>
      </w:r>
      <w:r w:rsidR="00695004" w:rsidRPr="00A0267F">
        <w:rPr>
          <w:szCs w:val="22"/>
        </w:rPr>
        <w:t>Ž</w:t>
      </w:r>
      <w:r w:rsidR="00651A81" w:rsidRPr="00A0267F">
        <w:rPr>
          <w:szCs w:val="22"/>
        </w:rPr>
        <w:t xml:space="preserve">ádost zhotovitele o navýšení </w:t>
      </w:r>
      <w:r w:rsidR="00A0267F" w:rsidRPr="00A0267F">
        <w:rPr>
          <w:szCs w:val="22"/>
        </w:rPr>
        <w:t>honoráře</w:t>
      </w:r>
      <w:r w:rsidR="00A0267F">
        <w:rPr>
          <w:szCs w:val="22"/>
        </w:rPr>
        <w:t>“</w:t>
      </w:r>
      <w:r w:rsidR="00A0267F" w:rsidRPr="00A0267F">
        <w:rPr>
          <w:szCs w:val="22"/>
        </w:rPr>
        <w:t xml:space="preserve"> </w:t>
      </w:r>
    </w:p>
    <w:p w14:paraId="66D275B0" w14:textId="1405F761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 w:rsidR="009B5139">
        <w:rPr>
          <w:szCs w:val="22"/>
        </w:rPr>
        <w:t>anovení s</w:t>
      </w:r>
      <w:r>
        <w:rPr>
          <w:szCs w:val="22"/>
        </w:rPr>
        <w:t>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22FB2488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</w:t>
      </w:r>
      <w:r w:rsidR="009B5139">
        <w:t>t Praha 7 do 30 dnů od podpisu s</w:t>
      </w:r>
      <w:r>
        <w:t>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68B41101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="009B5139">
        <w:rPr>
          <w:szCs w:val="22"/>
        </w:rPr>
        <w:t xml:space="preserve"> ke s</w:t>
      </w:r>
      <w:r w:rsidRPr="009B778C">
        <w:rPr>
          <w:szCs w:val="22"/>
        </w:rPr>
        <w:t xml:space="preserve">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112E767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Dodatek č. 1 se vyhotovuje v</w:t>
      </w:r>
      <w:r w:rsidR="007B6037">
        <w:rPr>
          <w:szCs w:val="22"/>
        </w:rPr>
        <w:t>e čtyřech</w:t>
      </w:r>
      <w:r w:rsidR="00137D8A">
        <w:rPr>
          <w:szCs w:val="22"/>
        </w:rPr>
        <w:t xml:space="preserve"> </w:t>
      </w:r>
      <w:r>
        <w:rPr>
          <w:szCs w:val="22"/>
        </w:rPr>
        <w:t>vyhotoveních s platností originálu, z nichž Objednatel obdrží</w:t>
      </w:r>
      <w:r w:rsidR="007B6037">
        <w:rPr>
          <w:szCs w:val="22"/>
        </w:rPr>
        <w:t xml:space="preserve"> tři stejnopisy a Zhotovitel jeden stejnopis</w:t>
      </w:r>
      <w:r>
        <w:rPr>
          <w:szCs w:val="22"/>
        </w:rPr>
        <w:t xml:space="preserve">. </w:t>
      </w:r>
      <w:r w:rsidR="00272EE2" w:rsidRPr="001B7B8A">
        <w:rPr>
          <w:szCs w:val="22"/>
        </w:rPr>
        <w:t xml:space="preserve"> </w:t>
      </w:r>
    </w:p>
    <w:p w14:paraId="6DF68BE3" w14:textId="3300C6F3" w:rsidR="00695004" w:rsidRPr="00695004" w:rsidRDefault="00272EE2" w:rsidP="00695004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A770A9" w:rsidRPr="00F9207C">
        <w:rPr>
          <w:szCs w:val="22"/>
        </w:rPr>
        <w:t>1</w:t>
      </w:r>
      <w:r w:rsidR="007646EA" w:rsidRPr="00F9207C">
        <w:rPr>
          <w:szCs w:val="22"/>
        </w:rPr>
        <w:t xml:space="preserve"> j</w:t>
      </w:r>
      <w:r w:rsidR="00623113" w:rsidRPr="00F9207C">
        <w:rPr>
          <w:szCs w:val="22"/>
        </w:rPr>
        <w:t>sou</w:t>
      </w:r>
      <w:r w:rsidR="007646EA" w:rsidRPr="00F9207C">
        <w:rPr>
          <w:szCs w:val="22"/>
        </w:rPr>
        <w:t xml:space="preserve"> přiložen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následující příloh</w:t>
      </w:r>
      <w:r w:rsidR="00623113" w:rsidRPr="00F9207C">
        <w:rPr>
          <w:szCs w:val="22"/>
        </w:rPr>
        <w:t>y</w:t>
      </w:r>
      <w:r w:rsidR="009B5139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51ADECE8" w:rsidR="007E4AA9" w:rsidRPr="00695004" w:rsidRDefault="00B66801" w:rsidP="00695004">
      <w:pPr>
        <w:ind w:firstLine="708"/>
        <w:jc w:val="both"/>
        <w:rPr>
          <w:szCs w:val="22"/>
        </w:rPr>
      </w:pPr>
      <w:r w:rsidRPr="00695004">
        <w:rPr>
          <w:szCs w:val="22"/>
        </w:rPr>
        <w:t>č.</w:t>
      </w:r>
      <w:r w:rsidR="00695004">
        <w:rPr>
          <w:szCs w:val="22"/>
        </w:rPr>
        <w:t xml:space="preserve"> 5 </w:t>
      </w:r>
      <w:r w:rsidR="00695004" w:rsidRPr="00A0267F">
        <w:rPr>
          <w:szCs w:val="22"/>
        </w:rPr>
        <w:t>-</w:t>
      </w:r>
      <w:r w:rsidR="00695004" w:rsidRPr="00A0267F">
        <w:rPr>
          <w:szCs w:val="22"/>
        </w:rPr>
        <w:tab/>
        <w:t xml:space="preserve">Žádost zhotovitele o navýšení </w:t>
      </w:r>
      <w:r w:rsidR="00A0267F" w:rsidRPr="00A0267F">
        <w:rPr>
          <w:szCs w:val="22"/>
        </w:rPr>
        <w:t>honoráře</w:t>
      </w:r>
    </w:p>
    <w:p w14:paraId="1804D2E5" w14:textId="77777777" w:rsidR="009B778C" w:rsidRPr="00517EAF" w:rsidRDefault="009B778C" w:rsidP="00D34CFE">
      <w:pPr>
        <w:spacing w:line="240" w:lineRule="atLeast"/>
        <w:jc w:val="both"/>
        <w:rPr>
          <w:szCs w:val="22"/>
          <w:lang w:eastAsia="cs-CZ"/>
        </w:rPr>
      </w:pPr>
    </w:p>
    <w:p w14:paraId="6E30F4AC" w14:textId="1E0864DA" w:rsidR="006B19A8" w:rsidRDefault="006558C1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lastRenderedPageBreak/>
        <w:t xml:space="preserve">V Praze dne 14. 11. </w:t>
      </w:r>
      <w:r w:rsidR="001D7544">
        <w:rPr>
          <w:szCs w:val="22"/>
          <w:lang w:eastAsia="cs-CZ"/>
        </w:rPr>
        <w:t>2023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272EE2" w:rsidRPr="00517EAF">
        <w:rPr>
          <w:szCs w:val="22"/>
          <w:lang w:eastAsia="cs-CZ"/>
        </w:rPr>
        <w:t>V Praze</w:t>
      </w:r>
      <w:r>
        <w:rPr>
          <w:szCs w:val="22"/>
          <w:lang w:eastAsia="cs-CZ"/>
        </w:rPr>
        <w:t xml:space="preserve"> dne 15. 11. </w:t>
      </w:r>
      <w:r w:rsidR="001D7544">
        <w:rPr>
          <w:szCs w:val="22"/>
          <w:lang w:eastAsia="cs-CZ"/>
        </w:rPr>
        <w:t>2023</w:t>
      </w:r>
    </w:p>
    <w:p w14:paraId="54D6A2E4" w14:textId="77777777" w:rsidR="007C7FBE" w:rsidRDefault="007C7FBE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635EA822" w14:textId="77777777" w:rsidR="00137D8A" w:rsidRDefault="00137D8A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6C96A34" w14:textId="77777777" w:rsidR="00024D7C" w:rsidRDefault="00024D7C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4D771641" w14:textId="77777777" w:rsidR="007B6037" w:rsidRDefault="007B6037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522BD6D7" w14:textId="77777777" w:rsidR="00B66801" w:rsidRDefault="00B66801" w:rsidP="00B66801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7A1D2DE2" w14:textId="05C31F51" w:rsidR="005A44E4" w:rsidRPr="005A44E4" w:rsidRDefault="005A44E4" w:rsidP="005A44E4">
      <w:pPr>
        <w:tabs>
          <w:tab w:val="left" w:pos="0"/>
        </w:tabs>
        <w:rPr>
          <w:bCs/>
          <w:szCs w:val="22"/>
        </w:rPr>
      </w:pPr>
      <w:r w:rsidRPr="005A44E4">
        <w:rPr>
          <w:b/>
          <w:bCs/>
          <w:szCs w:val="22"/>
        </w:rPr>
        <w:t>Městská část Praha 7</w:t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="00695004" w:rsidRPr="00A0267F">
        <w:rPr>
          <w:b/>
          <w:bCs/>
          <w:szCs w:val="22"/>
        </w:rPr>
        <w:t>MgA. Robert Jansa</w:t>
      </w:r>
    </w:p>
    <w:p w14:paraId="4C7624CC" w14:textId="1D26E8A2" w:rsidR="005A44E4" w:rsidRPr="005A44E4" w:rsidRDefault="005A44E4" w:rsidP="005A44E4">
      <w:pPr>
        <w:tabs>
          <w:tab w:val="left" w:pos="0"/>
        </w:tabs>
        <w:rPr>
          <w:bCs/>
          <w:szCs w:val="22"/>
        </w:rPr>
      </w:pPr>
      <w:r w:rsidRPr="005A44E4">
        <w:rPr>
          <w:bCs/>
          <w:szCs w:val="22"/>
        </w:rPr>
        <w:t>Mgr. Jan Čižinský</w:t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</w:p>
    <w:p w14:paraId="76E2AD56" w14:textId="3D130155" w:rsidR="005A44E4" w:rsidRPr="00F3736C" w:rsidRDefault="005A44E4" w:rsidP="005A44E4">
      <w:pPr>
        <w:tabs>
          <w:tab w:val="left" w:pos="0"/>
        </w:tabs>
        <w:rPr>
          <w:bCs/>
          <w:szCs w:val="22"/>
        </w:rPr>
      </w:pPr>
      <w:r w:rsidRPr="005A44E4">
        <w:rPr>
          <w:bCs/>
          <w:szCs w:val="22"/>
        </w:rPr>
        <w:t>starosta</w:t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  <w:r w:rsidRPr="005A44E4">
        <w:rPr>
          <w:bCs/>
          <w:szCs w:val="22"/>
        </w:rPr>
        <w:tab/>
      </w:r>
    </w:p>
    <w:sectPr w:rsidR="005A44E4" w:rsidRPr="00F3736C" w:rsidSect="007B6037">
      <w:footerReference w:type="default" r:id="rId8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F4D67" w14:textId="77777777" w:rsidR="003F77ED" w:rsidRDefault="003F77ED" w:rsidP="00920B07">
      <w:r>
        <w:separator/>
      </w:r>
    </w:p>
  </w:endnote>
  <w:endnote w:type="continuationSeparator" w:id="0">
    <w:p w14:paraId="63EC8F76" w14:textId="77777777" w:rsidR="003F77ED" w:rsidRDefault="003F77ED" w:rsidP="00920B07">
      <w:r>
        <w:continuationSeparator/>
      </w:r>
    </w:p>
  </w:endnote>
  <w:endnote w:type="continuationNotice" w:id="1">
    <w:p w14:paraId="4B200502" w14:textId="77777777" w:rsidR="003F77ED" w:rsidRDefault="003F7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06D39A1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17178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17178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1717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04258" w14:textId="77777777" w:rsidR="003F77ED" w:rsidRDefault="003F77ED" w:rsidP="00920B07">
      <w:r>
        <w:separator/>
      </w:r>
    </w:p>
  </w:footnote>
  <w:footnote w:type="continuationSeparator" w:id="0">
    <w:p w14:paraId="70D45CAF" w14:textId="77777777" w:rsidR="003F77ED" w:rsidRDefault="003F77ED" w:rsidP="00920B07">
      <w:r>
        <w:continuationSeparator/>
      </w:r>
    </w:p>
  </w:footnote>
  <w:footnote w:type="continuationNotice" w:id="1">
    <w:p w14:paraId="4CD09D51" w14:textId="77777777" w:rsidR="003F77ED" w:rsidRDefault="003F77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43852F7"/>
    <w:multiLevelType w:val="hybridMultilevel"/>
    <w:tmpl w:val="4E0CB400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9"/>
  </w:num>
  <w:num w:numId="5">
    <w:abstractNumId w:val="9"/>
  </w:num>
  <w:num w:numId="6">
    <w:abstractNumId w:val="0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8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24D7C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0EFC"/>
    <w:rsid w:val="00121848"/>
    <w:rsid w:val="00136DE6"/>
    <w:rsid w:val="00137D8A"/>
    <w:rsid w:val="0014123D"/>
    <w:rsid w:val="001413A4"/>
    <w:rsid w:val="00147B35"/>
    <w:rsid w:val="001617A9"/>
    <w:rsid w:val="00161F21"/>
    <w:rsid w:val="00170FAB"/>
    <w:rsid w:val="00171787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1F023E"/>
    <w:rsid w:val="002044D6"/>
    <w:rsid w:val="00213FDA"/>
    <w:rsid w:val="00221D71"/>
    <w:rsid w:val="00232DF1"/>
    <w:rsid w:val="00236572"/>
    <w:rsid w:val="002369F0"/>
    <w:rsid w:val="00236E4A"/>
    <w:rsid w:val="002457D5"/>
    <w:rsid w:val="00250D35"/>
    <w:rsid w:val="00262FDA"/>
    <w:rsid w:val="002651D2"/>
    <w:rsid w:val="00270A0A"/>
    <w:rsid w:val="00272EE2"/>
    <w:rsid w:val="00273447"/>
    <w:rsid w:val="0028057D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1A02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3F77ED"/>
    <w:rsid w:val="00402ABA"/>
    <w:rsid w:val="004230F5"/>
    <w:rsid w:val="00434B0A"/>
    <w:rsid w:val="00443D4D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11BA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2D79"/>
    <w:rsid w:val="00533C9E"/>
    <w:rsid w:val="00534FA9"/>
    <w:rsid w:val="0054049E"/>
    <w:rsid w:val="0055238D"/>
    <w:rsid w:val="00554284"/>
    <w:rsid w:val="005572ED"/>
    <w:rsid w:val="00560EF2"/>
    <w:rsid w:val="005619B6"/>
    <w:rsid w:val="00563736"/>
    <w:rsid w:val="00563C00"/>
    <w:rsid w:val="00564330"/>
    <w:rsid w:val="00567006"/>
    <w:rsid w:val="005723A8"/>
    <w:rsid w:val="005728B1"/>
    <w:rsid w:val="00574B72"/>
    <w:rsid w:val="00575D50"/>
    <w:rsid w:val="00583BB8"/>
    <w:rsid w:val="00596352"/>
    <w:rsid w:val="00596B4A"/>
    <w:rsid w:val="005A26E9"/>
    <w:rsid w:val="005A2832"/>
    <w:rsid w:val="005A3C95"/>
    <w:rsid w:val="005A44E4"/>
    <w:rsid w:val="005A4742"/>
    <w:rsid w:val="005A6CB1"/>
    <w:rsid w:val="005B2A3F"/>
    <w:rsid w:val="005B3A88"/>
    <w:rsid w:val="005B723B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1A81"/>
    <w:rsid w:val="006558C1"/>
    <w:rsid w:val="00680136"/>
    <w:rsid w:val="00687C7D"/>
    <w:rsid w:val="006910FA"/>
    <w:rsid w:val="00695004"/>
    <w:rsid w:val="006A53F1"/>
    <w:rsid w:val="006A7470"/>
    <w:rsid w:val="006B19A8"/>
    <w:rsid w:val="006B6BCE"/>
    <w:rsid w:val="006C197D"/>
    <w:rsid w:val="006C2AB3"/>
    <w:rsid w:val="006D3F8C"/>
    <w:rsid w:val="006D6C23"/>
    <w:rsid w:val="006E1AAD"/>
    <w:rsid w:val="006E2CC5"/>
    <w:rsid w:val="006E54E8"/>
    <w:rsid w:val="0071004C"/>
    <w:rsid w:val="00710C4A"/>
    <w:rsid w:val="00712854"/>
    <w:rsid w:val="007208EA"/>
    <w:rsid w:val="007214B8"/>
    <w:rsid w:val="0072161D"/>
    <w:rsid w:val="0072330E"/>
    <w:rsid w:val="00725739"/>
    <w:rsid w:val="00725F24"/>
    <w:rsid w:val="00731FA7"/>
    <w:rsid w:val="00740563"/>
    <w:rsid w:val="0075291F"/>
    <w:rsid w:val="007549E2"/>
    <w:rsid w:val="00757DAE"/>
    <w:rsid w:val="007646EA"/>
    <w:rsid w:val="007A0F53"/>
    <w:rsid w:val="007B222C"/>
    <w:rsid w:val="007B34C7"/>
    <w:rsid w:val="007B5163"/>
    <w:rsid w:val="007B6037"/>
    <w:rsid w:val="007C7FBE"/>
    <w:rsid w:val="007D216B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5B5F"/>
    <w:rsid w:val="00897B7D"/>
    <w:rsid w:val="008A1E6F"/>
    <w:rsid w:val="008B0814"/>
    <w:rsid w:val="008B1FD5"/>
    <w:rsid w:val="008C4059"/>
    <w:rsid w:val="008C7180"/>
    <w:rsid w:val="008D5E5E"/>
    <w:rsid w:val="008D6AEA"/>
    <w:rsid w:val="008D71C2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404E"/>
    <w:rsid w:val="0097198C"/>
    <w:rsid w:val="00971BB2"/>
    <w:rsid w:val="00972D7C"/>
    <w:rsid w:val="009845C5"/>
    <w:rsid w:val="00995A12"/>
    <w:rsid w:val="00995D0F"/>
    <w:rsid w:val="00996FA3"/>
    <w:rsid w:val="009A2366"/>
    <w:rsid w:val="009B5139"/>
    <w:rsid w:val="009B778C"/>
    <w:rsid w:val="009D7417"/>
    <w:rsid w:val="009E32F8"/>
    <w:rsid w:val="009E4281"/>
    <w:rsid w:val="009E7417"/>
    <w:rsid w:val="009F44FB"/>
    <w:rsid w:val="009F58F2"/>
    <w:rsid w:val="00A0267F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6ABF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0A0B"/>
    <w:rsid w:val="00C47039"/>
    <w:rsid w:val="00C514BC"/>
    <w:rsid w:val="00C51917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4CFE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678"/>
    <w:rsid w:val="00E27EB9"/>
    <w:rsid w:val="00E31E63"/>
    <w:rsid w:val="00E36179"/>
    <w:rsid w:val="00E36233"/>
    <w:rsid w:val="00E408A9"/>
    <w:rsid w:val="00E5230F"/>
    <w:rsid w:val="00E6010A"/>
    <w:rsid w:val="00E64501"/>
    <w:rsid w:val="00E83865"/>
    <w:rsid w:val="00E94C9B"/>
    <w:rsid w:val="00EA0AC9"/>
    <w:rsid w:val="00EA0E2E"/>
    <w:rsid w:val="00EA246C"/>
    <w:rsid w:val="00EA35B5"/>
    <w:rsid w:val="00EB2E1F"/>
    <w:rsid w:val="00EB5DBF"/>
    <w:rsid w:val="00EB673D"/>
    <w:rsid w:val="00EC04C4"/>
    <w:rsid w:val="00EC0D0B"/>
    <w:rsid w:val="00EC3F3B"/>
    <w:rsid w:val="00ED3BAE"/>
    <w:rsid w:val="00EE41A0"/>
    <w:rsid w:val="00EF6C8C"/>
    <w:rsid w:val="00F002A3"/>
    <w:rsid w:val="00F155E1"/>
    <w:rsid w:val="00F2160B"/>
    <w:rsid w:val="00F25192"/>
    <w:rsid w:val="00F462F1"/>
    <w:rsid w:val="00F53A38"/>
    <w:rsid w:val="00F6243A"/>
    <w:rsid w:val="00F76A48"/>
    <w:rsid w:val="00F77C77"/>
    <w:rsid w:val="00F8469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78BE-92FB-48D1-88A8-B11D0A74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2023-11-14T14:53:00Z</cp:lastPrinted>
  <dcterms:created xsi:type="dcterms:W3CDTF">2023-11-16T12:52:00Z</dcterms:created>
  <dcterms:modified xsi:type="dcterms:W3CDTF">2023-11-16T12:52:00Z</dcterms:modified>
</cp:coreProperties>
</file>