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FC" w:rsidRDefault="005477FC" w:rsidP="00265642">
      <w:pPr>
        <w:pStyle w:val="Default"/>
        <w:jc w:val="center"/>
        <w:rPr>
          <w:b/>
          <w:bCs/>
          <w:sz w:val="32"/>
          <w:szCs w:val="32"/>
        </w:rPr>
      </w:pPr>
    </w:p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A02CDF">
        <w:rPr>
          <w:sz w:val="20"/>
          <w:szCs w:val="20"/>
        </w:rPr>
        <w:t>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02CDF">
        <w:rPr>
          <w:sz w:val="20"/>
          <w:szCs w:val="20"/>
        </w:rPr>
        <w:t>xxxx</w:t>
      </w:r>
      <w:proofErr w:type="spellEnd"/>
      <w:r w:rsidR="00FB5BD1" w:rsidRPr="006F7AB3">
        <w:rPr>
          <w:sz w:val="20"/>
          <w:szCs w:val="20"/>
        </w:rPr>
        <w:t xml:space="preserve"> 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883F55" w:rsidRPr="00883F55">
        <w:rPr>
          <w:b/>
          <w:bCs/>
          <w:sz w:val="22"/>
          <w:szCs w:val="22"/>
        </w:rPr>
        <w:t>STROM PRAHA a.s.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727C1F" w:rsidRPr="00727C1F">
        <w:rPr>
          <w:bCs/>
          <w:sz w:val="20"/>
          <w:szCs w:val="20"/>
        </w:rPr>
        <w:t>Lohenická 607, 190 17 Praha 9 - Vinoř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02CDF">
        <w:rPr>
          <w:sz w:val="20"/>
          <w:szCs w:val="20"/>
        </w:rPr>
        <w:t>xxxx</w:t>
      </w:r>
      <w:proofErr w:type="spellEnd"/>
      <w:r w:rsidR="001E3A05">
        <w:rPr>
          <w:sz w:val="20"/>
          <w:szCs w:val="20"/>
        </w:rPr>
        <w:tab/>
      </w:r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A02CDF">
        <w:rPr>
          <w:sz w:val="20"/>
          <w:szCs w:val="20"/>
        </w:rPr>
        <w:t>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02CDF">
        <w:rPr>
          <w:sz w:val="20"/>
          <w:szCs w:val="20"/>
        </w:rPr>
        <w:t>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 xml:space="preserve">Komerční banka, a.s., č. </w:t>
      </w:r>
      <w:proofErr w:type="spellStart"/>
      <w:r w:rsidR="00727C1F" w:rsidRPr="00727C1F">
        <w:rPr>
          <w:sz w:val="20"/>
          <w:szCs w:val="20"/>
        </w:rPr>
        <w:t>ú.</w:t>
      </w:r>
      <w:proofErr w:type="spellEnd"/>
      <w:r w:rsidR="00727C1F" w:rsidRPr="00727C1F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4763D7" w:rsidRPr="006F7AB3">
        <w:rPr>
          <w:b/>
          <w:sz w:val="20"/>
          <w:szCs w:val="20"/>
        </w:rPr>
        <w:t xml:space="preserve">opravu </w:t>
      </w:r>
      <w:r w:rsidR="00323D5F">
        <w:rPr>
          <w:b/>
          <w:sz w:val="20"/>
          <w:szCs w:val="20"/>
        </w:rPr>
        <w:t>kolového traktoru</w:t>
      </w:r>
      <w:r w:rsidR="00AE7205">
        <w:rPr>
          <w:b/>
          <w:sz w:val="20"/>
          <w:szCs w:val="20"/>
        </w:rPr>
        <w:t xml:space="preserve"> </w:t>
      </w:r>
      <w:r w:rsidR="0016067F">
        <w:rPr>
          <w:b/>
          <w:sz w:val="20"/>
          <w:szCs w:val="20"/>
        </w:rPr>
        <w:t xml:space="preserve">John Deere </w:t>
      </w:r>
      <w:r w:rsidR="00323D5F">
        <w:rPr>
          <w:b/>
          <w:sz w:val="20"/>
          <w:szCs w:val="20"/>
        </w:rPr>
        <w:t>6420S</w:t>
      </w:r>
      <w:r w:rsidR="0016067F" w:rsidRPr="006F7AB3">
        <w:rPr>
          <w:b/>
          <w:sz w:val="20"/>
          <w:szCs w:val="20"/>
        </w:rPr>
        <w:t>,</w:t>
      </w:r>
      <w:r w:rsidR="00323D5F">
        <w:rPr>
          <w:b/>
          <w:sz w:val="20"/>
          <w:szCs w:val="20"/>
        </w:rPr>
        <w:t xml:space="preserve"> </w:t>
      </w:r>
      <w:r w:rsidR="00323D5F" w:rsidRPr="006F7AB3">
        <w:rPr>
          <w:b/>
          <w:sz w:val="20"/>
          <w:szCs w:val="20"/>
        </w:rPr>
        <w:t xml:space="preserve">RZ: </w:t>
      </w:r>
      <w:r w:rsidR="00323D5F">
        <w:rPr>
          <w:b/>
          <w:sz w:val="20"/>
          <w:szCs w:val="20"/>
        </w:rPr>
        <w:t>B</w:t>
      </w:r>
      <w:r w:rsidR="00323D5F" w:rsidRPr="006F7AB3">
        <w:rPr>
          <w:b/>
          <w:sz w:val="20"/>
          <w:szCs w:val="20"/>
        </w:rPr>
        <w:t>0</w:t>
      </w:r>
      <w:r w:rsidR="00323D5F">
        <w:rPr>
          <w:b/>
          <w:sz w:val="20"/>
          <w:szCs w:val="20"/>
        </w:rPr>
        <w:t>1</w:t>
      </w:r>
      <w:r w:rsidR="00323D5F" w:rsidRPr="006F7AB3">
        <w:rPr>
          <w:b/>
          <w:sz w:val="20"/>
          <w:szCs w:val="20"/>
        </w:rPr>
        <w:t xml:space="preserve"> </w:t>
      </w:r>
      <w:r w:rsidR="00323D5F">
        <w:rPr>
          <w:b/>
          <w:sz w:val="20"/>
          <w:szCs w:val="20"/>
        </w:rPr>
        <w:t>6077,</w:t>
      </w:r>
      <w:r w:rsidR="0016067F" w:rsidRPr="006F7AB3">
        <w:rPr>
          <w:b/>
          <w:sz w:val="20"/>
          <w:szCs w:val="20"/>
        </w:rPr>
        <w:t xml:space="preserve"> VIN: </w:t>
      </w:r>
      <w:r w:rsidR="00323D5F">
        <w:rPr>
          <w:b/>
          <w:sz w:val="20"/>
          <w:szCs w:val="20"/>
        </w:rPr>
        <w:t>L06420D348602</w:t>
      </w:r>
      <w:r w:rsidR="0016067F">
        <w:rPr>
          <w:b/>
          <w:sz w:val="20"/>
          <w:szCs w:val="20"/>
        </w:rPr>
        <w:t>,</w:t>
      </w:r>
      <w:r w:rsidR="00323D5F">
        <w:rPr>
          <w:b/>
          <w:sz w:val="20"/>
          <w:szCs w:val="20"/>
        </w:rPr>
        <w:t xml:space="preserve"> IČ: 9951</w:t>
      </w:r>
      <w:r w:rsidR="00323D5F" w:rsidRPr="006F7AB3">
        <w:rPr>
          <w:b/>
          <w:sz w:val="20"/>
          <w:szCs w:val="20"/>
        </w:rPr>
        <w:t>/</w:t>
      </w:r>
      <w:r w:rsidR="00323D5F">
        <w:rPr>
          <w:b/>
          <w:sz w:val="20"/>
          <w:szCs w:val="20"/>
        </w:rPr>
        <w:t>715</w:t>
      </w:r>
      <w:r w:rsidR="0016067F">
        <w:rPr>
          <w:b/>
          <w:sz w:val="20"/>
          <w:szCs w:val="20"/>
        </w:rPr>
        <w:t xml:space="preserve"> </w:t>
      </w:r>
      <w:r w:rsidR="001E3A05" w:rsidRPr="00B92FA3">
        <w:rPr>
          <w:b/>
          <w:sz w:val="20"/>
          <w:szCs w:val="20"/>
        </w:rPr>
        <w:t>(dále jen „</w:t>
      </w:r>
      <w:r w:rsidR="00323D5F">
        <w:rPr>
          <w:b/>
          <w:sz w:val="20"/>
          <w:szCs w:val="20"/>
        </w:rPr>
        <w:t>Traktor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323D5F" w:rsidP="00DA18B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Specifikace Díla:</w:t>
      </w:r>
    </w:p>
    <w:p w:rsidR="009357F5" w:rsidRDefault="00037DC2" w:rsidP="00BD748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Oprava</w:t>
      </w:r>
      <w:r w:rsidR="00DA18BA" w:rsidRPr="006F7AB3">
        <w:rPr>
          <w:color w:val="auto"/>
          <w:sz w:val="20"/>
          <w:szCs w:val="20"/>
        </w:rPr>
        <w:t xml:space="preserve"> na výše uvedené</w:t>
      </w:r>
      <w:r w:rsidR="00EA69AB">
        <w:rPr>
          <w:color w:val="auto"/>
          <w:sz w:val="20"/>
          <w:szCs w:val="20"/>
        </w:rPr>
        <w:t>m</w:t>
      </w:r>
      <w:r w:rsidR="007763CD" w:rsidRPr="006F7AB3">
        <w:rPr>
          <w:color w:val="auto"/>
          <w:sz w:val="20"/>
          <w:szCs w:val="20"/>
        </w:rPr>
        <w:t xml:space="preserve"> </w:t>
      </w:r>
      <w:r w:rsidR="00EA69AB">
        <w:rPr>
          <w:color w:val="auto"/>
          <w:sz w:val="20"/>
          <w:szCs w:val="20"/>
        </w:rPr>
        <w:t>Traktoru</w:t>
      </w:r>
      <w:r w:rsidR="00DA18BA" w:rsidRPr="006F7AB3">
        <w:rPr>
          <w:color w:val="auto"/>
          <w:sz w:val="20"/>
          <w:szCs w:val="20"/>
        </w:rPr>
        <w:t xml:space="preserve"> dle požadavků Objednatele ze dne </w:t>
      </w:r>
      <w:r w:rsidR="00EA69AB">
        <w:rPr>
          <w:color w:val="auto"/>
          <w:sz w:val="20"/>
          <w:szCs w:val="20"/>
        </w:rPr>
        <w:t>17</w:t>
      </w:r>
      <w:r w:rsidR="00DA18BA" w:rsidRPr="006F7AB3">
        <w:rPr>
          <w:color w:val="auto"/>
          <w:sz w:val="20"/>
          <w:szCs w:val="20"/>
        </w:rPr>
        <w:t xml:space="preserve">. </w:t>
      </w:r>
      <w:r w:rsidR="00EA69AB">
        <w:rPr>
          <w:color w:val="auto"/>
          <w:sz w:val="20"/>
          <w:szCs w:val="20"/>
        </w:rPr>
        <w:t>10</w:t>
      </w:r>
      <w:r w:rsidR="00DA18BA" w:rsidRPr="006F7AB3">
        <w:rPr>
          <w:color w:val="auto"/>
          <w:sz w:val="20"/>
          <w:szCs w:val="20"/>
        </w:rPr>
        <w:t>. 202</w:t>
      </w:r>
      <w:r w:rsidR="00084FF0" w:rsidRPr="006F7AB3">
        <w:rPr>
          <w:color w:val="auto"/>
          <w:sz w:val="20"/>
          <w:szCs w:val="20"/>
        </w:rPr>
        <w:t>3</w:t>
      </w:r>
      <w:r w:rsidR="00DA18BA" w:rsidRPr="006F7AB3">
        <w:rPr>
          <w:color w:val="auto"/>
          <w:sz w:val="20"/>
          <w:szCs w:val="20"/>
        </w:rPr>
        <w:t>.</w:t>
      </w:r>
      <w:r w:rsidR="00F22CF5" w:rsidRPr="006F7AB3">
        <w:rPr>
          <w:color w:val="auto"/>
          <w:sz w:val="20"/>
          <w:szCs w:val="20"/>
        </w:rPr>
        <w:t xml:space="preserve"> </w:t>
      </w:r>
      <w:r w:rsidR="008E4CDE">
        <w:rPr>
          <w:color w:val="auto"/>
          <w:sz w:val="20"/>
          <w:szCs w:val="20"/>
        </w:rPr>
        <w:t>Provedení</w:t>
      </w:r>
      <w:r w:rsidR="000B783F">
        <w:rPr>
          <w:color w:val="auto"/>
          <w:sz w:val="20"/>
          <w:szCs w:val="20"/>
        </w:rPr>
        <w:t xml:space="preserve"> </w:t>
      </w:r>
      <w:r w:rsidR="00043A99">
        <w:rPr>
          <w:color w:val="auto"/>
          <w:sz w:val="20"/>
          <w:szCs w:val="20"/>
        </w:rPr>
        <w:t xml:space="preserve">oprav </w:t>
      </w:r>
      <w:r w:rsidR="007317CB">
        <w:rPr>
          <w:color w:val="auto"/>
          <w:sz w:val="20"/>
          <w:szCs w:val="20"/>
        </w:rPr>
        <w:t xml:space="preserve">zjištěných </w:t>
      </w:r>
      <w:r w:rsidR="00A313EC">
        <w:rPr>
          <w:color w:val="auto"/>
          <w:sz w:val="20"/>
          <w:szCs w:val="20"/>
        </w:rPr>
        <w:t xml:space="preserve">závad </w:t>
      </w:r>
      <w:r w:rsidR="00EA69AB">
        <w:rPr>
          <w:color w:val="auto"/>
          <w:sz w:val="20"/>
          <w:szCs w:val="20"/>
        </w:rPr>
        <w:t>diagnostikou</w:t>
      </w:r>
      <w:r w:rsidR="007317CB">
        <w:rPr>
          <w:color w:val="auto"/>
          <w:sz w:val="20"/>
          <w:szCs w:val="20"/>
        </w:rPr>
        <w:t xml:space="preserve"> stroje včetně</w:t>
      </w:r>
      <w:r w:rsidR="007C204C">
        <w:rPr>
          <w:color w:val="auto"/>
          <w:sz w:val="20"/>
          <w:szCs w:val="20"/>
        </w:rPr>
        <w:t xml:space="preserve"> dodávky dílů</w:t>
      </w:r>
      <w:r w:rsidR="008D416D" w:rsidRPr="006F7AB3">
        <w:rPr>
          <w:color w:val="auto"/>
          <w:sz w:val="20"/>
          <w:szCs w:val="20"/>
        </w:rPr>
        <w:t xml:space="preserve">. </w:t>
      </w:r>
      <w:r w:rsidR="00EA69AB">
        <w:rPr>
          <w:color w:val="auto"/>
          <w:sz w:val="20"/>
          <w:szCs w:val="20"/>
        </w:rPr>
        <w:t xml:space="preserve">Oprava ovládání TBZ, pojezdové rychlosti. Kontrola akumulátoru tlaku pružení </w:t>
      </w:r>
      <w:r w:rsidR="009357F5">
        <w:rPr>
          <w:color w:val="auto"/>
          <w:sz w:val="20"/>
          <w:szCs w:val="20"/>
        </w:rPr>
        <w:t xml:space="preserve">přední </w:t>
      </w:r>
      <w:r w:rsidR="00EA69AB">
        <w:rPr>
          <w:color w:val="auto"/>
          <w:sz w:val="20"/>
          <w:szCs w:val="20"/>
        </w:rPr>
        <w:t>nápravy a kabiny. Kontrola kompresních tlaků motoru.</w:t>
      </w:r>
      <w:r w:rsidR="009F4C41">
        <w:rPr>
          <w:color w:val="auto"/>
          <w:sz w:val="20"/>
          <w:szCs w:val="20"/>
        </w:rPr>
        <w:t xml:space="preserve"> Montáž zajišťovacího mechanizmu TBZ.</w:t>
      </w:r>
      <w:r w:rsidR="00EA69AB">
        <w:rPr>
          <w:color w:val="auto"/>
          <w:sz w:val="20"/>
          <w:szCs w:val="20"/>
        </w:rPr>
        <w:t xml:space="preserve"> Oprava elektroinstalace dle chybových kódů </w:t>
      </w:r>
      <w:r w:rsidR="009357F5">
        <w:rPr>
          <w:color w:val="auto"/>
          <w:sz w:val="20"/>
          <w:szCs w:val="20"/>
        </w:rPr>
        <w:t>stroje.</w:t>
      </w:r>
    </w:p>
    <w:p w:rsidR="007217BF" w:rsidRDefault="00DA18BA" w:rsidP="00BD748D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Smluvní strany se dohodly, že cena za Dílo činí </w:t>
      </w:r>
      <w:r w:rsidR="00EA69AB">
        <w:rPr>
          <w:b/>
          <w:sz w:val="20"/>
          <w:szCs w:val="20"/>
        </w:rPr>
        <w:t>78 301,12</w:t>
      </w:r>
      <w:r w:rsidR="00B37B0A" w:rsidRPr="006F7AB3">
        <w:rPr>
          <w:sz w:val="20"/>
          <w:szCs w:val="20"/>
        </w:rPr>
        <w:t xml:space="preserve"> </w:t>
      </w:r>
      <w:r w:rsidRPr="006F7AB3">
        <w:rPr>
          <w:b/>
          <w:sz w:val="20"/>
          <w:szCs w:val="20"/>
        </w:rPr>
        <w:t>Kč bez DPH</w:t>
      </w:r>
      <w:r w:rsidR="00031069" w:rsidRPr="006F7AB3">
        <w:rPr>
          <w:b/>
          <w:sz w:val="20"/>
          <w:szCs w:val="20"/>
        </w:rPr>
        <w:t xml:space="preserve">, </w:t>
      </w:r>
      <w:r w:rsidR="004510E6" w:rsidRPr="006F7AB3">
        <w:rPr>
          <w:b/>
          <w:sz w:val="20"/>
          <w:szCs w:val="20"/>
        </w:rPr>
        <w:t xml:space="preserve">k této částce bude připočítaná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666"/>
        <w:gridCol w:w="915"/>
        <w:gridCol w:w="1644"/>
        <w:gridCol w:w="1793"/>
      </w:tblGrid>
      <w:tr w:rsidR="009357F5" w:rsidRPr="009357F5" w:rsidTr="009357F5">
        <w:trPr>
          <w:trHeight w:val="276"/>
        </w:trPr>
        <w:tc>
          <w:tcPr>
            <w:tcW w:w="2000" w:type="dxa"/>
            <w:noWrap/>
            <w:vAlign w:val="center"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4380" w:type="dxa"/>
            <w:noWrap/>
            <w:vAlign w:val="center"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060" w:type="dxa"/>
            <w:noWrap/>
            <w:vAlign w:val="center"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940" w:type="dxa"/>
            <w:noWrap/>
            <w:vAlign w:val="center"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2120" w:type="dxa"/>
            <w:noWrap/>
            <w:vAlign w:val="center"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Cena celkem bez DPH</w:t>
            </w:r>
          </w:p>
        </w:tc>
      </w:tr>
      <w:tr w:rsidR="009357F5" w:rsidRPr="009357F5" w:rsidTr="009357F5">
        <w:trPr>
          <w:trHeight w:val="288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202397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 xml:space="preserve">Zajišťovací sada háku </w:t>
            </w:r>
            <w:proofErr w:type="spellStart"/>
            <w:r w:rsidRPr="009357F5">
              <w:rPr>
                <w:sz w:val="20"/>
                <w:szCs w:val="20"/>
              </w:rPr>
              <w:t>Cat</w:t>
            </w:r>
            <w:proofErr w:type="spellEnd"/>
            <w:r w:rsidRPr="009357F5">
              <w:rPr>
                <w:sz w:val="20"/>
                <w:szCs w:val="20"/>
              </w:rPr>
              <w:t>. 3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1 248,30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1 248,30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RE255150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Spínač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2 848,91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2 848,91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AL117896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Madlo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6 386,48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6 386,48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lastRenderedPageBreak/>
              <w:t>RE70773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Zařízení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2 928,18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2 928,18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RE70623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Přípojná svorka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3 066,52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3 066,52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R104846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PIN elektrických konektorů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42,64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170,56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RE64292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Sada kroužků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244,04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488,08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R51936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Těsnění palivového vedení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12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69,56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834,72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RE64292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Sada kroužků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244,04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976,16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L28226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Šroub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189,34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378,68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14H1039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Matka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63,95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63,95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Žárovka 12V/5W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15,00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15,00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AL76702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Relé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345,58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345,58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Žárovka H3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42,00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42,00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Spotřební materiál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69,00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138,00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Plnění akumulátoru dusíkem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5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250,00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1 250,00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Servisní práce - Volný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35 640,00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35 640,00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 xml:space="preserve">Servisní práce - </w:t>
            </w:r>
            <w:proofErr w:type="spellStart"/>
            <w:r w:rsidRPr="009357F5">
              <w:rPr>
                <w:sz w:val="20"/>
                <w:szCs w:val="20"/>
              </w:rPr>
              <w:t>Geryk</w:t>
            </w:r>
            <w:proofErr w:type="spellEnd"/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8 640,00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8 640,00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Servisní práce - Beránek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8 640,00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8 640,00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Servisní práce - Matyska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2 700,00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2 700,00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 xml:space="preserve">Připojení servis </w:t>
            </w:r>
            <w:proofErr w:type="spellStart"/>
            <w:r w:rsidRPr="009357F5">
              <w:rPr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center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1 500,00 Kč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sz w:val="20"/>
                <w:szCs w:val="20"/>
              </w:rPr>
            </w:pPr>
            <w:r w:rsidRPr="009357F5">
              <w:rPr>
                <w:sz w:val="20"/>
                <w:szCs w:val="20"/>
              </w:rPr>
              <w:t>1 500,00 Kč</w:t>
            </w:r>
          </w:p>
        </w:tc>
      </w:tr>
      <w:tr w:rsidR="009357F5" w:rsidRPr="009357F5" w:rsidTr="009357F5">
        <w:trPr>
          <w:trHeight w:val="276"/>
        </w:trPr>
        <w:tc>
          <w:tcPr>
            <w:tcW w:w="200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060" w:type="dxa"/>
            <w:noWrap/>
            <w:hideMark/>
          </w:tcPr>
          <w:p w:rsidR="009357F5" w:rsidRPr="009357F5" w:rsidRDefault="009357F5" w:rsidP="009357F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9357F5" w:rsidRPr="009357F5" w:rsidRDefault="009357F5" w:rsidP="009357F5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9357F5">
              <w:rPr>
                <w:b/>
                <w:sz w:val="20"/>
                <w:szCs w:val="20"/>
              </w:rPr>
              <w:t>78 301,12 Kč</w:t>
            </w:r>
          </w:p>
        </w:tc>
      </w:tr>
    </w:tbl>
    <w:p w:rsidR="00254AED" w:rsidRPr="006F7AB3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A2247C">
        <w:rPr>
          <w:color w:val="auto"/>
          <w:sz w:val="20"/>
          <w:szCs w:val="20"/>
        </w:rPr>
        <w:t>28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přistavení</w:t>
      </w:r>
      <w:r w:rsidR="00A313EC">
        <w:rPr>
          <w:color w:val="auto"/>
          <w:sz w:val="20"/>
          <w:szCs w:val="20"/>
        </w:rPr>
        <w:t>m</w:t>
      </w:r>
      <w:r w:rsidRPr="006F7AB3">
        <w:rPr>
          <w:color w:val="auto"/>
          <w:sz w:val="20"/>
          <w:szCs w:val="20"/>
        </w:rPr>
        <w:t xml:space="preserve"> </w:t>
      </w:r>
      <w:r w:rsidR="00B971AB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Provozovna </w:t>
      </w:r>
      <w:r>
        <w:rPr>
          <w:color w:val="auto"/>
          <w:sz w:val="20"/>
          <w:szCs w:val="20"/>
        </w:rPr>
        <w:t>Zhotovitele:</w:t>
      </w:r>
      <w:r w:rsidRPr="00B37B0A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STROM PRAHA a.s.., středisko areál VETUNI ŠZP Nový Jičín, Beskydská 913, 741 01 Nový Jičín - Žilina.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B971AB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7217BF" w:rsidRPr="00F651A2" w:rsidRDefault="007217BF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6F7AB3">
        <w:rPr>
          <w:sz w:val="20"/>
          <w:szCs w:val="20"/>
        </w:rPr>
        <w:t>O</w:t>
      </w:r>
      <w:r w:rsidR="00310261" w:rsidRPr="006F7AB3">
        <w:rPr>
          <w:sz w:val="20"/>
          <w:szCs w:val="20"/>
        </w:rPr>
        <w:t>bjednatel</w:t>
      </w:r>
      <w:r w:rsidR="006D45A0" w:rsidRPr="006F7AB3">
        <w:rPr>
          <w:sz w:val="20"/>
          <w:szCs w:val="20"/>
        </w:rPr>
        <w:t xml:space="preserve"> souhlasí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proofErr w:type="spellStart"/>
      <w:r w:rsidR="00A02CDF">
        <w:rPr>
          <w:b/>
          <w:sz w:val="20"/>
          <w:szCs w:val="20"/>
        </w:rPr>
        <w:t>xxxx</w:t>
      </w:r>
      <w:proofErr w:type="spellEnd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bjednatel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lastRenderedPageBreak/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613059">
        <w:rPr>
          <w:color w:val="auto"/>
          <w:sz w:val="20"/>
          <w:szCs w:val="20"/>
        </w:rPr>
        <w:t>2</w:t>
      </w:r>
      <w:r w:rsidR="00B971AB">
        <w:rPr>
          <w:color w:val="auto"/>
          <w:sz w:val="20"/>
          <w:szCs w:val="20"/>
        </w:rPr>
        <w:t>4</w:t>
      </w:r>
      <w:r w:rsidR="008B5F69" w:rsidRPr="006F7AB3">
        <w:rPr>
          <w:color w:val="auto"/>
          <w:sz w:val="20"/>
          <w:szCs w:val="20"/>
        </w:rPr>
        <w:t xml:space="preserve">. </w:t>
      </w:r>
      <w:r w:rsidR="00B971AB">
        <w:rPr>
          <w:color w:val="auto"/>
          <w:sz w:val="20"/>
          <w:szCs w:val="20"/>
        </w:rPr>
        <w:t>10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13059">
        <w:rPr>
          <w:color w:val="auto"/>
          <w:sz w:val="20"/>
          <w:szCs w:val="20"/>
        </w:rPr>
        <w:t>V</w:t>
      </w:r>
      <w:r w:rsidR="00613059" w:rsidRPr="006F7AB3">
        <w:rPr>
          <w:color w:val="auto"/>
          <w:sz w:val="20"/>
          <w:szCs w:val="20"/>
        </w:rPr>
        <w:t> Žilině u Nového Jičína</w:t>
      </w:r>
      <w:r>
        <w:rPr>
          <w:color w:val="auto"/>
          <w:sz w:val="20"/>
          <w:szCs w:val="20"/>
        </w:rPr>
        <w:t xml:space="preserve"> dne </w:t>
      </w:r>
      <w:r w:rsidR="00613059">
        <w:rPr>
          <w:color w:val="auto"/>
          <w:sz w:val="20"/>
          <w:szCs w:val="20"/>
        </w:rPr>
        <w:t>2</w:t>
      </w:r>
      <w:r w:rsidR="00B971AB">
        <w:rPr>
          <w:color w:val="auto"/>
          <w:sz w:val="20"/>
          <w:szCs w:val="20"/>
        </w:rPr>
        <w:t>4</w:t>
      </w:r>
      <w:r w:rsidR="00285E4C" w:rsidRPr="006F7AB3">
        <w:rPr>
          <w:color w:val="auto"/>
          <w:sz w:val="20"/>
          <w:szCs w:val="20"/>
        </w:rPr>
        <w:t xml:space="preserve">. </w:t>
      </w:r>
      <w:r w:rsidR="00B971AB">
        <w:rPr>
          <w:color w:val="auto"/>
          <w:sz w:val="20"/>
          <w:szCs w:val="20"/>
        </w:rPr>
        <w:t>10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proofErr w:type="spellStart"/>
      <w:r w:rsidR="00A02CDF">
        <w:rPr>
          <w:b/>
          <w:i/>
          <w:color w:val="auto"/>
          <w:sz w:val="20"/>
          <w:szCs w:val="20"/>
        </w:rPr>
        <w:t>xxxx</w:t>
      </w:r>
      <w:proofErr w:type="spellEnd"/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A02CDF">
        <w:rPr>
          <w:i/>
          <w:sz w:val="20"/>
          <w:szCs w:val="20"/>
        </w:rPr>
        <w:t>xxxx</w:t>
      </w:r>
      <w:bookmarkStart w:id="0" w:name="_GoBack"/>
      <w:bookmarkEnd w:id="0"/>
    </w:p>
    <w:sectPr w:rsidR="00637C64" w:rsidRPr="00B37B0A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A0" w:rsidRDefault="002854A0" w:rsidP="00B11B98">
      <w:pPr>
        <w:spacing w:after="0" w:line="240" w:lineRule="auto"/>
      </w:pPr>
      <w:r>
        <w:separator/>
      </w:r>
    </w:p>
  </w:endnote>
  <w:endnote w:type="continuationSeparator" w:id="0">
    <w:p w:rsidR="002854A0" w:rsidRDefault="002854A0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037DC2" w:rsidRDefault="00037D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DF">
          <w:rPr>
            <w:noProof/>
          </w:rPr>
          <w:t>3</w:t>
        </w:r>
        <w:r>
          <w:fldChar w:fldCharType="end"/>
        </w:r>
      </w:p>
    </w:sdtContent>
  </w:sdt>
  <w:p w:rsidR="00037DC2" w:rsidRDefault="00037D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A0" w:rsidRDefault="002854A0" w:rsidP="00B11B98">
      <w:pPr>
        <w:spacing w:after="0" w:line="240" w:lineRule="auto"/>
      </w:pPr>
      <w:r>
        <w:separator/>
      </w:r>
    </w:p>
  </w:footnote>
  <w:footnote w:type="continuationSeparator" w:id="0">
    <w:p w:rsidR="002854A0" w:rsidRDefault="002854A0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567"/>
    <w:rsid w:val="00070763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10AC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507F"/>
    <w:rsid w:val="001815E0"/>
    <w:rsid w:val="00187637"/>
    <w:rsid w:val="00191310"/>
    <w:rsid w:val="00193084"/>
    <w:rsid w:val="00194593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300B2"/>
    <w:rsid w:val="00231A71"/>
    <w:rsid w:val="00240F19"/>
    <w:rsid w:val="00242518"/>
    <w:rsid w:val="00247F4C"/>
    <w:rsid w:val="00254AED"/>
    <w:rsid w:val="002566B9"/>
    <w:rsid w:val="00263863"/>
    <w:rsid w:val="00265642"/>
    <w:rsid w:val="00270466"/>
    <w:rsid w:val="002737D9"/>
    <w:rsid w:val="0027727E"/>
    <w:rsid w:val="002854A0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3D5F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5633F"/>
    <w:rsid w:val="00372463"/>
    <w:rsid w:val="00374C83"/>
    <w:rsid w:val="00374F75"/>
    <w:rsid w:val="00381AA7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22DD"/>
    <w:rsid w:val="005133DC"/>
    <w:rsid w:val="00523C1F"/>
    <w:rsid w:val="00525907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7C1F"/>
    <w:rsid w:val="00730647"/>
    <w:rsid w:val="007316BC"/>
    <w:rsid w:val="007317CB"/>
    <w:rsid w:val="00737D6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5998"/>
    <w:rsid w:val="00846F18"/>
    <w:rsid w:val="00860333"/>
    <w:rsid w:val="00861350"/>
    <w:rsid w:val="0086789C"/>
    <w:rsid w:val="00867E52"/>
    <w:rsid w:val="008728BA"/>
    <w:rsid w:val="008747A6"/>
    <w:rsid w:val="0088067B"/>
    <w:rsid w:val="00883240"/>
    <w:rsid w:val="00883A72"/>
    <w:rsid w:val="00883F55"/>
    <w:rsid w:val="008976E9"/>
    <w:rsid w:val="008A0FCD"/>
    <w:rsid w:val="008A6B21"/>
    <w:rsid w:val="008B03C2"/>
    <w:rsid w:val="008B5F69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57F5"/>
    <w:rsid w:val="00937F35"/>
    <w:rsid w:val="00942962"/>
    <w:rsid w:val="009434EE"/>
    <w:rsid w:val="0094492D"/>
    <w:rsid w:val="009455EB"/>
    <w:rsid w:val="009468FC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D6EBA"/>
    <w:rsid w:val="009E3652"/>
    <w:rsid w:val="009E533F"/>
    <w:rsid w:val="009E76EA"/>
    <w:rsid w:val="009F123C"/>
    <w:rsid w:val="009F3CBA"/>
    <w:rsid w:val="009F4021"/>
    <w:rsid w:val="009F4C41"/>
    <w:rsid w:val="009F52EA"/>
    <w:rsid w:val="00A0151E"/>
    <w:rsid w:val="00A02CDF"/>
    <w:rsid w:val="00A073B2"/>
    <w:rsid w:val="00A11CA5"/>
    <w:rsid w:val="00A16A50"/>
    <w:rsid w:val="00A178AA"/>
    <w:rsid w:val="00A2247C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971AB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3934"/>
    <w:rsid w:val="00C2410A"/>
    <w:rsid w:val="00C27FA6"/>
    <w:rsid w:val="00C308D9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0426"/>
    <w:rsid w:val="00D1536F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2DC1"/>
    <w:rsid w:val="00D63425"/>
    <w:rsid w:val="00D63DBE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1EF4"/>
    <w:rsid w:val="00DB5CE2"/>
    <w:rsid w:val="00DB6059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C3C"/>
    <w:rsid w:val="00EA2EF7"/>
    <w:rsid w:val="00EA69AB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226D-E46B-4BF6-858F-7696ECDB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9</cp:revision>
  <cp:lastPrinted>2023-04-12T10:00:00Z</cp:lastPrinted>
  <dcterms:created xsi:type="dcterms:W3CDTF">2023-11-05T21:52:00Z</dcterms:created>
  <dcterms:modified xsi:type="dcterms:W3CDTF">2023-11-16T12:19:00Z</dcterms:modified>
</cp:coreProperties>
</file>