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8DFB" w14:textId="18AD0B4F" w:rsidR="000B00DB" w:rsidRPr="00FB2CFC" w:rsidRDefault="000B00DB" w:rsidP="000E16D5">
      <w:pPr>
        <w:spacing w:before="120" w:after="120" w:line="360" w:lineRule="auto"/>
        <w:jc w:val="both"/>
        <w:rPr>
          <w:rFonts w:ascii="Tahoma" w:hAnsi="Tahoma" w:cs="Tahoma"/>
          <w:sz w:val="28"/>
          <w:szCs w:val="28"/>
          <w:lang w:val="cs-CZ"/>
        </w:rPr>
      </w:pPr>
      <w:r w:rsidRPr="000B00DB">
        <w:rPr>
          <w:rFonts w:ascii="Tahoma" w:hAnsi="Tahoma" w:cs="Tahoma"/>
          <w:sz w:val="28"/>
          <w:szCs w:val="28"/>
          <w:lang w:val="cs-CZ"/>
        </w:rPr>
        <w:t>Rámcová objednávka</w:t>
      </w:r>
      <w:r w:rsidR="000E16D5">
        <w:rPr>
          <w:rFonts w:ascii="Tahoma" w:hAnsi="Tahoma" w:cs="Tahoma"/>
          <w:sz w:val="28"/>
          <w:szCs w:val="28"/>
          <w:lang w:val="cs-CZ"/>
        </w:rPr>
        <w:t xml:space="preserve"> </w:t>
      </w:r>
      <w:r w:rsidRPr="000B00DB">
        <w:rPr>
          <w:rFonts w:ascii="Tahoma" w:hAnsi="Tahoma" w:cs="Tahoma"/>
          <w:sz w:val="28"/>
          <w:szCs w:val="28"/>
          <w:lang w:val="cs-CZ"/>
        </w:rPr>
        <w:t>právních služeb</w:t>
      </w:r>
    </w:p>
    <w:p w14:paraId="388C0461" w14:textId="4EFC1464" w:rsidR="000B00DB" w:rsidRPr="00F85D9A" w:rsidRDefault="000B00DB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b/>
          <w:bCs/>
          <w:sz w:val="18"/>
          <w:szCs w:val="18"/>
          <w:lang w:val="cs-CZ"/>
        </w:rPr>
        <w:t>Objednatel</w:t>
      </w:r>
      <w:r w:rsidRPr="00F85D9A">
        <w:rPr>
          <w:rFonts w:ascii="Tahoma" w:hAnsi="Tahoma" w:cs="Tahoma"/>
          <w:sz w:val="18"/>
          <w:szCs w:val="18"/>
          <w:lang w:val="cs-CZ"/>
        </w:rPr>
        <w:t>:</w:t>
      </w:r>
    </w:p>
    <w:p w14:paraId="5D4389F2" w14:textId="429308DC" w:rsidR="000B00DB" w:rsidRPr="00612B07" w:rsidRDefault="00612B07" w:rsidP="000E16D5">
      <w:pPr>
        <w:pStyle w:val="Odstavecseseznamem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18"/>
          <w:szCs w:val="18"/>
          <w:lang w:val="cs-CZ"/>
        </w:rPr>
      </w:pPr>
      <w:r w:rsidRPr="00612B07">
        <w:rPr>
          <w:rFonts w:ascii="Tahoma" w:hAnsi="Tahoma" w:cs="Tahoma"/>
          <w:sz w:val="18"/>
          <w:szCs w:val="18"/>
          <w:lang w:val="cs-CZ"/>
        </w:rPr>
        <w:t>Městské kulturní středisko Nový Jičín, příspěvková organizace</w:t>
      </w:r>
      <w:r>
        <w:rPr>
          <w:rFonts w:ascii="Tahoma" w:hAnsi="Tahoma" w:cs="Tahoma"/>
          <w:sz w:val="18"/>
          <w:szCs w:val="18"/>
          <w:lang w:val="cs-CZ"/>
        </w:rPr>
        <w:t xml:space="preserve">, </w:t>
      </w:r>
      <w:r w:rsidR="00615B3F" w:rsidRPr="00615B3F">
        <w:rPr>
          <w:rFonts w:ascii="Tahoma" w:hAnsi="Tahoma" w:cs="Tahoma"/>
          <w:sz w:val="18"/>
          <w:szCs w:val="18"/>
          <w:lang w:val="cs-CZ"/>
        </w:rPr>
        <w:t>IČ: 47998261</w:t>
      </w:r>
      <w:r w:rsidR="00615B3F">
        <w:rPr>
          <w:rFonts w:ascii="Tahoma" w:hAnsi="Tahoma" w:cs="Tahoma"/>
          <w:sz w:val="18"/>
          <w:szCs w:val="18"/>
          <w:lang w:val="cs-CZ"/>
        </w:rPr>
        <w:t xml:space="preserve">, </w:t>
      </w:r>
      <w:r w:rsidRPr="00612B07">
        <w:rPr>
          <w:rFonts w:ascii="Tahoma" w:hAnsi="Tahoma" w:cs="Tahoma"/>
          <w:sz w:val="18"/>
          <w:szCs w:val="18"/>
          <w:lang w:val="cs-CZ"/>
        </w:rPr>
        <w:t>Masarykovo náměstí 32/20, 741 01 Nový Jičín</w:t>
      </w:r>
    </w:p>
    <w:p w14:paraId="1A7182D6" w14:textId="74287421" w:rsidR="000B00DB" w:rsidRPr="00F85D9A" w:rsidRDefault="000B00DB" w:rsidP="000E16D5">
      <w:pPr>
        <w:tabs>
          <w:tab w:val="left" w:pos="3333"/>
        </w:tabs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b/>
          <w:bCs/>
          <w:sz w:val="18"/>
          <w:szCs w:val="18"/>
          <w:lang w:val="cs-CZ"/>
        </w:rPr>
        <w:t>Dodavatel</w:t>
      </w:r>
      <w:r w:rsidRPr="00F85D9A">
        <w:rPr>
          <w:rFonts w:ascii="Tahoma" w:hAnsi="Tahoma" w:cs="Tahoma"/>
          <w:sz w:val="18"/>
          <w:szCs w:val="18"/>
          <w:lang w:val="cs-CZ"/>
        </w:rPr>
        <w:t>:</w:t>
      </w:r>
      <w:r w:rsidR="004B50B1">
        <w:rPr>
          <w:rFonts w:ascii="Tahoma" w:hAnsi="Tahoma" w:cs="Tahoma"/>
          <w:sz w:val="18"/>
          <w:szCs w:val="18"/>
          <w:lang w:val="cs-CZ"/>
        </w:rPr>
        <w:tab/>
      </w:r>
    </w:p>
    <w:p w14:paraId="32FD0491" w14:textId="3F36D98A" w:rsidR="00B042D0" w:rsidRPr="00615B3F" w:rsidRDefault="000B00DB" w:rsidP="000E16D5">
      <w:pPr>
        <w:pStyle w:val="Odstavecseseznamem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sz w:val="18"/>
          <w:szCs w:val="18"/>
          <w:lang w:val="cs-CZ"/>
        </w:rPr>
        <w:t>JUDr. Lukáš Michna, LL.M., Ph.D., advokát, IČ: 66257018, Vojtěšská 212/8, 110 00 Praha 1</w:t>
      </w:r>
    </w:p>
    <w:p w14:paraId="75AEC9DB" w14:textId="1D383C4A" w:rsidR="00792F31" w:rsidRPr="00F85D9A" w:rsidRDefault="00B042D0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sz w:val="18"/>
          <w:szCs w:val="18"/>
          <w:lang w:val="cs-CZ"/>
        </w:rPr>
        <w:t xml:space="preserve">Objednatel bude zadávat poptávky prostřednictvím </w:t>
      </w:r>
      <w:r w:rsidR="00F85D9A" w:rsidRPr="00F85D9A">
        <w:rPr>
          <w:rFonts w:ascii="Tahoma" w:hAnsi="Tahoma" w:cs="Tahoma"/>
          <w:sz w:val="18"/>
          <w:szCs w:val="18"/>
          <w:lang w:val="cs-CZ"/>
        </w:rPr>
        <w:t xml:space="preserve">elektronické adresy </w:t>
      </w:r>
      <w:proofErr w:type="spellStart"/>
      <w:r w:rsidR="00700024">
        <w:rPr>
          <w:rFonts w:ascii="Tahoma" w:hAnsi="Tahoma" w:cs="Tahoma"/>
          <w:sz w:val="18"/>
          <w:szCs w:val="18"/>
          <w:u w:val="single"/>
          <w:lang w:val="cs-CZ"/>
        </w:rPr>
        <w:t>xxxx</w:t>
      </w:r>
      <w:proofErr w:type="spellEnd"/>
      <w:r w:rsidR="00700024">
        <w:rPr>
          <w:rFonts w:ascii="Tahoma" w:hAnsi="Tahoma" w:cs="Tahoma"/>
          <w:sz w:val="18"/>
          <w:szCs w:val="18"/>
          <w:u w:val="single"/>
          <w:lang w:val="cs-CZ"/>
        </w:rPr>
        <w:t xml:space="preserve"> </w:t>
      </w:r>
      <w:r w:rsidR="00CB76E7">
        <w:rPr>
          <w:rFonts w:ascii="Tahoma" w:hAnsi="Tahoma" w:cs="Tahoma"/>
          <w:sz w:val="18"/>
          <w:szCs w:val="18"/>
          <w:lang w:val="cs-CZ"/>
        </w:rPr>
        <w:t xml:space="preserve"> na</w:t>
      </w:r>
      <w:r w:rsidR="00F85D9A" w:rsidRPr="00F85D9A">
        <w:rPr>
          <w:rFonts w:ascii="Tahoma" w:hAnsi="Tahoma" w:cs="Tahoma"/>
          <w:sz w:val="18"/>
          <w:szCs w:val="18"/>
          <w:lang w:val="cs-CZ"/>
        </w:rPr>
        <w:t> elektronick</w:t>
      </w:r>
      <w:r w:rsidR="00CB76E7">
        <w:rPr>
          <w:rFonts w:ascii="Tahoma" w:hAnsi="Tahoma" w:cs="Tahoma"/>
          <w:sz w:val="18"/>
          <w:szCs w:val="18"/>
          <w:lang w:val="cs-CZ"/>
        </w:rPr>
        <w:t>ou</w:t>
      </w:r>
      <w:r w:rsidR="00F85D9A" w:rsidRPr="00F85D9A">
        <w:rPr>
          <w:rFonts w:ascii="Tahoma" w:hAnsi="Tahoma" w:cs="Tahoma"/>
          <w:sz w:val="18"/>
          <w:szCs w:val="18"/>
          <w:lang w:val="cs-CZ"/>
        </w:rPr>
        <w:t xml:space="preserve"> adres</w:t>
      </w:r>
      <w:r w:rsidR="00CB76E7">
        <w:rPr>
          <w:rFonts w:ascii="Tahoma" w:hAnsi="Tahoma" w:cs="Tahoma"/>
          <w:sz w:val="18"/>
          <w:szCs w:val="18"/>
          <w:lang w:val="cs-CZ"/>
        </w:rPr>
        <w:t>u dodavatele</w:t>
      </w:r>
      <w:r w:rsidR="00F85D9A" w:rsidRPr="00F85D9A">
        <w:rPr>
          <w:rFonts w:ascii="Tahoma" w:hAnsi="Tahoma" w:cs="Tahoma"/>
          <w:sz w:val="18"/>
          <w:szCs w:val="18"/>
          <w:lang w:val="cs-CZ"/>
        </w:rPr>
        <w:t xml:space="preserve"> </w:t>
      </w:r>
      <w:r w:rsidR="00700024">
        <w:rPr>
          <w:rFonts w:ascii="Tahoma" w:hAnsi="Tahoma" w:cs="Tahoma"/>
          <w:sz w:val="18"/>
          <w:szCs w:val="18"/>
          <w:u w:val="single"/>
          <w:lang w:val="cs-CZ"/>
        </w:rPr>
        <w:t>xxxx</w:t>
      </w:r>
      <w:bookmarkStart w:id="0" w:name="_GoBack"/>
      <w:bookmarkEnd w:id="0"/>
      <w:r w:rsidR="00F85D9A" w:rsidRPr="00F85D9A">
        <w:rPr>
          <w:rFonts w:ascii="Tahoma" w:hAnsi="Tahoma" w:cs="Tahoma"/>
          <w:sz w:val="18"/>
          <w:szCs w:val="18"/>
          <w:lang w:val="cs-CZ"/>
        </w:rPr>
        <w:t>.</w:t>
      </w:r>
    </w:p>
    <w:p w14:paraId="69D9FAE6" w14:textId="085B6E52" w:rsidR="00B042D0" w:rsidRPr="00F85D9A" w:rsidRDefault="00792F31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sz w:val="18"/>
          <w:szCs w:val="18"/>
          <w:lang w:val="cs-CZ"/>
        </w:rPr>
        <w:t xml:space="preserve">Objednatel poskytne informace, podklady, vysvětlení a součinnost pro poskytnutí služeb. Objednatel </w:t>
      </w:r>
      <w:r w:rsidR="00B870A7">
        <w:rPr>
          <w:rFonts w:ascii="Tahoma" w:hAnsi="Tahoma" w:cs="Tahoma"/>
          <w:sz w:val="18"/>
          <w:szCs w:val="18"/>
          <w:lang w:val="cs-CZ"/>
        </w:rPr>
        <w:t xml:space="preserve">k žádosti </w:t>
      </w:r>
      <w:r w:rsidRPr="00F85D9A">
        <w:rPr>
          <w:rFonts w:ascii="Tahoma" w:hAnsi="Tahoma" w:cs="Tahoma"/>
          <w:sz w:val="18"/>
          <w:szCs w:val="18"/>
          <w:lang w:val="cs-CZ"/>
        </w:rPr>
        <w:t xml:space="preserve">vystaví plnou moc, potřebnou pro poskytnutí služeb. Dodavatel neověřuje a bez dalšího předpokládá pravdivost, správnost či úplnost objednatelem poskytnutých informací, podkladů či vysvětlení. </w:t>
      </w:r>
      <w:r w:rsidR="00396CAF">
        <w:rPr>
          <w:rFonts w:ascii="Tahoma" w:hAnsi="Tahoma" w:cs="Tahoma"/>
          <w:sz w:val="18"/>
          <w:szCs w:val="18"/>
          <w:lang w:val="cs-CZ"/>
        </w:rPr>
        <w:t>Dodavatel zachováv</w:t>
      </w:r>
      <w:r w:rsidR="00BC306F">
        <w:rPr>
          <w:rFonts w:ascii="Tahoma" w:hAnsi="Tahoma" w:cs="Tahoma"/>
          <w:sz w:val="18"/>
          <w:szCs w:val="18"/>
          <w:lang w:val="cs-CZ"/>
        </w:rPr>
        <w:t>á</w:t>
      </w:r>
      <w:r w:rsidR="00396CAF">
        <w:rPr>
          <w:rFonts w:ascii="Tahoma" w:hAnsi="Tahoma" w:cs="Tahoma"/>
          <w:sz w:val="18"/>
          <w:szCs w:val="18"/>
          <w:lang w:val="cs-CZ"/>
        </w:rPr>
        <w:t xml:space="preserve"> mlčenlivost ve standardu mlčenlivosti advokáta. </w:t>
      </w:r>
      <w:r w:rsidRPr="00F85D9A">
        <w:rPr>
          <w:rFonts w:ascii="Tahoma" w:hAnsi="Tahoma" w:cs="Tahoma"/>
          <w:sz w:val="18"/>
          <w:szCs w:val="18"/>
          <w:lang w:val="cs-CZ"/>
        </w:rPr>
        <w:t>Dodavatel nehradí za objednatele žádné náklady či výdaje, a to ani zálohově.</w:t>
      </w:r>
    </w:p>
    <w:p w14:paraId="762AE167" w14:textId="324CD99A" w:rsidR="00D85224" w:rsidRDefault="00030644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sz w:val="18"/>
          <w:szCs w:val="18"/>
          <w:lang w:val="cs-CZ"/>
        </w:rPr>
        <w:t>Hodinová sazba</w:t>
      </w:r>
      <w:r w:rsidR="00741662" w:rsidRPr="00F85D9A">
        <w:rPr>
          <w:rFonts w:ascii="Tahoma" w:hAnsi="Tahoma" w:cs="Tahoma"/>
          <w:sz w:val="18"/>
          <w:szCs w:val="18"/>
          <w:lang w:val="cs-CZ"/>
        </w:rPr>
        <w:t xml:space="preserve"> dodavatele</w:t>
      </w:r>
      <w:r w:rsidRPr="00F85D9A">
        <w:rPr>
          <w:rFonts w:ascii="Tahoma" w:hAnsi="Tahoma" w:cs="Tahoma"/>
          <w:sz w:val="18"/>
          <w:szCs w:val="18"/>
          <w:lang w:val="cs-CZ"/>
        </w:rPr>
        <w:t xml:space="preserve"> činí </w:t>
      </w:r>
      <w:r w:rsidRPr="00053FED">
        <w:rPr>
          <w:rFonts w:ascii="Tahoma" w:hAnsi="Tahoma" w:cs="Tahoma"/>
          <w:b/>
          <w:bCs/>
          <w:sz w:val="18"/>
          <w:szCs w:val="18"/>
          <w:lang w:val="cs-CZ"/>
        </w:rPr>
        <w:t>1.</w:t>
      </w:r>
      <w:r w:rsidR="00413965" w:rsidRPr="00053FED">
        <w:rPr>
          <w:rFonts w:ascii="Tahoma" w:hAnsi="Tahoma" w:cs="Tahoma"/>
          <w:b/>
          <w:bCs/>
          <w:sz w:val="18"/>
          <w:szCs w:val="18"/>
          <w:lang w:val="cs-CZ"/>
        </w:rPr>
        <w:t>800</w:t>
      </w:r>
      <w:r w:rsidRPr="00053FED">
        <w:rPr>
          <w:rFonts w:ascii="Tahoma" w:hAnsi="Tahoma" w:cs="Tahoma"/>
          <w:b/>
          <w:bCs/>
          <w:sz w:val="18"/>
          <w:szCs w:val="18"/>
          <w:lang w:val="cs-CZ"/>
        </w:rPr>
        <w:t xml:space="preserve"> Kč</w:t>
      </w:r>
      <w:r w:rsidRPr="00F85D9A">
        <w:rPr>
          <w:rFonts w:ascii="Tahoma" w:hAnsi="Tahoma" w:cs="Tahoma"/>
          <w:sz w:val="18"/>
          <w:szCs w:val="18"/>
          <w:lang w:val="cs-CZ"/>
        </w:rPr>
        <w:t>.</w:t>
      </w:r>
      <w:r w:rsidR="00F85D9A" w:rsidRPr="00F85D9A">
        <w:rPr>
          <w:rFonts w:ascii="Tahoma" w:hAnsi="Tahoma" w:cs="Tahoma"/>
          <w:sz w:val="18"/>
          <w:szCs w:val="18"/>
          <w:lang w:val="cs-CZ"/>
        </w:rPr>
        <w:t xml:space="preserve"> </w:t>
      </w:r>
      <w:r w:rsidR="00741662" w:rsidRPr="00F85D9A">
        <w:rPr>
          <w:rFonts w:ascii="Tahoma" w:hAnsi="Tahoma" w:cs="Tahoma"/>
          <w:sz w:val="18"/>
          <w:szCs w:val="18"/>
          <w:lang w:val="cs-CZ"/>
        </w:rPr>
        <w:t xml:space="preserve">Odměna bude činit součin sjednané hodinové sazby a </w:t>
      </w:r>
      <w:r w:rsidR="00557CC9">
        <w:rPr>
          <w:rFonts w:ascii="Tahoma" w:hAnsi="Tahoma" w:cs="Tahoma"/>
          <w:sz w:val="18"/>
          <w:szCs w:val="18"/>
          <w:lang w:val="cs-CZ"/>
        </w:rPr>
        <w:t xml:space="preserve">počtu hodin účelně vynaložených na poskytnutí právní služby, vykázaných v rozlišení na </w:t>
      </w:r>
      <w:r w:rsidR="00FB32B9">
        <w:rPr>
          <w:rFonts w:ascii="Tahoma" w:hAnsi="Tahoma" w:cs="Tahoma"/>
          <w:sz w:val="18"/>
          <w:szCs w:val="18"/>
          <w:lang w:val="cs-CZ"/>
        </w:rPr>
        <w:t>desetiny hodiny</w:t>
      </w:r>
      <w:r w:rsidR="009F7CBA">
        <w:rPr>
          <w:rFonts w:ascii="Tahoma" w:hAnsi="Tahoma" w:cs="Tahoma"/>
          <w:sz w:val="18"/>
          <w:szCs w:val="18"/>
          <w:lang w:val="cs-CZ"/>
        </w:rPr>
        <w:t xml:space="preserve">. </w:t>
      </w:r>
      <w:r w:rsidR="00B042D0" w:rsidRPr="00F85D9A">
        <w:rPr>
          <w:rFonts w:ascii="Tahoma" w:hAnsi="Tahoma" w:cs="Tahoma"/>
          <w:sz w:val="18"/>
          <w:szCs w:val="18"/>
          <w:lang w:val="cs-CZ"/>
        </w:rPr>
        <w:t xml:space="preserve">Fakturace bude měsíčně zpětně se splatností 15 dní. K fakturovaným částkám bude připočtena DPH v aktuální </w:t>
      </w:r>
      <w:r w:rsidR="00DB0C4E">
        <w:rPr>
          <w:rFonts w:ascii="Tahoma" w:hAnsi="Tahoma" w:cs="Tahoma"/>
          <w:sz w:val="18"/>
          <w:szCs w:val="18"/>
          <w:lang w:val="cs-CZ"/>
        </w:rPr>
        <w:t>zákonné</w:t>
      </w:r>
      <w:r w:rsidR="00B042D0" w:rsidRPr="00F85D9A">
        <w:rPr>
          <w:rFonts w:ascii="Tahoma" w:hAnsi="Tahoma" w:cs="Tahoma"/>
          <w:sz w:val="18"/>
          <w:szCs w:val="18"/>
          <w:lang w:val="cs-CZ"/>
        </w:rPr>
        <w:t xml:space="preserve"> sazbě.</w:t>
      </w:r>
      <w:r w:rsidR="00496015">
        <w:rPr>
          <w:rFonts w:ascii="Tahoma" w:hAnsi="Tahoma" w:cs="Tahoma"/>
          <w:sz w:val="18"/>
          <w:szCs w:val="18"/>
          <w:lang w:val="cs-CZ"/>
        </w:rPr>
        <w:t xml:space="preserve"> Při zastupování náleží dodavateli přisouzená náhrada nákladů řízení jako </w:t>
      </w:r>
      <w:r w:rsidR="00D773E1">
        <w:rPr>
          <w:rFonts w:ascii="Tahoma" w:hAnsi="Tahoma" w:cs="Tahoma"/>
          <w:sz w:val="18"/>
          <w:szCs w:val="18"/>
          <w:lang w:val="cs-CZ"/>
        </w:rPr>
        <w:t xml:space="preserve">dodatečná </w:t>
      </w:r>
      <w:r w:rsidR="00496015">
        <w:rPr>
          <w:rFonts w:ascii="Tahoma" w:hAnsi="Tahoma" w:cs="Tahoma"/>
          <w:sz w:val="18"/>
          <w:szCs w:val="18"/>
          <w:lang w:val="cs-CZ"/>
        </w:rPr>
        <w:t>odměna za úspěch.</w:t>
      </w:r>
      <w:r w:rsidR="001E1602">
        <w:rPr>
          <w:rFonts w:ascii="Tahoma" w:hAnsi="Tahoma" w:cs="Tahoma"/>
          <w:sz w:val="18"/>
          <w:szCs w:val="18"/>
          <w:lang w:val="cs-CZ"/>
        </w:rPr>
        <w:t xml:space="preserve"> Při vyžádaném poskytování služeb mimo </w:t>
      </w:r>
      <w:r w:rsidR="005D761E">
        <w:rPr>
          <w:rFonts w:ascii="Tahoma" w:hAnsi="Tahoma" w:cs="Tahoma"/>
          <w:sz w:val="18"/>
          <w:szCs w:val="18"/>
          <w:lang w:val="cs-CZ"/>
        </w:rPr>
        <w:t xml:space="preserve">hl. m. Prahu náleží dodavateli náhrada </w:t>
      </w:r>
      <w:r w:rsidR="006A60E1">
        <w:rPr>
          <w:rFonts w:ascii="Tahoma" w:hAnsi="Tahoma" w:cs="Tahoma"/>
          <w:sz w:val="18"/>
          <w:szCs w:val="18"/>
          <w:lang w:val="cs-CZ"/>
        </w:rPr>
        <w:t>cestováních</w:t>
      </w:r>
      <w:r w:rsidR="005D761E">
        <w:rPr>
          <w:rFonts w:ascii="Tahoma" w:hAnsi="Tahoma" w:cs="Tahoma"/>
          <w:sz w:val="18"/>
          <w:szCs w:val="18"/>
          <w:lang w:val="cs-CZ"/>
        </w:rPr>
        <w:t xml:space="preserve"> výdajů ve výši 2(dvoj)násobku </w:t>
      </w:r>
      <w:r w:rsidR="006A60E1">
        <w:rPr>
          <w:rFonts w:ascii="Tahoma" w:hAnsi="Tahoma" w:cs="Tahoma"/>
          <w:sz w:val="18"/>
          <w:szCs w:val="18"/>
          <w:lang w:val="cs-CZ"/>
        </w:rPr>
        <w:t>cestovních výdajů náležejících zaměstnancům.</w:t>
      </w:r>
      <w:r w:rsidR="00AA2FD1">
        <w:rPr>
          <w:rFonts w:ascii="Tahoma" w:hAnsi="Tahoma" w:cs="Tahoma"/>
          <w:sz w:val="18"/>
          <w:szCs w:val="18"/>
          <w:lang w:val="cs-CZ"/>
        </w:rPr>
        <w:t xml:space="preserve"> </w:t>
      </w:r>
      <w:r w:rsidR="009C502C">
        <w:rPr>
          <w:rFonts w:ascii="Tahoma" w:hAnsi="Tahoma" w:cs="Tahoma"/>
          <w:sz w:val="18"/>
          <w:szCs w:val="18"/>
          <w:lang w:val="cs-CZ"/>
        </w:rPr>
        <w:t>Odměna</w:t>
      </w:r>
      <w:r w:rsidR="009C502C" w:rsidRPr="009C502C">
        <w:rPr>
          <w:rFonts w:ascii="Tahoma" w:hAnsi="Tahoma" w:cs="Tahoma"/>
          <w:sz w:val="18"/>
          <w:szCs w:val="18"/>
          <w:lang w:val="cs-CZ"/>
        </w:rPr>
        <w:t xml:space="preserve"> se bude každoročně </w:t>
      </w:r>
      <w:r w:rsidR="009C502C">
        <w:rPr>
          <w:rFonts w:ascii="Tahoma" w:hAnsi="Tahoma" w:cs="Tahoma"/>
          <w:sz w:val="18"/>
          <w:szCs w:val="18"/>
          <w:lang w:val="cs-CZ"/>
        </w:rPr>
        <w:t xml:space="preserve">k 1. 11. </w:t>
      </w:r>
      <w:r w:rsidR="009C502C" w:rsidRPr="009C502C">
        <w:rPr>
          <w:rFonts w:ascii="Tahoma" w:hAnsi="Tahoma" w:cs="Tahoma"/>
          <w:sz w:val="18"/>
          <w:szCs w:val="18"/>
          <w:lang w:val="cs-CZ"/>
        </w:rPr>
        <w:t>automaticky zvyšovat o míru inflace, která je vyjádřená přírůstkem průměrného ročního indexu spotřebitelských cen, tak jak jej vyhlašuje Český statistický úřad.</w:t>
      </w:r>
    </w:p>
    <w:p w14:paraId="078BAE77" w14:textId="6E3EB371" w:rsidR="00A367C0" w:rsidRDefault="00792F31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sz w:val="18"/>
          <w:szCs w:val="18"/>
          <w:lang w:val="cs-CZ"/>
        </w:rPr>
        <w:t xml:space="preserve">Tato objednávka se uplatní od 1. </w:t>
      </w:r>
      <w:r w:rsidR="00111DFD">
        <w:rPr>
          <w:rFonts w:ascii="Tahoma" w:hAnsi="Tahoma" w:cs="Tahoma"/>
          <w:sz w:val="18"/>
          <w:szCs w:val="18"/>
          <w:lang w:val="cs-CZ"/>
        </w:rPr>
        <w:t>11</w:t>
      </w:r>
      <w:r w:rsidRPr="00F85D9A">
        <w:rPr>
          <w:rFonts w:ascii="Tahoma" w:hAnsi="Tahoma" w:cs="Tahoma"/>
          <w:sz w:val="18"/>
          <w:szCs w:val="18"/>
          <w:lang w:val="cs-CZ"/>
        </w:rPr>
        <w:t>. 202</w:t>
      </w:r>
      <w:r w:rsidR="00111DFD">
        <w:rPr>
          <w:rFonts w:ascii="Tahoma" w:hAnsi="Tahoma" w:cs="Tahoma"/>
          <w:sz w:val="18"/>
          <w:szCs w:val="18"/>
          <w:lang w:val="cs-CZ"/>
        </w:rPr>
        <w:t>3</w:t>
      </w:r>
      <w:r w:rsidR="000E16D5">
        <w:rPr>
          <w:rFonts w:ascii="Tahoma" w:hAnsi="Tahoma" w:cs="Tahoma"/>
          <w:sz w:val="18"/>
          <w:szCs w:val="18"/>
          <w:lang w:val="cs-CZ"/>
        </w:rPr>
        <w:t>, a to i na služby případně poskytnuté před tímto datem</w:t>
      </w:r>
      <w:r w:rsidRPr="00F85D9A">
        <w:rPr>
          <w:rFonts w:ascii="Tahoma" w:hAnsi="Tahoma" w:cs="Tahoma"/>
          <w:sz w:val="18"/>
          <w:szCs w:val="18"/>
          <w:lang w:val="cs-CZ"/>
        </w:rPr>
        <w:t>. Každá ze stran může tuto objednávku ukončit oznámením přes e-mail i bez výpovědní lhůty, v tom případě se dofakturuje aktuální kalendářní měsíc.</w:t>
      </w:r>
    </w:p>
    <w:p w14:paraId="2DE2825B" w14:textId="138B32C2" w:rsidR="00F85D9A" w:rsidRPr="00F85D9A" w:rsidRDefault="00F85D9A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F85D9A">
        <w:rPr>
          <w:rFonts w:ascii="Tahoma" w:hAnsi="Tahoma" w:cs="Tahoma"/>
          <w:sz w:val="18"/>
          <w:szCs w:val="18"/>
          <w:lang w:val="cs-CZ"/>
        </w:rPr>
        <w:t xml:space="preserve">Za objednatele dne </w:t>
      </w:r>
      <w:r w:rsidR="00247ADC">
        <w:rPr>
          <w:rFonts w:ascii="Tahoma" w:hAnsi="Tahoma" w:cs="Tahoma"/>
          <w:sz w:val="18"/>
          <w:szCs w:val="18"/>
          <w:lang w:val="cs-CZ"/>
        </w:rPr>
        <w:t>30</w:t>
      </w:r>
      <w:r w:rsidR="00D708DB">
        <w:rPr>
          <w:rFonts w:ascii="Tahoma" w:hAnsi="Tahoma" w:cs="Tahoma"/>
          <w:sz w:val="18"/>
          <w:szCs w:val="18"/>
          <w:lang w:val="cs-CZ"/>
        </w:rPr>
        <w:t xml:space="preserve">. </w:t>
      </w:r>
      <w:r w:rsidR="00247ADC">
        <w:rPr>
          <w:rFonts w:ascii="Tahoma" w:hAnsi="Tahoma" w:cs="Tahoma"/>
          <w:sz w:val="18"/>
          <w:szCs w:val="18"/>
          <w:lang w:val="cs-CZ"/>
        </w:rPr>
        <w:t>10</w:t>
      </w:r>
      <w:r w:rsidR="00D708DB">
        <w:rPr>
          <w:rFonts w:ascii="Tahoma" w:hAnsi="Tahoma" w:cs="Tahoma"/>
          <w:sz w:val="18"/>
          <w:szCs w:val="18"/>
          <w:lang w:val="cs-CZ"/>
        </w:rPr>
        <w:t>. 202</w:t>
      </w:r>
      <w:r w:rsidR="00247ADC">
        <w:rPr>
          <w:rFonts w:ascii="Tahoma" w:hAnsi="Tahoma" w:cs="Tahoma"/>
          <w:sz w:val="18"/>
          <w:szCs w:val="18"/>
          <w:lang w:val="cs-CZ"/>
        </w:rPr>
        <w:t>3</w:t>
      </w:r>
      <w:r w:rsidRPr="00F85D9A">
        <w:rPr>
          <w:rFonts w:ascii="Tahoma" w:hAnsi="Tahoma" w:cs="Tahoma"/>
          <w:sz w:val="18"/>
          <w:szCs w:val="18"/>
          <w:lang w:val="cs-CZ"/>
        </w:rPr>
        <w:t xml:space="preserve"> v</w:t>
      </w:r>
      <w:r w:rsidR="00247ADC">
        <w:rPr>
          <w:rFonts w:ascii="Tahoma" w:hAnsi="Tahoma" w:cs="Tahoma"/>
          <w:sz w:val="18"/>
          <w:szCs w:val="18"/>
          <w:lang w:val="cs-CZ"/>
        </w:rPr>
        <w:t> Novém Jičíně</w:t>
      </w:r>
      <w:r w:rsidRPr="00F85D9A">
        <w:rPr>
          <w:rFonts w:ascii="Tahoma" w:hAnsi="Tahoma" w:cs="Tahoma"/>
          <w:sz w:val="18"/>
          <w:szCs w:val="18"/>
          <w:lang w:val="cs-CZ"/>
        </w:rPr>
        <w:t>:</w:t>
      </w:r>
      <w:r w:rsidRPr="00F85D9A">
        <w:rPr>
          <w:rFonts w:ascii="Tahoma" w:hAnsi="Tahoma" w:cs="Tahoma"/>
          <w:sz w:val="18"/>
          <w:szCs w:val="18"/>
          <w:lang w:val="cs-CZ"/>
        </w:rPr>
        <w:tab/>
      </w:r>
      <w:r w:rsidRPr="00F85D9A">
        <w:rPr>
          <w:rFonts w:ascii="Tahoma" w:hAnsi="Tahoma" w:cs="Tahoma"/>
          <w:sz w:val="18"/>
          <w:szCs w:val="18"/>
          <w:lang w:val="cs-CZ"/>
        </w:rPr>
        <w:tab/>
        <w:t xml:space="preserve">Za dodavatele dne </w:t>
      </w:r>
      <w:r w:rsidR="00247ADC">
        <w:rPr>
          <w:rFonts w:ascii="Tahoma" w:hAnsi="Tahoma" w:cs="Tahoma"/>
          <w:sz w:val="18"/>
          <w:szCs w:val="18"/>
          <w:lang w:val="cs-CZ"/>
        </w:rPr>
        <w:t>30. 10. 2023</w:t>
      </w:r>
      <w:r w:rsidR="00247ADC" w:rsidRPr="00F85D9A">
        <w:rPr>
          <w:rFonts w:ascii="Tahoma" w:hAnsi="Tahoma" w:cs="Tahoma"/>
          <w:sz w:val="18"/>
          <w:szCs w:val="18"/>
          <w:lang w:val="cs-CZ"/>
        </w:rPr>
        <w:t xml:space="preserve"> v</w:t>
      </w:r>
      <w:r w:rsidR="00247ADC">
        <w:rPr>
          <w:rFonts w:ascii="Tahoma" w:hAnsi="Tahoma" w:cs="Tahoma"/>
          <w:sz w:val="18"/>
          <w:szCs w:val="18"/>
          <w:lang w:val="cs-CZ"/>
        </w:rPr>
        <w:t> </w:t>
      </w:r>
      <w:r w:rsidRPr="00F85D9A">
        <w:rPr>
          <w:rFonts w:ascii="Tahoma" w:hAnsi="Tahoma" w:cs="Tahoma"/>
          <w:sz w:val="18"/>
          <w:szCs w:val="18"/>
          <w:lang w:val="cs-CZ"/>
        </w:rPr>
        <w:t>Praze:</w:t>
      </w:r>
    </w:p>
    <w:p w14:paraId="706EBB52" w14:textId="666F109D" w:rsidR="00F85D9A" w:rsidRDefault="00F85D9A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</w:p>
    <w:p w14:paraId="4D3C4880" w14:textId="77777777" w:rsidR="000E16D5" w:rsidRPr="00F85D9A" w:rsidRDefault="000E16D5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</w:p>
    <w:p w14:paraId="77808503" w14:textId="2B3AEE5B" w:rsidR="00F85D9A" w:rsidRDefault="00F85D9A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>_____________________________</w:t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  <w:t>_____________________________</w:t>
      </w:r>
    </w:p>
    <w:p w14:paraId="1AAB3FB4" w14:textId="5EE45304" w:rsidR="00BD0DA2" w:rsidRDefault="00BD0DA2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BD0DA2">
        <w:rPr>
          <w:rFonts w:ascii="Tahoma" w:hAnsi="Tahoma" w:cs="Tahoma"/>
          <w:sz w:val="18"/>
          <w:szCs w:val="18"/>
          <w:lang w:val="cs-CZ"/>
        </w:rPr>
        <w:t xml:space="preserve">Městské kulturní středisko Nový Jičín, </w:t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 w:rsidRPr="00F85D9A">
        <w:rPr>
          <w:rFonts w:ascii="Tahoma" w:hAnsi="Tahoma" w:cs="Tahoma"/>
          <w:sz w:val="18"/>
          <w:szCs w:val="18"/>
          <w:lang w:val="cs-CZ"/>
        </w:rPr>
        <w:t>JUDr. Lukáš Michna, Ph.D., LL.M., advokát</w:t>
      </w:r>
    </w:p>
    <w:p w14:paraId="21675D20" w14:textId="13168C34" w:rsidR="00F85D9A" w:rsidRPr="00F85D9A" w:rsidRDefault="00BD0DA2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BD0DA2">
        <w:rPr>
          <w:rFonts w:ascii="Tahoma" w:hAnsi="Tahoma" w:cs="Tahoma"/>
          <w:sz w:val="18"/>
          <w:szCs w:val="18"/>
          <w:lang w:val="cs-CZ"/>
        </w:rPr>
        <w:t>příspěvková organizace</w:t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</w:p>
    <w:p w14:paraId="67447709" w14:textId="250D6CE1" w:rsidR="00483F44" w:rsidRPr="00F85D9A" w:rsidRDefault="00736324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736324">
        <w:rPr>
          <w:rFonts w:ascii="Tahoma" w:hAnsi="Tahoma" w:cs="Tahoma"/>
          <w:sz w:val="18"/>
          <w:szCs w:val="18"/>
          <w:lang w:val="cs-CZ"/>
        </w:rPr>
        <w:t xml:space="preserve">Ing. Ondřej </w:t>
      </w:r>
      <w:proofErr w:type="spellStart"/>
      <w:r w:rsidRPr="00736324">
        <w:rPr>
          <w:rFonts w:ascii="Tahoma" w:hAnsi="Tahoma" w:cs="Tahoma"/>
          <w:sz w:val="18"/>
          <w:szCs w:val="18"/>
          <w:lang w:val="cs-CZ"/>
        </w:rPr>
        <w:t>Rečk</w:t>
      </w:r>
      <w:r>
        <w:rPr>
          <w:rFonts w:ascii="Tahoma" w:hAnsi="Tahoma" w:cs="Tahoma"/>
          <w:sz w:val="18"/>
          <w:szCs w:val="18"/>
          <w:lang w:val="cs-CZ"/>
        </w:rPr>
        <w:t>a</w:t>
      </w:r>
      <w:proofErr w:type="spellEnd"/>
      <w:r w:rsidRPr="00736324">
        <w:rPr>
          <w:rFonts w:ascii="Tahoma" w:hAnsi="Tahoma" w:cs="Tahoma"/>
          <w:sz w:val="18"/>
          <w:szCs w:val="18"/>
          <w:lang w:val="cs-CZ"/>
        </w:rPr>
        <w:t>, ředitel</w:t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  <w:r w:rsidR="00F85D9A" w:rsidRPr="00F85D9A">
        <w:rPr>
          <w:rFonts w:ascii="Tahoma" w:hAnsi="Tahoma" w:cs="Tahoma"/>
          <w:sz w:val="18"/>
          <w:szCs w:val="18"/>
          <w:lang w:val="cs-CZ"/>
        </w:rPr>
        <w:tab/>
      </w:r>
    </w:p>
    <w:p w14:paraId="45C6BEE8" w14:textId="02EA0A8A" w:rsidR="00F85D9A" w:rsidRPr="00F85D9A" w:rsidRDefault="00F85D9A" w:rsidP="000E16D5">
      <w:pPr>
        <w:spacing w:before="120" w:after="120" w:line="360" w:lineRule="auto"/>
        <w:jc w:val="both"/>
        <w:rPr>
          <w:rFonts w:ascii="Tahoma" w:hAnsi="Tahoma" w:cs="Tahoma"/>
          <w:sz w:val="18"/>
          <w:szCs w:val="18"/>
          <w:lang w:val="cs-CZ"/>
        </w:rPr>
      </w:pPr>
    </w:p>
    <w:sectPr w:rsidR="00F85D9A" w:rsidRPr="00F85D9A" w:rsidSect="009F6338">
      <w:pgSz w:w="12240" w:h="15840"/>
      <w:pgMar w:top="794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AC4"/>
    <w:multiLevelType w:val="hybridMultilevel"/>
    <w:tmpl w:val="5DBA3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1305"/>
    <w:multiLevelType w:val="hybridMultilevel"/>
    <w:tmpl w:val="EEAA7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DB"/>
    <w:rsid w:val="00030644"/>
    <w:rsid w:val="00045B23"/>
    <w:rsid w:val="00053FED"/>
    <w:rsid w:val="0007307E"/>
    <w:rsid w:val="000759ED"/>
    <w:rsid w:val="0009276A"/>
    <w:rsid w:val="000B00DB"/>
    <w:rsid w:val="000E16D5"/>
    <w:rsid w:val="00111DFD"/>
    <w:rsid w:val="001C5B67"/>
    <w:rsid w:val="001E1602"/>
    <w:rsid w:val="00207CB4"/>
    <w:rsid w:val="00247ADC"/>
    <w:rsid w:val="002B0DF2"/>
    <w:rsid w:val="002C4CDB"/>
    <w:rsid w:val="002E6F24"/>
    <w:rsid w:val="00396CAF"/>
    <w:rsid w:val="003A2F66"/>
    <w:rsid w:val="003A600B"/>
    <w:rsid w:val="003B22B9"/>
    <w:rsid w:val="00413965"/>
    <w:rsid w:val="004307B1"/>
    <w:rsid w:val="00434EAF"/>
    <w:rsid w:val="0044062B"/>
    <w:rsid w:val="00483F44"/>
    <w:rsid w:val="00496015"/>
    <w:rsid w:val="004B50B1"/>
    <w:rsid w:val="00502C32"/>
    <w:rsid w:val="00527866"/>
    <w:rsid w:val="00557CC9"/>
    <w:rsid w:val="00562B9F"/>
    <w:rsid w:val="00592C77"/>
    <w:rsid w:val="005D761E"/>
    <w:rsid w:val="00612B07"/>
    <w:rsid w:val="00615B3F"/>
    <w:rsid w:val="006943FD"/>
    <w:rsid w:val="006A60E1"/>
    <w:rsid w:val="006B01A9"/>
    <w:rsid w:val="006C7B00"/>
    <w:rsid w:val="006F0540"/>
    <w:rsid w:val="00700024"/>
    <w:rsid w:val="00717D15"/>
    <w:rsid w:val="00736324"/>
    <w:rsid w:val="00741662"/>
    <w:rsid w:val="00792F31"/>
    <w:rsid w:val="007E5E9C"/>
    <w:rsid w:val="00803213"/>
    <w:rsid w:val="00866F22"/>
    <w:rsid w:val="00893BC2"/>
    <w:rsid w:val="008A5AE0"/>
    <w:rsid w:val="008B13C5"/>
    <w:rsid w:val="008B5DF1"/>
    <w:rsid w:val="008E29C6"/>
    <w:rsid w:val="00936D76"/>
    <w:rsid w:val="009515AB"/>
    <w:rsid w:val="009C502C"/>
    <w:rsid w:val="009F6338"/>
    <w:rsid w:val="009F7CBA"/>
    <w:rsid w:val="00A1760B"/>
    <w:rsid w:val="00A367C0"/>
    <w:rsid w:val="00A543FD"/>
    <w:rsid w:val="00AA2FD1"/>
    <w:rsid w:val="00AC70F8"/>
    <w:rsid w:val="00AD0C47"/>
    <w:rsid w:val="00AD42E8"/>
    <w:rsid w:val="00B029FE"/>
    <w:rsid w:val="00B042D0"/>
    <w:rsid w:val="00B31D3C"/>
    <w:rsid w:val="00B66F20"/>
    <w:rsid w:val="00B86EA6"/>
    <w:rsid w:val="00B870A7"/>
    <w:rsid w:val="00B9216E"/>
    <w:rsid w:val="00BA11D5"/>
    <w:rsid w:val="00BC306F"/>
    <w:rsid w:val="00BD0DA2"/>
    <w:rsid w:val="00C53B60"/>
    <w:rsid w:val="00C874B7"/>
    <w:rsid w:val="00CB76E7"/>
    <w:rsid w:val="00CC47B5"/>
    <w:rsid w:val="00CD74DA"/>
    <w:rsid w:val="00D13251"/>
    <w:rsid w:val="00D26C6B"/>
    <w:rsid w:val="00D708DB"/>
    <w:rsid w:val="00D773E1"/>
    <w:rsid w:val="00D85224"/>
    <w:rsid w:val="00D87085"/>
    <w:rsid w:val="00DA00AC"/>
    <w:rsid w:val="00DB0C4E"/>
    <w:rsid w:val="00DB6CAF"/>
    <w:rsid w:val="00DD3ED8"/>
    <w:rsid w:val="00DF7D09"/>
    <w:rsid w:val="00E031A4"/>
    <w:rsid w:val="00E43071"/>
    <w:rsid w:val="00E5033D"/>
    <w:rsid w:val="00E87953"/>
    <w:rsid w:val="00F22A52"/>
    <w:rsid w:val="00F85D9A"/>
    <w:rsid w:val="00FB2CFC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6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00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D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D9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5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2021-02-14T08:45:00Z</dcterms:created>
  <dcterms:modified xsi:type="dcterms:W3CDTF">2023-11-15T17:06:00Z</dcterms:modified>
</cp:coreProperties>
</file>