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82C62" w14:textId="77777777" w:rsidR="00E427A3" w:rsidRDefault="00E427A3" w:rsidP="008B63D9">
      <w:pPr>
        <w:spacing w:after="0" w:line="240" w:lineRule="auto"/>
        <w:ind w:left="284" w:right="260"/>
        <w:jc w:val="both"/>
        <w:rPr>
          <w:rFonts w:cs="Arial"/>
          <w:b/>
        </w:rPr>
      </w:pPr>
      <w:bookmarkStart w:id="0" w:name="_GoBack"/>
      <w:bookmarkEnd w:id="0"/>
    </w:p>
    <w:p w14:paraId="246B94A7"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E32979E"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05EF7725" w14:textId="77777777" w:rsidR="003A045F" w:rsidRPr="00EF3CDF" w:rsidRDefault="003A045F" w:rsidP="008B63D9">
      <w:pPr>
        <w:spacing w:after="0" w:line="240" w:lineRule="auto"/>
        <w:ind w:left="284" w:right="260"/>
        <w:jc w:val="both"/>
        <w:rPr>
          <w:rFonts w:cs="Arial"/>
        </w:rPr>
      </w:pPr>
      <w:r w:rsidRPr="00EF3CDF">
        <w:rPr>
          <w:rFonts w:cs="Arial"/>
        </w:rPr>
        <w:t>IČ</w:t>
      </w:r>
      <w:r w:rsidR="003E6010">
        <w:rPr>
          <w:rFonts w:cs="Arial"/>
        </w:rPr>
        <w:t>O</w:t>
      </w:r>
      <w:r w:rsidRPr="00EF3CDF">
        <w:rPr>
          <w:rFonts w:cs="Arial"/>
        </w:rPr>
        <w:t>: 24146978, DIČ: CZ24146978,</w:t>
      </w:r>
    </w:p>
    <w:p w14:paraId="4EBA8BC0"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65901F43"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650C375D"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20B4C573"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52079E60"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9539B4D" w14:textId="77777777" w:rsidR="00A007AF" w:rsidRDefault="00B57E82" w:rsidP="00A007AF">
      <w:pPr>
        <w:spacing w:before="240" w:after="0"/>
        <w:ind w:left="284" w:right="260"/>
        <w:jc w:val="both"/>
        <w:rPr>
          <w:b/>
        </w:rPr>
      </w:pPr>
      <w:bookmarkStart w:id="1" w:name="jmeno_firmy"/>
      <w:bookmarkEnd w:id="1"/>
      <w:r>
        <w:rPr>
          <w:b/>
        </w:rPr>
        <w:t>VŠEOBECNÁ ZDRAVOTNÍ POJIŠŤOVNA ČESKÉ REPUBLIKY</w:t>
      </w:r>
      <w:r w:rsidR="00A007AF">
        <w:rPr>
          <w:b/>
        </w:rPr>
        <w:t>,</w:t>
      </w:r>
    </w:p>
    <w:p w14:paraId="677984F4" w14:textId="77777777" w:rsidR="00A007AF" w:rsidRDefault="00A007AF" w:rsidP="00A007AF">
      <w:pPr>
        <w:spacing w:after="0"/>
        <w:ind w:left="284" w:right="260"/>
        <w:jc w:val="both"/>
      </w:pPr>
      <w:r>
        <w:rPr>
          <w:rFonts w:cs="Arial"/>
        </w:rPr>
        <w:t xml:space="preserve">se sídlem </w:t>
      </w:r>
      <w:bookmarkStart w:id="2" w:name="ulice"/>
      <w:bookmarkEnd w:id="2"/>
      <w:r w:rsidR="00B57E82">
        <w:rPr>
          <w:rFonts w:cs="Arial"/>
        </w:rPr>
        <w:t>Orlická 2020/4</w:t>
      </w:r>
      <w:r>
        <w:rPr>
          <w:rFonts w:cs="Arial"/>
        </w:rPr>
        <w:t>,</w:t>
      </w:r>
      <w:bookmarkStart w:id="3" w:name="mesto"/>
      <w:bookmarkEnd w:id="3"/>
      <w:r w:rsidR="005C27DE">
        <w:rPr>
          <w:rFonts w:cs="Arial"/>
        </w:rPr>
        <w:t xml:space="preserve"> </w:t>
      </w:r>
      <w:r w:rsidR="00B57E82">
        <w:rPr>
          <w:rFonts w:cs="Arial"/>
        </w:rPr>
        <w:t>Praha 3</w:t>
      </w:r>
      <w:r>
        <w:rPr>
          <w:rFonts w:cs="Arial"/>
        </w:rPr>
        <w:t>,</w:t>
      </w:r>
      <w:r w:rsidR="00E90F55">
        <w:rPr>
          <w:rFonts w:cs="Arial"/>
        </w:rPr>
        <w:t xml:space="preserve"> PSČ</w:t>
      </w:r>
      <w:r>
        <w:rPr>
          <w:rFonts w:cs="Arial"/>
        </w:rPr>
        <w:t xml:space="preserve"> </w:t>
      </w:r>
      <w:bookmarkStart w:id="4" w:name="psc"/>
      <w:bookmarkEnd w:id="4"/>
      <w:r w:rsidR="00B57E82">
        <w:rPr>
          <w:rFonts w:cs="Arial"/>
        </w:rPr>
        <w:t>130 00</w:t>
      </w:r>
      <w:r>
        <w:rPr>
          <w:rFonts w:cs="Arial"/>
        </w:rPr>
        <w:t>,</w:t>
      </w:r>
    </w:p>
    <w:p w14:paraId="3BEE7662" w14:textId="77777777" w:rsidR="00A007AF" w:rsidRDefault="00A007AF" w:rsidP="00A007AF">
      <w:pPr>
        <w:spacing w:after="0"/>
        <w:ind w:left="284" w:right="260"/>
        <w:jc w:val="both"/>
      </w:pPr>
      <w:r>
        <w:rPr>
          <w:rFonts w:cs="Arial"/>
        </w:rPr>
        <w:t>IČ</w:t>
      </w:r>
      <w:r w:rsidR="003E6010">
        <w:rPr>
          <w:rFonts w:cs="Arial"/>
        </w:rPr>
        <w:t>O</w:t>
      </w:r>
      <w:r>
        <w:rPr>
          <w:rFonts w:cs="Arial"/>
        </w:rPr>
        <w:t xml:space="preserve">: </w:t>
      </w:r>
      <w:bookmarkStart w:id="5" w:name="ico"/>
      <w:bookmarkEnd w:id="5"/>
      <w:r w:rsidR="00B57E82">
        <w:rPr>
          <w:rFonts w:cs="Arial"/>
        </w:rPr>
        <w:t>41197518</w:t>
      </w:r>
      <w:r>
        <w:rPr>
          <w:rFonts w:cs="Arial"/>
        </w:rPr>
        <w:t>, DIČ:</w:t>
      </w:r>
      <w:r>
        <w:t xml:space="preserve"> </w:t>
      </w:r>
      <w:bookmarkStart w:id="6" w:name="dic"/>
      <w:bookmarkEnd w:id="6"/>
      <w:r w:rsidR="00B57E82">
        <w:t>CZ41197518</w:t>
      </w:r>
      <w:r>
        <w:rPr>
          <w:rFonts w:cs="Arial"/>
        </w:rPr>
        <w:t>,</w:t>
      </w:r>
    </w:p>
    <w:p w14:paraId="46405D1A" w14:textId="399CE522" w:rsidR="00E427A3" w:rsidRDefault="00E427A3" w:rsidP="00A007AF">
      <w:pPr>
        <w:spacing w:after="0" w:line="240" w:lineRule="auto"/>
        <w:ind w:left="284" w:right="260"/>
        <w:jc w:val="both"/>
        <w:rPr>
          <w:rFonts w:cs="Arial"/>
        </w:rPr>
      </w:pPr>
      <w:r>
        <w:rPr>
          <w:rFonts w:cs="Arial"/>
        </w:rPr>
        <w:t>Z</w:t>
      </w:r>
      <w:r w:rsidR="00A007AF">
        <w:rPr>
          <w:rFonts w:cs="Arial"/>
        </w:rPr>
        <w:t>astoupena</w:t>
      </w:r>
      <w:r>
        <w:rPr>
          <w:rFonts w:cs="Arial"/>
        </w:rPr>
        <w:t xml:space="preserve"> Ing. Zdeňkem Kabátkem, ředitelem VZP ČR</w:t>
      </w:r>
      <w:bookmarkStart w:id="7" w:name="osoba"/>
      <w:bookmarkEnd w:id="7"/>
    </w:p>
    <w:p w14:paraId="2E407D92" w14:textId="77777777" w:rsidR="00E427A3" w:rsidRPr="00EF3CDF" w:rsidRDefault="00E427A3" w:rsidP="00E427A3">
      <w:pPr>
        <w:spacing w:after="0" w:line="240" w:lineRule="auto"/>
        <w:ind w:left="284" w:right="260"/>
        <w:jc w:val="both"/>
        <w:rPr>
          <w:rFonts w:cs="Arial"/>
        </w:rPr>
      </w:pPr>
      <w:r w:rsidRPr="00EF3CDF">
        <w:rPr>
          <w:rFonts w:cs="Arial"/>
        </w:rPr>
        <w:t xml:space="preserve">bankovní spojení: </w:t>
      </w:r>
      <w:r>
        <w:rPr>
          <w:rStyle w:val="platne1"/>
          <w:rFonts w:cs="Arial"/>
        </w:rPr>
        <w:t>1110205001/0710</w:t>
      </w:r>
      <w:r w:rsidRPr="00EF3CDF">
        <w:rPr>
          <w:rStyle w:val="platne1"/>
          <w:rFonts w:cs="Arial"/>
        </w:rPr>
        <w:t xml:space="preserve">, </w:t>
      </w:r>
      <w:r>
        <w:rPr>
          <w:rStyle w:val="platne1"/>
          <w:rFonts w:cs="Arial"/>
        </w:rPr>
        <w:t xml:space="preserve">Česká národní banka </w:t>
      </w:r>
      <w:r w:rsidRPr="00EF3CDF">
        <w:rPr>
          <w:rStyle w:val="platne1"/>
          <w:rFonts w:cs="Arial"/>
        </w:rPr>
        <w:t xml:space="preserve"> </w:t>
      </w:r>
    </w:p>
    <w:p w14:paraId="7B1E1CAF" w14:textId="77777777" w:rsidR="00E427A3" w:rsidRPr="00EF3CDF" w:rsidRDefault="00E427A3" w:rsidP="00E427A3">
      <w:pPr>
        <w:spacing w:after="0" w:line="240" w:lineRule="auto"/>
        <w:ind w:left="284" w:right="260"/>
        <w:jc w:val="both"/>
        <w:rPr>
          <w:rFonts w:cs="Arial"/>
        </w:rPr>
      </w:pPr>
      <w:r>
        <w:rPr>
          <w:rFonts w:cs="Arial"/>
        </w:rPr>
        <w:t>zřízena zákonem č. 551/1991 Sb., o Všeobecné zdravotní pojišťovně České republiky</w:t>
      </w:r>
    </w:p>
    <w:p w14:paraId="1073202F"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BA66346" w14:textId="77777777" w:rsidR="00A007AF" w:rsidRDefault="00A007AF" w:rsidP="00A007AF">
      <w:pPr>
        <w:spacing w:after="0" w:line="240" w:lineRule="auto"/>
        <w:ind w:left="284" w:right="260"/>
        <w:jc w:val="both"/>
        <w:rPr>
          <w:rFonts w:cs="Arial"/>
        </w:rPr>
      </w:pPr>
    </w:p>
    <w:p w14:paraId="293B30C0" w14:textId="77777777" w:rsidR="00E11940" w:rsidRDefault="00E11940" w:rsidP="00E11940">
      <w:pPr>
        <w:spacing w:after="0" w:line="240" w:lineRule="auto"/>
        <w:ind w:left="284" w:right="260"/>
        <w:jc w:val="both"/>
        <w:rPr>
          <w:rFonts w:cs="Arial"/>
        </w:rPr>
      </w:pPr>
      <w:r>
        <w:rPr>
          <w:rFonts w:cs="Arial"/>
        </w:rPr>
        <w:t>uzavírají tuto smlouvu:</w:t>
      </w:r>
    </w:p>
    <w:p w14:paraId="5EC9F1B1" w14:textId="77777777" w:rsidR="00E11940" w:rsidRDefault="00E11940" w:rsidP="00E11940">
      <w:pPr>
        <w:spacing w:after="0" w:line="240" w:lineRule="auto"/>
        <w:ind w:left="284" w:right="260"/>
        <w:jc w:val="both"/>
        <w:rPr>
          <w:rFonts w:cs="Arial"/>
        </w:rPr>
      </w:pPr>
    </w:p>
    <w:p w14:paraId="0449F922"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24E73B0F"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5D180A5" w14:textId="54DD4638"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CE6C41">
        <w:rPr>
          <w:rFonts w:cs="Arial"/>
        </w:rPr>
        <w:t xml:space="preserve"> na odkazu </w:t>
      </w:r>
      <w:r w:rsidR="00CE6C41" w:rsidRPr="00CE6C41">
        <w:rPr>
          <w:rFonts w:cs="Arial"/>
        </w:rPr>
        <w:t>https://www.beck-online.cz/vop-2022/</w:t>
      </w:r>
      <w:r>
        <w:rPr>
          <w:rFonts w:cs="Arial"/>
        </w:rPr>
        <w:t>.</w:t>
      </w:r>
    </w:p>
    <w:p w14:paraId="61411DBF"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1A1F002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254C05D"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w:t>
      </w:r>
      <w:r w:rsidR="007A7919">
        <w:rPr>
          <w:rFonts w:cs="Arial"/>
        </w:rPr>
        <w:t xml:space="preserve"> č. 1 (Rozsah licence v průběhu pilotního provozu)</w:t>
      </w:r>
      <w:r>
        <w:rPr>
          <w:rFonts w:cs="Arial"/>
        </w:rPr>
        <w:t>, která je nedílnou součástí této smlouvy.</w:t>
      </w:r>
    </w:p>
    <w:p w14:paraId="78648979"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43FAD10E"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0832E7B9"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w:t>
      </w:r>
      <w:r w:rsidR="007A7919">
        <w:rPr>
          <w:rFonts w:cs="Arial"/>
        </w:rPr>
        <w:t xml:space="preserve"> č.1 (Rozsah licence v průběhu pilotního provozu)</w:t>
      </w:r>
      <w:r>
        <w:rPr>
          <w:rFonts w:cs="Arial"/>
        </w:rPr>
        <w:t>, přičemž další podmínky užívání licence jsou upraveny ve VOP.</w:t>
      </w:r>
    </w:p>
    <w:p w14:paraId="23F04B52" w14:textId="77777777" w:rsidR="00862F0D" w:rsidRDefault="00862F0D" w:rsidP="00862F0D">
      <w:pPr>
        <w:pStyle w:val="Odstavecseseznamem"/>
        <w:spacing w:before="80" w:after="0" w:line="240" w:lineRule="auto"/>
        <w:ind w:left="709" w:right="260"/>
        <w:jc w:val="both"/>
        <w:rPr>
          <w:rFonts w:cs="Arial"/>
        </w:rPr>
      </w:pPr>
    </w:p>
    <w:p w14:paraId="54865B95"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1745851"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76CF890" w14:textId="656F965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je poskytovatel oprávněn vystavit nejdříve dva měsíce před začátkem období. Elektronická faktura bude zasílána na email: </w:t>
      </w:r>
      <w:r w:rsidR="00102BA8">
        <w:t>xxxxxxxxxxxxxxxxxxx</w:t>
      </w:r>
      <w:r>
        <w:rPr>
          <w:rFonts w:cs="Arial"/>
        </w:rPr>
        <w:t xml:space="preserve"> O případné změně emailové adresy je uživatel povinen poskytovatele bezodkladně písemnou formou informovat</w:t>
      </w:r>
      <w:r w:rsidR="00D906A8">
        <w:rPr>
          <w:rFonts w:cs="Arial"/>
        </w:rPr>
        <w:t xml:space="preserve">, a to e-mailem na adresu: </w:t>
      </w:r>
      <w:hyperlink r:id="rId9" w:history="1">
        <w:r w:rsidR="000F453C" w:rsidRPr="00291108">
          <w:rPr>
            <w:rStyle w:val="Hypertextovodkaz"/>
            <w:rFonts w:cs="Arial"/>
          </w:rPr>
          <w:t>beck-online@beck.cz</w:t>
        </w:r>
      </w:hyperlink>
      <w:r w:rsidR="000F453C">
        <w:rPr>
          <w:rFonts w:cs="Arial"/>
        </w:rPr>
        <w:t xml:space="preserve"> </w:t>
      </w:r>
      <w:r w:rsidR="00D906A8">
        <w:rPr>
          <w:rFonts w:cs="Arial"/>
        </w:rPr>
        <w:t>.</w:t>
      </w:r>
    </w:p>
    <w:p w14:paraId="1A887DB0" w14:textId="35058F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lastRenderedPageBreak/>
        <w:t xml:space="preserve">Faktura je splatná do </w:t>
      </w:r>
      <w:bookmarkStart w:id="8" w:name="splatnost"/>
      <w:bookmarkEnd w:id="8"/>
      <w:r w:rsidR="00B57E82">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 xml:space="preserve">Beck-online však nezaniká právo </w:t>
      </w:r>
      <w:r w:rsidR="0045105C">
        <w:rPr>
          <w:rFonts w:cs="Arial"/>
        </w:rPr>
        <w:t>p</w:t>
      </w:r>
      <w:r>
        <w:rPr>
          <w:rFonts w:cs="Arial"/>
        </w:rPr>
        <w:t>oskytovatele na úhradu Odměny i za dobu, během které nebyla tato služba poskytována.</w:t>
      </w:r>
    </w:p>
    <w:p w14:paraId="014A8675" w14:textId="23C8EB9A" w:rsidR="007A7919" w:rsidRPr="00847C93" w:rsidRDefault="007A7919" w:rsidP="007A7919">
      <w:pPr>
        <w:pStyle w:val="Odstavecseseznamem"/>
        <w:numPr>
          <w:ilvl w:val="1"/>
          <w:numId w:val="11"/>
        </w:numPr>
        <w:spacing w:before="80" w:after="0" w:line="240" w:lineRule="auto"/>
        <w:ind w:right="260"/>
        <w:jc w:val="both"/>
        <w:rPr>
          <w:rFonts w:cs="Arial"/>
        </w:rPr>
      </w:pPr>
      <w:r w:rsidRPr="007A7919">
        <w:rPr>
          <w:rFonts w:cs="Arial"/>
        </w:rPr>
        <w:t>Každá faktura musí splňovat náležitosti daňového dokladu stanovené v zákoně č. 235/2004 Sb., o dani z přidané hodnoty, ve znění pozdějších předpisů a další náležitosti dané zákonem č. 563/1991 Sb., o účetnictví, ve znění pozdějších předpisů a § 435 Občanského zákoníku. Na každé faktuře musí být dále uvedeno číslo této Smlouvy</w:t>
      </w:r>
      <w:r w:rsidRPr="00847C93">
        <w:rPr>
          <w:rFonts w:cs="Arial"/>
        </w:rPr>
        <w:t>. Uživatel obdrží originál faktury.</w:t>
      </w:r>
    </w:p>
    <w:p w14:paraId="2314EEDA" w14:textId="77777777" w:rsidR="007A7919" w:rsidRPr="007A7919" w:rsidRDefault="007A7919" w:rsidP="007A7919">
      <w:pPr>
        <w:pStyle w:val="Odstavecseseznamem"/>
        <w:numPr>
          <w:ilvl w:val="1"/>
          <w:numId w:val="11"/>
        </w:numPr>
        <w:spacing w:before="80" w:after="0" w:line="240" w:lineRule="auto"/>
        <w:ind w:right="260"/>
        <w:jc w:val="both"/>
        <w:rPr>
          <w:rFonts w:cs="Arial"/>
        </w:rPr>
      </w:pPr>
      <w:r w:rsidRPr="007A7919">
        <w:rPr>
          <w:rFonts w:cs="Arial"/>
        </w:rPr>
        <w:t>Nesplněním či neprokázáním splnění fakturovaných Služeb ze strany Poskytovatele zaniká Poskytovateli právo na úhradu fakturované částky. V případě prokázání pouze částečného splnění závazku Poskytovatele bude Poskytovateli uhrazena Uživatelem jen částka v prokázané výši.</w:t>
      </w:r>
    </w:p>
    <w:p w14:paraId="751BEB73" w14:textId="77777777" w:rsidR="007A7919" w:rsidRPr="007A7919" w:rsidRDefault="007A7919" w:rsidP="007A7919">
      <w:pPr>
        <w:pStyle w:val="Odstavecseseznamem"/>
        <w:numPr>
          <w:ilvl w:val="1"/>
          <w:numId w:val="11"/>
        </w:numPr>
        <w:spacing w:before="80" w:after="0" w:line="240" w:lineRule="auto"/>
        <w:ind w:right="260"/>
        <w:jc w:val="both"/>
        <w:rPr>
          <w:rFonts w:cs="Arial"/>
        </w:rPr>
      </w:pPr>
      <w:r w:rsidRPr="007A7919">
        <w:rPr>
          <w:rFonts w:cs="Arial"/>
        </w:rPr>
        <w:t>Uživatel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Uživatel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 nově vyhotovené faktury do sídla Uživatele.</w:t>
      </w:r>
    </w:p>
    <w:p w14:paraId="4A832F5D" w14:textId="79379943" w:rsidR="005C27DE" w:rsidRDefault="007A7919" w:rsidP="00701B77">
      <w:pPr>
        <w:pStyle w:val="Odstavecseseznamem"/>
        <w:numPr>
          <w:ilvl w:val="1"/>
          <w:numId w:val="11"/>
        </w:numPr>
        <w:spacing w:before="80" w:after="0" w:line="240" w:lineRule="auto"/>
        <w:ind w:right="260"/>
        <w:jc w:val="both"/>
        <w:rPr>
          <w:rFonts w:cs="Arial"/>
        </w:rPr>
      </w:pPr>
      <w:r w:rsidRPr="007A7919">
        <w:rPr>
          <w:rFonts w:cs="Arial"/>
        </w:rPr>
        <w:t>Zaplacením faktury podle této Smlouvy se rozumí odepsání příslušné částky z účtu Uživatele ve prospěch účtu Poskytovatele.</w:t>
      </w:r>
    </w:p>
    <w:p w14:paraId="3E927E11" w14:textId="77777777" w:rsidR="00701B77" w:rsidRPr="00701B77" w:rsidRDefault="00701B77" w:rsidP="00701B77">
      <w:pPr>
        <w:pStyle w:val="Odstavecseseznamem"/>
        <w:spacing w:before="80" w:after="0" w:line="240" w:lineRule="auto"/>
        <w:ind w:left="786" w:right="260"/>
        <w:jc w:val="both"/>
        <w:rPr>
          <w:rFonts w:cs="Arial"/>
        </w:rPr>
      </w:pPr>
    </w:p>
    <w:p w14:paraId="25BCE70B"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019B654E" w14:textId="12D6485D" w:rsidR="00F0188C" w:rsidRPr="00312DD7" w:rsidRDefault="00F0188C" w:rsidP="00312DD7">
      <w:pPr>
        <w:pStyle w:val="Odstavecseseznamem"/>
        <w:numPr>
          <w:ilvl w:val="1"/>
          <w:numId w:val="11"/>
        </w:numPr>
        <w:spacing w:after="0" w:line="240" w:lineRule="auto"/>
        <w:ind w:left="709" w:right="260" w:hanging="425"/>
        <w:jc w:val="both"/>
        <w:rPr>
          <w:rFonts w:cs="Arial"/>
        </w:rPr>
      </w:pPr>
      <w:r w:rsidRPr="00DA7989">
        <w:rPr>
          <w:rFonts w:cs="Arial"/>
        </w:rPr>
        <w:t>Tato smlouva nabývá platnosti dnem jejího podpisu oběma smluvními stranami a účinnosti dnem</w:t>
      </w:r>
      <w:r w:rsidR="00033CF9" w:rsidRPr="00DA7989">
        <w:rPr>
          <w:rFonts w:cs="Arial"/>
        </w:rPr>
        <w:t xml:space="preserve"> </w:t>
      </w:r>
      <w:r w:rsidR="00033CF9" w:rsidRPr="00CA3B95">
        <w:rPr>
          <w:rFonts w:cs="Arial"/>
        </w:rPr>
        <w:t xml:space="preserve">1.2.2024, pokud </w:t>
      </w:r>
      <w:r w:rsidR="00D07F52" w:rsidRPr="00DA7989">
        <w:rPr>
          <w:rFonts w:cs="Arial"/>
        </w:rPr>
        <w:t xml:space="preserve">do té doby </w:t>
      </w:r>
      <w:r w:rsidR="00033CF9" w:rsidRPr="00DA7989">
        <w:rPr>
          <w:rFonts w:cs="Arial"/>
        </w:rPr>
        <w:t>došlo k jejímu</w:t>
      </w:r>
      <w:r w:rsidRPr="00DA7989">
        <w:rPr>
          <w:rFonts w:cs="Arial"/>
        </w:rPr>
        <w:t xml:space="preserve"> </w:t>
      </w:r>
      <w:r>
        <w:rPr>
          <w:rFonts w:cs="Arial"/>
        </w:rPr>
        <w:t>zveřejnění v registru smluv podle zákona č. 340/2015 Sb., zákon o registru smluv, ve znění pozdějších předpisů.</w:t>
      </w:r>
    </w:p>
    <w:p w14:paraId="418A16E9" w14:textId="555492C4" w:rsidR="00E11940" w:rsidRPr="00C801F8" w:rsidRDefault="00E11940" w:rsidP="00C801F8">
      <w:pPr>
        <w:pStyle w:val="Odstavecseseznamem"/>
        <w:numPr>
          <w:ilvl w:val="1"/>
          <w:numId w:val="14"/>
        </w:numPr>
        <w:spacing w:before="80" w:after="0" w:line="240" w:lineRule="auto"/>
        <w:ind w:right="260"/>
        <w:jc w:val="both"/>
        <w:rPr>
          <w:rFonts w:cs="Arial"/>
        </w:rPr>
      </w:pPr>
      <w:r w:rsidRPr="00C801F8">
        <w:rPr>
          <w:rFonts w:cs="Arial"/>
        </w:rPr>
        <w:t>Smlouva se uzavírá na dobu</w:t>
      </w:r>
      <w:r w:rsidRPr="00C801F8">
        <w:rPr>
          <w:rFonts w:cs="Arial"/>
          <w:b/>
        </w:rPr>
        <w:t xml:space="preserve"> </w:t>
      </w:r>
      <w:bookmarkStart w:id="9" w:name="doba_trvani"/>
      <w:bookmarkEnd w:id="9"/>
      <w:r w:rsidR="00B57E82" w:rsidRPr="00C801F8">
        <w:rPr>
          <w:rFonts w:cs="Arial"/>
          <w:b/>
        </w:rPr>
        <w:t>určitou, a to do 31.01.202</w:t>
      </w:r>
      <w:r w:rsidR="005C27DE" w:rsidRPr="00C801F8">
        <w:rPr>
          <w:rFonts w:cs="Arial"/>
          <w:b/>
        </w:rPr>
        <w:t>6</w:t>
      </w:r>
      <w:r w:rsidRPr="00C801F8">
        <w:rPr>
          <w:rFonts w:cs="Arial"/>
        </w:rPr>
        <w:t>. Licence je uživateli udělena na dobu trvání této smlouvy.</w:t>
      </w:r>
    </w:p>
    <w:p w14:paraId="699DBD9D"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63801496" w14:textId="77777777"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43A2B58E"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541BD41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4AA539F8"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3FADCC57"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Úvodní zaškolení musí povinně absolvovat všechny osoby v režimu pilotního provozu, a to nejpozději do tří měsíců od začátku předplaceného období. </w:t>
      </w:r>
      <w:r w:rsidR="00862F0D">
        <w:rPr>
          <w:rFonts w:cs="Arial"/>
        </w:rPr>
        <w:t>Toto zaškolení provede poskytovatel zdarma.</w:t>
      </w:r>
    </w:p>
    <w:p w14:paraId="0984F901" w14:textId="77777777"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4D515535" w14:textId="77777777" w:rsidR="00E11940" w:rsidRDefault="00E11940" w:rsidP="00E11940">
      <w:pPr>
        <w:pStyle w:val="Odstavecseseznamem"/>
        <w:spacing w:after="100" w:afterAutospacing="1" w:line="240" w:lineRule="auto"/>
        <w:ind w:left="709" w:right="260" w:hanging="425"/>
        <w:jc w:val="both"/>
        <w:rPr>
          <w:rFonts w:cs="Arial"/>
          <w:b/>
        </w:rPr>
      </w:pPr>
    </w:p>
    <w:p w14:paraId="443EB4C9"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05E75F0A" w14:textId="6574E168" w:rsidR="002C5FF1" w:rsidRPr="009008C6" w:rsidRDefault="00E11940" w:rsidP="009008C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D8DFD11" w14:textId="77777777" w:rsidR="001B596F" w:rsidRDefault="001B596F" w:rsidP="002C5FF1">
      <w:pPr>
        <w:pStyle w:val="Odstavecseseznamem"/>
        <w:spacing w:after="0" w:line="240" w:lineRule="auto"/>
        <w:ind w:left="709" w:right="260"/>
        <w:jc w:val="both"/>
        <w:rPr>
          <w:rFonts w:cs="Arial"/>
        </w:rPr>
      </w:pPr>
    </w:p>
    <w:p w14:paraId="1835AF98" w14:textId="77777777" w:rsidR="00F07897" w:rsidRDefault="0031329C" w:rsidP="0031329C">
      <w:pPr>
        <w:pStyle w:val="Odstavecseseznamem"/>
        <w:numPr>
          <w:ilvl w:val="0"/>
          <w:numId w:val="11"/>
        </w:numPr>
        <w:spacing w:after="0" w:line="240" w:lineRule="auto"/>
        <w:ind w:right="260"/>
        <w:jc w:val="both"/>
        <w:rPr>
          <w:rFonts w:cs="Arial"/>
          <w:b/>
          <w:bCs/>
        </w:rPr>
      </w:pPr>
      <w:r w:rsidRPr="002C5FF1">
        <w:rPr>
          <w:rFonts w:cs="Arial"/>
          <w:b/>
          <w:bCs/>
        </w:rPr>
        <w:t xml:space="preserve">Ochrana informací, údajů a zvláštní ujednání o </w:t>
      </w:r>
      <w:r w:rsidR="002C5FF1" w:rsidRPr="002C5FF1">
        <w:rPr>
          <w:rFonts w:cs="Arial"/>
          <w:b/>
          <w:bCs/>
        </w:rPr>
        <w:t>zpracování a ochraně osobních údajů</w:t>
      </w:r>
    </w:p>
    <w:p w14:paraId="5E9E0D18" w14:textId="2E0B3463" w:rsidR="002C5FF1" w:rsidRDefault="002C5FF1" w:rsidP="00F47551">
      <w:pPr>
        <w:spacing w:after="0" w:line="240" w:lineRule="auto"/>
        <w:ind w:left="708" w:right="260" w:hanging="348"/>
        <w:jc w:val="both"/>
        <w:rPr>
          <w:rFonts w:cs="Arial"/>
        </w:rPr>
      </w:pPr>
      <w:r>
        <w:rPr>
          <w:rFonts w:cs="Arial"/>
        </w:rPr>
        <w:t>7.1</w:t>
      </w:r>
      <w:r>
        <w:rPr>
          <w:rFonts w:cs="Arial"/>
        </w:rPr>
        <w:tab/>
      </w:r>
      <w:r w:rsidR="00BD77DB">
        <w:rPr>
          <w:rFonts w:cs="Arial"/>
        </w:rPr>
        <w:t>Smluvní strany se zavazují uchovat v tajnosti veškeré skutečnosti, informace a údaje týkající se druhé smluvní strany</w:t>
      </w:r>
      <w:r w:rsidR="00AD1965">
        <w:rPr>
          <w:rFonts w:cs="Arial"/>
        </w:rPr>
        <w:t>, předmětu plnění této smlouvy nebo s předmětem plnění související</w:t>
      </w:r>
      <w:r w:rsidR="00CF1BBC">
        <w:rPr>
          <w:rFonts w:cs="Arial"/>
        </w:rPr>
        <w:t xml:space="preserve">, které naplňují všechny znaky </w:t>
      </w:r>
      <w:r w:rsidR="00F47551">
        <w:rPr>
          <w:rFonts w:cs="Arial"/>
        </w:rPr>
        <w:t>obchodní</w:t>
      </w:r>
      <w:r w:rsidR="00CF1BBC">
        <w:rPr>
          <w:rFonts w:cs="Arial"/>
        </w:rPr>
        <w:t>ho</w:t>
      </w:r>
      <w:r w:rsidR="00F47551">
        <w:rPr>
          <w:rFonts w:cs="Arial"/>
        </w:rPr>
        <w:t xml:space="preserve"> tajemství podle § 504 zákona č. 89/2012, občanského zákoníku, ve znění pozdějších předpisů</w:t>
      </w:r>
      <w:r w:rsidR="00CF1BBC">
        <w:rPr>
          <w:rFonts w:cs="Arial"/>
        </w:rPr>
        <w:t>, a příslušná smluvní strana je výslovně označí jako „obchodní tajemství“</w:t>
      </w:r>
      <w:r w:rsidR="00F47551">
        <w:rPr>
          <w:rFonts w:cs="Arial"/>
        </w:rPr>
        <w:t>.</w:t>
      </w:r>
    </w:p>
    <w:p w14:paraId="7069385E" w14:textId="77777777" w:rsidR="00F47551" w:rsidRDefault="00F47551" w:rsidP="00F47551">
      <w:pPr>
        <w:spacing w:after="0" w:line="240" w:lineRule="auto"/>
        <w:ind w:left="708" w:right="260" w:hanging="348"/>
        <w:jc w:val="both"/>
        <w:rPr>
          <w:rFonts w:cs="Arial"/>
        </w:rPr>
      </w:pPr>
      <w:r>
        <w:rPr>
          <w:rFonts w:cs="Arial"/>
        </w:rPr>
        <w:lastRenderedPageBreak/>
        <w:t xml:space="preserve">7.2 </w:t>
      </w:r>
      <w:r w:rsidR="00624FA2">
        <w:rPr>
          <w:rFonts w:cs="Arial"/>
        </w:rPr>
        <w:t>Poskytovatel bere na vědomí, že VZP ČR jako povinný subjekt musí na žádost</w:t>
      </w:r>
      <w:r w:rsidR="00ED4ED0">
        <w:rPr>
          <w:rFonts w:cs="Arial"/>
        </w:rPr>
        <w:t xml:space="preserve"> poskytnou informace podle zákona č. 106/1999 Sb., o svobodném přístupu k informacím, ve znění pozdějších předpisů,</w:t>
      </w:r>
      <w:r w:rsidR="00D41E99">
        <w:rPr>
          <w:rFonts w:cs="Arial"/>
        </w:rPr>
        <w:t xml:space="preserve"> a to zejména informace týkající se identifikace smluvních stran, informace o ceně a rámcovou </w:t>
      </w:r>
      <w:r w:rsidR="002A7622">
        <w:rPr>
          <w:rFonts w:cs="Arial"/>
        </w:rPr>
        <w:t>informaci o předmětu plnění smlouvy. Poskytnutí informací v souladu s citovaným zákonem nelze považovat za porušení obchodního tajemství.</w:t>
      </w:r>
    </w:p>
    <w:p w14:paraId="0FA46882" w14:textId="77777777" w:rsidR="00E755B6" w:rsidRDefault="00E755B6" w:rsidP="00F47551">
      <w:pPr>
        <w:spacing w:after="0" w:line="240" w:lineRule="auto"/>
        <w:ind w:left="708" w:right="260" w:hanging="348"/>
        <w:jc w:val="both"/>
        <w:rPr>
          <w:rFonts w:cs="Arial"/>
        </w:rPr>
      </w:pPr>
      <w:r>
        <w:rPr>
          <w:rFonts w:cs="Arial"/>
        </w:rPr>
        <w:t xml:space="preserve">7.3 </w:t>
      </w:r>
      <w:r w:rsidR="000B1D77">
        <w:rPr>
          <w:rFonts w:cs="Arial"/>
        </w:rPr>
        <w:t>S odkazem na § 24a zákona č. 551/1991 Sb., o Všeobecné zdravotní pojišťovně České republiky, ve znění pozdějších předpisů</w:t>
      </w:r>
      <w:r w:rsidR="00F24ABA">
        <w:rPr>
          <w:rFonts w:cs="Arial"/>
        </w:rPr>
        <w:t>, a zákona č. 110/2019 Sb., o zpracování osobních údajů, ve znění pozdějších předpisů, se poskytovatel dále zavazuje učinit taková opatření, aby osoby, které se podílejí na realizaci jeho závazků z</w:t>
      </w:r>
      <w:r w:rsidR="00ED48F6">
        <w:rPr>
          <w:rFonts w:cs="Arial"/>
        </w:rPr>
        <w:t> </w:t>
      </w:r>
      <w:r w:rsidR="00F24ABA">
        <w:rPr>
          <w:rFonts w:cs="Arial"/>
        </w:rPr>
        <w:t>t</w:t>
      </w:r>
      <w:r w:rsidR="00ED48F6">
        <w:rPr>
          <w:rFonts w:cs="Arial"/>
        </w:rPr>
        <w:t>éto smlouvy, zachovávaly mlčenlivost o veškerých skutečnostech, údajích a datech (osobních či jiných),</w:t>
      </w:r>
      <w:r w:rsidR="00167707">
        <w:rPr>
          <w:rFonts w:cs="Arial"/>
        </w:rPr>
        <w:t xml:space="preserve"> o nichž se dozvěděly při výkonu své práce, včetně těch, které VZP ČR eviduje pomocí výpočetní techniky, či jinak. Za porušení tohoto závazku</w:t>
      </w:r>
      <w:r w:rsidR="00DD2C47">
        <w:rPr>
          <w:rFonts w:cs="Arial"/>
        </w:rPr>
        <w:t xml:space="preserve"> se považuje i využití těchto skutečností, údajů nebo tak, jakož i dalších vědomostí pro vlastní prospěch poskytovatele, prospěch třetí osoby nebo jiné důvody. Toto ujednání platí i v</w:t>
      </w:r>
      <w:r w:rsidR="00115844">
        <w:rPr>
          <w:rFonts w:cs="Arial"/>
        </w:rPr>
        <w:t> </w:t>
      </w:r>
      <w:r w:rsidR="00DD2C47">
        <w:rPr>
          <w:rFonts w:cs="Arial"/>
        </w:rPr>
        <w:t>případě</w:t>
      </w:r>
      <w:r w:rsidR="00115844">
        <w:rPr>
          <w:rFonts w:cs="Arial"/>
        </w:rPr>
        <w:t xml:space="preserve"> nahrazení uvedených právních předpisů jinými.</w:t>
      </w:r>
    </w:p>
    <w:p w14:paraId="314A0E88" w14:textId="77777777" w:rsidR="00115844" w:rsidRDefault="00115844" w:rsidP="00F47551">
      <w:pPr>
        <w:spacing w:after="0" w:line="240" w:lineRule="auto"/>
        <w:ind w:left="708" w:right="260" w:hanging="348"/>
        <w:jc w:val="both"/>
        <w:rPr>
          <w:rFonts w:cs="Arial"/>
        </w:rPr>
      </w:pPr>
      <w:r>
        <w:rPr>
          <w:rFonts w:cs="Arial"/>
        </w:rPr>
        <w:t>7.4 S odkazem na zákon č. 110/2019 Sb., o zpracování osobních údaj</w:t>
      </w:r>
      <w:r w:rsidR="00734966">
        <w:rPr>
          <w:rFonts w:cs="Arial"/>
        </w:rPr>
        <w:t>ů (dále jen „Zákon“), Nařízení Evropského parlamentu a Rady (EU) 2016/679 o ochraně osobních údajů (dále jen „Nařízení“) a ustanovení § 24a zákona č. 551/1991 Sb., o Všeobecné zdravotní pojišťovně České republiky, ve znění pozdějších předpisů,</w:t>
      </w:r>
      <w:r w:rsidR="00137561">
        <w:rPr>
          <w:rFonts w:cs="Arial"/>
        </w:rPr>
        <w:t xml:space="preserve"> se poskytovatel zavaz</w:t>
      </w:r>
      <w:r w:rsidR="00CA5D75">
        <w:rPr>
          <w:rFonts w:cs="Arial"/>
        </w:rPr>
        <w:t>uje učinit taková opatření, aby osoby, které se podílejí na realizaci závazků</w:t>
      </w:r>
      <w:r w:rsidR="00E47B0F">
        <w:rPr>
          <w:rFonts w:cs="Arial"/>
        </w:rPr>
        <w:t xml:space="preserve"> podle této smlouvy, zachovávaly mlčenlivost o veškerých osobních údajích a datech, se kterými se seznámily při plnění předmětu této smlouvy.</w:t>
      </w:r>
    </w:p>
    <w:p w14:paraId="011C3FF1" w14:textId="77777777" w:rsidR="007F6A6A" w:rsidRDefault="007F6A6A" w:rsidP="00F47551">
      <w:pPr>
        <w:spacing w:after="0" w:line="240" w:lineRule="auto"/>
        <w:ind w:left="708" w:right="260" w:hanging="348"/>
        <w:jc w:val="both"/>
        <w:rPr>
          <w:rFonts w:cs="Arial"/>
        </w:rPr>
      </w:pPr>
      <w:r>
        <w:rPr>
          <w:rFonts w:cs="Arial"/>
        </w:rPr>
        <w:t>7.5 Poskytovatel si je vědom skutečnosti, že pokud mu budou pro účely realizace této smlouvy poskytnuty osobní údaje</w:t>
      </w:r>
      <w:r w:rsidR="00B531BF">
        <w:rPr>
          <w:rFonts w:cs="Arial"/>
        </w:rPr>
        <w:t xml:space="preserve"> zaměstnanců VZP ČR, které Zákon a Nařízení označují jako osobní údaje (dále jen „osobní údaje“)</w:t>
      </w:r>
      <w:r w:rsidR="004E419A">
        <w:rPr>
          <w:rFonts w:cs="Arial"/>
        </w:rPr>
        <w:t xml:space="preserve"> stává se zpracovatelem těchto osobních údajů a jako zpracovatel se zavazuje, že účelem plnění předmětu této smlouvy </w:t>
      </w:r>
      <w:r w:rsidR="001C2953">
        <w:rPr>
          <w:rFonts w:cs="Arial"/>
        </w:rPr>
        <w:t xml:space="preserve">bude zpracovávat, uchovávat a chránit tyto osobní údaje v souladu s platnými právními předpisy, zejména v souladu s ustanovením Zákona a Nařízením, ostatními příslušnými </w:t>
      </w:r>
      <w:r w:rsidR="0061723A">
        <w:rPr>
          <w:rFonts w:cs="Arial"/>
        </w:rPr>
        <w:t>právními předpisy, s ustanoveními této smlouvy a pokyny uživatele.</w:t>
      </w:r>
    </w:p>
    <w:p w14:paraId="33CDAD6F" w14:textId="0B325503" w:rsidR="0061723A" w:rsidRPr="00AA05EA" w:rsidRDefault="0061723A" w:rsidP="001B596F">
      <w:pPr>
        <w:pStyle w:val="Odstavecseseznamem"/>
        <w:numPr>
          <w:ilvl w:val="1"/>
          <w:numId w:val="13"/>
        </w:numPr>
        <w:spacing w:after="0" w:line="240" w:lineRule="auto"/>
        <w:ind w:right="260"/>
        <w:jc w:val="both"/>
        <w:rPr>
          <w:rFonts w:cs="Arial"/>
        </w:rPr>
      </w:pPr>
      <w:r w:rsidRPr="00AA05EA">
        <w:rPr>
          <w:rFonts w:cs="Arial"/>
        </w:rPr>
        <w:t>Závazky smluvních stran uveden</w:t>
      </w:r>
      <w:r w:rsidR="00C63475" w:rsidRPr="00AA05EA">
        <w:rPr>
          <w:rFonts w:cs="Arial"/>
        </w:rPr>
        <w:t>é v tomto článku trvají i po skončení smluvního vztahu.</w:t>
      </w:r>
    </w:p>
    <w:p w14:paraId="74834D98" w14:textId="77777777" w:rsidR="00862F0D" w:rsidRPr="001B596F" w:rsidRDefault="00862F0D" w:rsidP="00862F0D">
      <w:pPr>
        <w:pStyle w:val="Odstavecseseznamem"/>
        <w:spacing w:after="0" w:line="240" w:lineRule="auto"/>
        <w:ind w:left="709" w:right="260"/>
        <w:jc w:val="both"/>
        <w:rPr>
          <w:rFonts w:cs="Arial"/>
        </w:rPr>
      </w:pPr>
    </w:p>
    <w:p w14:paraId="6C44B67E" w14:textId="77777777" w:rsidR="00AA05EA" w:rsidRPr="009008C6" w:rsidRDefault="00AA05EA" w:rsidP="00AA05EA">
      <w:pPr>
        <w:pStyle w:val="Odstavecseseznamem"/>
        <w:numPr>
          <w:ilvl w:val="0"/>
          <w:numId w:val="11"/>
        </w:numPr>
        <w:spacing w:before="240" w:after="100" w:afterAutospacing="1" w:line="240" w:lineRule="auto"/>
        <w:ind w:right="260"/>
        <w:jc w:val="both"/>
        <w:rPr>
          <w:rFonts w:cs="Arial"/>
          <w:b/>
        </w:rPr>
      </w:pPr>
      <w:r w:rsidRPr="009008C6">
        <w:rPr>
          <w:rFonts w:cs="Arial"/>
          <w:b/>
        </w:rPr>
        <w:t>Uveřejnění smlouvy</w:t>
      </w:r>
    </w:p>
    <w:p w14:paraId="2319E228" w14:textId="77777777" w:rsidR="00AA05EA" w:rsidRPr="001B596F" w:rsidRDefault="00AA05EA" w:rsidP="00AA05EA">
      <w:pPr>
        <w:pStyle w:val="Odstavecseseznamem"/>
        <w:numPr>
          <w:ilvl w:val="1"/>
          <w:numId w:val="11"/>
        </w:numPr>
        <w:spacing w:before="240" w:after="100" w:afterAutospacing="1" w:line="240" w:lineRule="auto"/>
        <w:ind w:right="260"/>
        <w:jc w:val="both"/>
        <w:rPr>
          <w:rFonts w:cs="Arial"/>
        </w:rPr>
      </w:pPr>
      <w:r w:rsidRPr="001B596F">
        <w:rPr>
          <w:rFonts w:cs="Arial"/>
        </w:rPr>
        <w:t>Smluvní strany jsou si plně vědomy zákonné povinnosti Smluvních stran uveřejnit dle zákona č. 340/2015 Sb., o zvláštních podmínkách účinnosti některých smluv, uveřejňování těchto smluv a o registru smluv (zákon o registru smluv), tuto smlouvu včetně případných objednávek z této smlouvy s hodnotou plnění od 50 000 Kč bez DPH výše a všech případných dohod, kterými se tato smlouva doplňuje, mění, nahrazuje nebo ruší, prostřednictvím registru smluv.</w:t>
      </w:r>
    </w:p>
    <w:p w14:paraId="3305DF0A" w14:textId="77777777" w:rsidR="00AA05EA" w:rsidRPr="001B596F" w:rsidRDefault="00AA05EA" w:rsidP="00AA05EA">
      <w:pPr>
        <w:pStyle w:val="Odstavecseseznamem"/>
        <w:numPr>
          <w:ilvl w:val="1"/>
          <w:numId w:val="11"/>
        </w:numPr>
        <w:spacing w:before="240" w:after="100" w:afterAutospacing="1" w:line="240" w:lineRule="auto"/>
        <w:ind w:right="260"/>
        <w:jc w:val="both"/>
        <w:rPr>
          <w:rFonts w:cs="Arial"/>
        </w:rPr>
      </w:pPr>
      <w:r w:rsidRPr="001B596F">
        <w:rPr>
          <w:rFonts w:cs="Arial"/>
        </w:rPr>
        <w:t>Uveřejněním smlouvy dle odst. 1. tohoto článku se rozumí uveřejnění elektronického obrazu textového obsahu Smlouvy v otevřeném a strojově čitelném formátu a rovněž metadat podle § 5 odst. 1 zákona o registru smluv prostřednictvím registru smluv.</w:t>
      </w:r>
    </w:p>
    <w:p w14:paraId="034A598E" w14:textId="77777777" w:rsidR="00AA05EA" w:rsidRPr="001B596F" w:rsidRDefault="00AA05EA" w:rsidP="00AA05EA">
      <w:pPr>
        <w:pStyle w:val="Odstavecseseznamem"/>
        <w:numPr>
          <w:ilvl w:val="1"/>
          <w:numId w:val="11"/>
        </w:numPr>
        <w:spacing w:before="240" w:after="100" w:afterAutospacing="1" w:line="240" w:lineRule="auto"/>
        <w:ind w:right="260"/>
        <w:jc w:val="both"/>
        <w:rPr>
          <w:rFonts w:cs="Arial"/>
        </w:rPr>
      </w:pPr>
      <w:r w:rsidRPr="001B596F">
        <w:rPr>
          <w:rFonts w:cs="Arial"/>
        </w:rPr>
        <w:t xml:space="preserve">Smluvní strany se dohodly, že tuto smlouvu zašle správci registru smluv k uveřejnění prostřednictvím registru smluv uživatel. Poskytovatel je povinen zkontrolovat, že smlouva včetně všech příloh a metadat byla řádně v registru smluv uveřejněna. V případě, že poskytovatel zjistí jakékoliv nepřesnosti či nedostatky, je povinen bez zbytečného odkladu o nich uživatele informovat. </w:t>
      </w:r>
    </w:p>
    <w:p w14:paraId="565A44AC" w14:textId="77777777" w:rsidR="00AA05EA" w:rsidRPr="001B596F" w:rsidRDefault="00AA05EA" w:rsidP="00AA05EA">
      <w:pPr>
        <w:pStyle w:val="Odstavecseseznamem"/>
        <w:numPr>
          <w:ilvl w:val="1"/>
          <w:numId w:val="11"/>
        </w:numPr>
        <w:spacing w:before="240" w:after="100" w:afterAutospacing="1" w:line="240" w:lineRule="auto"/>
        <w:ind w:right="260"/>
        <w:jc w:val="both"/>
        <w:rPr>
          <w:rFonts w:cs="Arial"/>
        </w:rPr>
      </w:pPr>
      <w:r w:rsidRPr="001B596F">
        <w:rPr>
          <w:rFonts w:cs="Arial"/>
        </w:rPr>
        <w:t>Postup uvedený v odst. 3. tohoto článku se Smluvní strany zavazují dodržovat i v případě uveřejňování objednávek s hodnotou plnění od 50 000 Kč bez DPH výše, jakož i v případě uveřejňování jakýchkoli dalších dohod, kterými se tato smlouva bude případně doplňovat, měnit, nahrazovat nebo rušit.</w:t>
      </w:r>
    </w:p>
    <w:p w14:paraId="60095B25" w14:textId="77777777" w:rsidR="00AA05EA" w:rsidRPr="001B596F" w:rsidRDefault="00AA05EA" w:rsidP="00AA05EA">
      <w:pPr>
        <w:pStyle w:val="Odstavecseseznamem"/>
        <w:numPr>
          <w:ilvl w:val="1"/>
          <w:numId w:val="11"/>
        </w:numPr>
        <w:spacing w:before="240" w:after="100" w:afterAutospacing="1" w:line="240" w:lineRule="auto"/>
        <w:ind w:right="260"/>
        <w:jc w:val="both"/>
        <w:rPr>
          <w:rFonts w:cs="Arial"/>
        </w:rPr>
      </w:pPr>
      <w:r w:rsidRPr="001B596F">
        <w:rPr>
          <w:rFonts w:cs="Arial"/>
        </w:rPr>
        <w:t>Poskytovatel bere na vědomí a souhlasí s tím, že uživatel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uživatel jako veřejný zadavatel dle ZZVZ a interních předpisů VZP ČR uveřejňuje informace a dokumenty ke svým veřejným zakázkám způsobem, který umožňuje neomezený dálkový přístup.</w:t>
      </w:r>
    </w:p>
    <w:p w14:paraId="61FA710F" w14:textId="77777777" w:rsidR="00AA05EA" w:rsidRPr="001B596F" w:rsidRDefault="00AA05EA" w:rsidP="00AA05EA">
      <w:pPr>
        <w:pStyle w:val="Odstavecseseznamem"/>
        <w:numPr>
          <w:ilvl w:val="1"/>
          <w:numId w:val="11"/>
        </w:numPr>
        <w:spacing w:before="240" w:after="100" w:afterAutospacing="1" w:line="240" w:lineRule="auto"/>
        <w:ind w:right="260"/>
        <w:jc w:val="both"/>
        <w:rPr>
          <w:rFonts w:cs="Arial"/>
        </w:rPr>
      </w:pPr>
      <w:r w:rsidRPr="001B596F">
        <w:rPr>
          <w:rFonts w:cs="Arial"/>
        </w:rPr>
        <w:t>Poskytovatel bere na vědomí a výslovně souhlasí s tím, že s výjimkou ustanovení znečitelněných v souladu se zákonem bude uveřejněno úplné znění smlouvy.</w:t>
      </w:r>
    </w:p>
    <w:p w14:paraId="5FD02563" w14:textId="77777777" w:rsidR="00AA05EA" w:rsidRPr="001B596F" w:rsidRDefault="00AA05EA" w:rsidP="001B596F">
      <w:pPr>
        <w:pStyle w:val="Odstavecseseznamem"/>
        <w:spacing w:before="240" w:after="100" w:afterAutospacing="1" w:line="240" w:lineRule="auto"/>
        <w:ind w:left="786" w:right="260"/>
        <w:jc w:val="both"/>
        <w:rPr>
          <w:rFonts w:cs="Arial"/>
          <w:b/>
        </w:rPr>
      </w:pPr>
    </w:p>
    <w:p w14:paraId="4F37381B"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1470484A" w14:textId="6C7F1BB4"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lastRenderedPageBreak/>
        <w:t xml:space="preserve">Tato smlouva je uzavřena písemně ve </w:t>
      </w:r>
      <w:r w:rsidR="00293521">
        <w:rPr>
          <w:rFonts w:cs="Arial"/>
        </w:rPr>
        <w:t xml:space="preserve">čtyřech </w:t>
      </w:r>
      <w:r>
        <w:rPr>
          <w:rFonts w:cs="Arial"/>
        </w:rPr>
        <w:t>(</w:t>
      </w:r>
      <w:r w:rsidR="00293521">
        <w:rPr>
          <w:rFonts w:cs="Arial"/>
        </w:rPr>
        <w:t>4</w:t>
      </w:r>
      <w:r>
        <w:rPr>
          <w:rFonts w:cs="Arial"/>
        </w:rPr>
        <w:t xml:space="preserve">) vyhotoveních, z nichž poskytovatel a uživatel obdrží každý po </w:t>
      </w:r>
      <w:r w:rsidR="00293521">
        <w:rPr>
          <w:rFonts w:cs="Arial"/>
        </w:rPr>
        <w:t xml:space="preserve">dvou </w:t>
      </w:r>
      <w:r>
        <w:rPr>
          <w:rFonts w:cs="Arial"/>
        </w:rPr>
        <w:t>(</w:t>
      </w:r>
      <w:r w:rsidR="00293521">
        <w:rPr>
          <w:rFonts w:cs="Arial"/>
        </w:rPr>
        <w:t>2</w:t>
      </w:r>
      <w:r>
        <w:rPr>
          <w:rFonts w:cs="Arial"/>
        </w:rPr>
        <w:t>).</w:t>
      </w:r>
    </w:p>
    <w:p w14:paraId="3292089D" w14:textId="77777777" w:rsidR="002B76E1" w:rsidRDefault="002B76E1" w:rsidP="00E11940">
      <w:pPr>
        <w:pStyle w:val="Odstavecseseznamem"/>
        <w:numPr>
          <w:ilvl w:val="1"/>
          <w:numId w:val="11"/>
        </w:numPr>
        <w:spacing w:after="0" w:line="240" w:lineRule="auto"/>
        <w:ind w:left="709" w:right="260" w:hanging="425"/>
        <w:jc w:val="both"/>
        <w:rPr>
          <w:rFonts w:cs="Arial"/>
        </w:rPr>
      </w:pPr>
      <w:r>
        <w:rPr>
          <w:rFonts w:cs="Arial"/>
        </w:rPr>
        <w:t>Nedílnou součástí této smlouvy</w:t>
      </w:r>
      <w:r w:rsidR="003D2E69">
        <w:rPr>
          <w:rFonts w:cs="Arial"/>
        </w:rPr>
        <w:t xml:space="preserve"> je příloha č. 1: Rozsah licence v průběhu pilotního provozu.</w:t>
      </w:r>
    </w:p>
    <w:p w14:paraId="27613EB0"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58AE9CA2"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DBBE39E" w14:textId="54D9DAF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7A58D76D" w14:textId="77777777" w:rsidR="00FD46C8" w:rsidRPr="00FD46C8" w:rsidRDefault="00FD46C8" w:rsidP="00FD46C8">
      <w:pPr>
        <w:pStyle w:val="Odstavecseseznamem"/>
        <w:numPr>
          <w:ilvl w:val="1"/>
          <w:numId w:val="11"/>
        </w:numPr>
        <w:spacing w:before="80" w:after="0" w:line="240" w:lineRule="auto"/>
        <w:ind w:left="709" w:right="260" w:hanging="425"/>
        <w:jc w:val="both"/>
        <w:rPr>
          <w:rFonts w:cs="Arial"/>
        </w:rPr>
      </w:pPr>
      <w:r w:rsidRPr="00FD46C8">
        <w:rPr>
          <w:rFonts w:cs="Arial"/>
        </w:rPr>
        <w:t>Smluvní strany prohlašují, že si Smlouvu řádně přečetly a svůj souhlas s obsahem jejích jednotlivých ustanovení včetně příloh stvrzují svými podpisy.</w:t>
      </w:r>
    </w:p>
    <w:p w14:paraId="44B12678" w14:textId="77777777" w:rsidR="00FD46C8" w:rsidRDefault="00FD46C8" w:rsidP="00FD46C8">
      <w:pPr>
        <w:pStyle w:val="Odstavecseseznamem"/>
        <w:spacing w:before="80" w:after="0" w:line="240" w:lineRule="auto"/>
        <w:ind w:left="709" w:right="260"/>
        <w:jc w:val="both"/>
        <w:rPr>
          <w:rFonts w:cs="Arial"/>
        </w:rPr>
      </w:pPr>
    </w:p>
    <w:p w14:paraId="6C180C66" w14:textId="77777777" w:rsidR="00E11940" w:rsidRDefault="00E11940" w:rsidP="00E11940">
      <w:pPr>
        <w:tabs>
          <w:tab w:val="left" w:pos="6096"/>
        </w:tabs>
        <w:spacing w:before="240" w:after="0" w:line="240" w:lineRule="auto"/>
        <w:ind w:left="284" w:right="260"/>
        <w:jc w:val="both"/>
        <w:rPr>
          <w:rFonts w:cs="Arial"/>
        </w:rPr>
      </w:pPr>
    </w:p>
    <w:p w14:paraId="71A08363" w14:textId="77777777" w:rsidR="00E11940" w:rsidRDefault="00E11940" w:rsidP="00E11940">
      <w:pPr>
        <w:tabs>
          <w:tab w:val="left" w:pos="5387"/>
        </w:tabs>
        <w:spacing w:before="240" w:after="0" w:line="240" w:lineRule="auto"/>
        <w:ind w:left="284" w:right="260"/>
        <w:jc w:val="both"/>
        <w:rPr>
          <w:rFonts w:cs="Arial"/>
        </w:rPr>
      </w:pPr>
      <w:r>
        <w:rPr>
          <w:rFonts w:cs="Arial"/>
        </w:rPr>
        <w:t>V Praze dne ……………</w:t>
      </w:r>
      <w:r>
        <w:rPr>
          <w:rFonts w:cs="Arial"/>
        </w:rPr>
        <w:tab/>
        <w:t>V</w:t>
      </w:r>
      <w:r w:rsidR="005C27DE">
        <w:rPr>
          <w:rFonts w:cs="Arial"/>
        </w:rPr>
        <w:t> </w:t>
      </w:r>
      <w:bookmarkStart w:id="10" w:name="mesto_firmy1"/>
      <w:bookmarkEnd w:id="10"/>
      <w:r w:rsidR="00B57E82">
        <w:rPr>
          <w:rFonts w:cs="Arial"/>
        </w:rPr>
        <w:t>Pra</w:t>
      </w:r>
      <w:r w:rsidR="005C27DE">
        <w:rPr>
          <w:rFonts w:cs="Arial"/>
        </w:rPr>
        <w:t xml:space="preserve">ze </w:t>
      </w:r>
      <w:r>
        <w:rPr>
          <w:rFonts w:cs="Arial"/>
        </w:rPr>
        <w:t>dne …</w:t>
      </w:r>
      <w:proofErr w:type="gramStart"/>
      <w:r>
        <w:rPr>
          <w:rFonts w:cs="Arial"/>
        </w:rPr>
        <w:t>…….</w:t>
      </w:r>
      <w:proofErr w:type="gramEnd"/>
      <w:r>
        <w:rPr>
          <w:rFonts w:cs="Arial"/>
        </w:rPr>
        <w:t>.</w:t>
      </w:r>
    </w:p>
    <w:p w14:paraId="35DD612E" w14:textId="77777777" w:rsidR="00E11940" w:rsidRDefault="00E11940" w:rsidP="00E11940">
      <w:pPr>
        <w:tabs>
          <w:tab w:val="left" w:pos="5387"/>
        </w:tabs>
        <w:spacing w:after="0" w:line="240" w:lineRule="auto"/>
        <w:ind w:left="284" w:right="118"/>
        <w:jc w:val="both"/>
        <w:rPr>
          <w:rFonts w:cs="Arial"/>
        </w:rPr>
      </w:pPr>
    </w:p>
    <w:p w14:paraId="08E5F110" w14:textId="77777777" w:rsidR="00E11940" w:rsidRDefault="00E11940" w:rsidP="00E11940">
      <w:pPr>
        <w:tabs>
          <w:tab w:val="left" w:pos="5387"/>
        </w:tabs>
        <w:spacing w:after="0" w:line="240" w:lineRule="auto"/>
        <w:ind w:left="284" w:right="118"/>
        <w:jc w:val="both"/>
        <w:rPr>
          <w:rFonts w:cs="Arial"/>
        </w:rPr>
      </w:pPr>
    </w:p>
    <w:p w14:paraId="785DB3FF" w14:textId="77777777" w:rsidR="005C27DE" w:rsidRDefault="005C27DE" w:rsidP="00E11940">
      <w:pPr>
        <w:tabs>
          <w:tab w:val="left" w:pos="5387"/>
        </w:tabs>
        <w:spacing w:after="0" w:line="240" w:lineRule="auto"/>
        <w:ind w:left="284" w:right="118"/>
        <w:jc w:val="both"/>
        <w:rPr>
          <w:rFonts w:cs="Arial"/>
        </w:rPr>
      </w:pPr>
    </w:p>
    <w:p w14:paraId="3DCF3EE3" w14:textId="77777777" w:rsidR="005C27DE" w:rsidRDefault="005C27DE" w:rsidP="00E11940">
      <w:pPr>
        <w:tabs>
          <w:tab w:val="left" w:pos="5387"/>
        </w:tabs>
        <w:spacing w:after="0" w:line="240" w:lineRule="auto"/>
        <w:ind w:left="284" w:right="118"/>
        <w:jc w:val="both"/>
        <w:rPr>
          <w:rFonts w:cs="Arial"/>
        </w:rPr>
      </w:pPr>
    </w:p>
    <w:p w14:paraId="52AC710A" w14:textId="77777777" w:rsidR="005C27DE" w:rsidRDefault="005C27DE" w:rsidP="00E11940">
      <w:pPr>
        <w:tabs>
          <w:tab w:val="left" w:pos="5387"/>
        </w:tabs>
        <w:spacing w:after="0" w:line="240" w:lineRule="auto"/>
        <w:ind w:left="284" w:right="118"/>
        <w:jc w:val="both"/>
        <w:rPr>
          <w:rFonts w:cs="Arial"/>
        </w:rPr>
      </w:pPr>
    </w:p>
    <w:p w14:paraId="3C798006"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1C313588" w14:textId="28C9A33E" w:rsidR="00E11940" w:rsidRDefault="00E11940" w:rsidP="00E11940">
      <w:pPr>
        <w:tabs>
          <w:tab w:val="left" w:pos="5387"/>
        </w:tabs>
        <w:spacing w:after="0" w:line="240" w:lineRule="auto"/>
        <w:ind w:right="118"/>
        <w:jc w:val="both"/>
        <w:rPr>
          <w:rFonts w:cs="Arial"/>
          <w:b/>
        </w:rPr>
      </w:pPr>
      <w:r>
        <w:rPr>
          <w:rFonts w:cs="Arial"/>
          <w:b/>
        </w:rPr>
        <w:t xml:space="preserve">     Nakladatelství C.</w:t>
      </w:r>
      <w:r w:rsidR="00CA4781">
        <w:rPr>
          <w:rFonts w:cs="Arial"/>
          <w:b/>
        </w:rPr>
        <w:t xml:space="preserve"> </w:t>
      </w:r>
      <w:r>
        <w:rPr>
          <w:rFonts w:cs="Arial"/>
          <w:b/>
        </w:rPr>
        <w:t>H.</w:t>
      </w:r>
      <w:r w:rsidR="00CA4781">
        <w:rPr>
          <w:rFonts w:cs="Arial"/>
          <w:b/>
        </w:rPr>
        <w:t xml:space="preserve"> </w:t>
      </w:r>
      <w:r>
        <w:rPr>
          <w:rFonts w:cs="Arial"/>
          <w:b/>
        </w:rPr>
        <w:t>Beck, s.r.o.</w:t>
      </w:r>
      <w:r>
        <w:rPr>
          <w:rFonts w:cs="Arial"/>
          <w:b/>
        </w:rPr>
        <w:tab/>
      </w:r>
      <w:bookmarkStart w:id="11" w:name="jmeno_firmy2"/>
      <w:bookmarkEnd w:id="11"/>
      <w:r w:rsidR="00B57E82">
        <w:rPr>
          <w:rFonts w:cs="Arial"/>
          <w:b/>
        </w:rPr>
        <w:t xml:space="preserve">VŠEOBECNÁ ZDRAVOTNÍ POJIŠŤOVNA </w:t>
      </w:r>
    </w:p>
    <w:p w14:paraId="26DF6399" w14:textId="77777777" w:rsidR="005C27DE" w:rsidRDefault="00E11940" w:rsidP="005C27DE">
      <w:pPr>
        <w:tabs>
          <w:tab w:val="left" w:pos="5387"/>
        </w:tabs>
        <w:spacing w:after="0" w:line="240" w:lineRule="auto"/>
        <w:ind w:right="118"/>
        <w:jc w:val="both"/>
        <w:rPr>
          <w:rFonts w:cs="Arial"/>
          <w:b/>
        </w:rPr>
      </w:pPr>
      <w:r>
        <w:rPr>
          <w:rFonts w:cs="Arial"/>
        </w:rPr>
        <w:t xml:space="preserve">     Ing. Jiří Holna, jednatel</w:t>
      </w:r>
      <w:r>
        <w:rPr>
          <w:rFonts w:cs="Arial"/>
        </w:rPr>
        <w:tab/>
      </w:r>
      <w:r w:rsidR="005C27DE">
        <w:rPr>
          <w:rFonts w:cs="Arial"/>
          <w:b/>
        </w:rPr>
        <w:t>ČESKÉ REPUBLIKY</w:t>
      </w:r>
    </w:p>
    <w:p w14:paraId="62FC991B" w14:textId="42A7A245" w:rsidR="00E11940" w:rsidRDefault="005C27DE" w:rsidP="00E11940">
      <w:pPr>
        <w:tabs>
          <w:tab w:val="left" w:pos="5387"/>
        </w:tabs>
        <w:spacing w:after="0" w:line="240" w:lineRule="auto"/>
        <w:ind w:right="118"/>
        <w:jc w:val="both"/>
        <w:rPr>
          <w:rFonts w:cs="Arial"/>
        </w:rPr>
      </w:pPr>
      <w:r w:rsidRPr="005C27DE">
        <w:rPr>
          <w:rFonts w:cs="Arial"/>
        </w:rPr>
        <w:tab/>
      </w:r>
      <w:r w:rsidR="00904EC1" w:rsidRPr="00DA7989">
        <w:rPr>
          <w:rFonts w:cs="Arial"/>
        </w:rPr>
        <w:t>Ing, Zdeněk Kabátek, ředitel VZP ČR</w:t>
      </w:r>
    </w:p>
    <w:p w14:paraId="0F8A8750"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w:t>
      </w:r>
      <w:r w:rsidR="003D2E69">
        <w:rPr>
          <w:rFonts w:cs="Arial"/>
          <w:b/>
        </w:rPr>
        <w:t xml:space="preserve"> č. 1</w:t>
      </w:r>
      <w:r w:rsidR="003224DD">
        <w:rPr>
          <w:rFonts w:cs="Arial"/>
          <w:b/>
        </w:rPr>
        <w:t>: Rozsah licence v průběhu pilotního provozu</w:t>
      </w:r>
      <w:r w:rsidR="003224DD">
        <w:rPr>
          <w:rFonts w:cs="Arial"/>
          <w:b/>
        </w:rPr>
        <w:tab/>
      </w:r>
    </w:p>
    <w:p w14:paraId="5075CE1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52714EBB"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5FE6431C"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1FA96795" w14:textId="77777777" w:rsidR="003224DD" w:rsidRDefault="003224DD" w:rsidP="003224DD">
      <w:pPr>
        <w:spacing w:after="0" w:line="240" w:lineRule="auto"/>
        <w:ind w:left="567" w:right="260" w:hanging="426"/>
        <w:contextualSpacing/>
        <w:jc w:val="both"/>
        <w:rPr>
          <w:rFonts w:cs="Arial"/>
          <w:b/>
        </w:rPr>
      </w:pPr>
    </w:p>
    <w:p w14:paraId="40F793E0" w14:textId="77777777" w:rsidR="003224DD"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rsidRPr="005C27DE" w14:paraId="5EA7AABB" w14:textId="77777777" w:rsidTr="005C27DE">
        <w:trPr>
          <w:trHeight w:val="254"/>
        </w:trPr>
        <w:tc>
          <w:tcPr>
            <w:tcW w:w="4820" w:type="dxa"/>
            <w:tcBorders>
              <w:top w:val="nil"/>
              <w:bottom w:val="single" w:sz="4" w:space="0" w:color="auto"/>
            </w:tcBorders>
            <w:hideMark/>
          </w:tcPr>
          <w:p w14:paraId="74F0BC8F" w14:textId="77777777" w:rsidR="003224DD" w:rsidRPr="005C27DE" w:rsidRDefault="00E90F55">
            <w:pPr>
              <w:spacing w:after="0" w:line="240" w:lineRule="auto"/>
              <w:ind w:left="33"/>
              <w:rPr>
                <w:b/>
                <w:bCs/>
              </w:rPr>
            </w:pPr>
            <w:bookmarkStart w:id="12" w:name="sl1"/>
            <w:bookmarkStart w:id="13" w:name="sl3" w:colFirst="1" w:colLast="1"/>
            <w:bookmarkEnd w:id="12"/>
            <w:r w:rsidRPr="005C27DE">
              <w:rPr>
                <w:b/>
                <w:bCs/>
              </w:rPr>
              <w:t>M</w:t>
            </w:r>
            <w:r w:rsidR="005C27DE" w:rsidRPr="005C27DE">
              <w:rPr>
                <w:b/>
                <w:bCs/>
              </w:rPr>
              <w:t>odul</w:t>
            </w:r>
          </w:p>
        </w:tc>
        <w:tc>
          <w:tcPr>
            <w:tcW w:w="3945" w:type="dxa"/>
            <w:tcBorders>
              <w:top w:val="nil"/>
              <w:bottom w:val="single" w:sz="4" w:space="0" w:color="auto"/>
            </w:tcBorders>
            <w:hideMark/>
          </w:tcPr>
          <w:p w14:paraId="527E9F07" w14:textId="77777777" w:rsidR="003224DD" w:rsidRPr="005C27DE" w:rsidRDefault="005C27DE">
            <w:pPr>
              <w:spacing w:after="0" w:line="240" w:lineRule="auto"/>
              <w:rPr>
                <w:b/>
                <w:bCs/>
                <w:color w:val="000000"/>
              </w:rPr>
            </w:pPr>
            <w:bookmarkStart w:id="14" w:name="sl2"/>
            <w:bookmarkEnd w:id="14"/>
            <w:r w:rsidRPr="005C27DE">
              <w:rPr>
                <w:b/>
                <w:bCs/>
                <w:color w:val="000000"/>
              </w:rPr>
              <w:t>Počet licencí (osob)</w:t>
            </w:r>
          </w:p>
        </w:tc>
      </w:tr>
      <w:tr w:rsidR="005C27DE" w:rsidRPr="00E90F55" w14:paraId="1AEBBE2B" w14:textId="77777777" w:rsidTr="005C27DE">
        <w:trPr>
          <w:trHeight w:val="254"/>
        </w:trPr>
        <w:tc>
          <w:tcPr>
            <w:tcW w:w="4820" w:type="dxa"/>
            <w:tcBorders>
              <w:top w:val="single" w:sz="4" w:space="0" w:color="auto"/>
              <w:bottom w:val="nil"/>
            </w:tcBorders>
          </w:tcPr>
          <w:p w14:paraId="614DA3F2" w14:textId="77777777" w:rsidR="005C27DE" w:rsidRDefault="005C27DE">
            <w:pPr>
              <w:spacing w:after="0" w:line="240" w:lineRule="auto"/>
              <w:ind w:left="33"/>
            </w:pPr>
            <w:r>
              <w:t>Beck-online PRO</w:t>
            </w:r>
          </w:p>
        </w:tc>
        <w:tc>
          <w:tcPr>
            <w:tcW w:w="3945" w:type="dxa"/>
            <w:tcBorders>
              <w:top w:val="single" w:sz="4" w:space="0" w:color="auto"/>
              <w:bottom w:val="nil"/>
            </w:tcBorders>
          </w:tcPr>
          <w:p w14:paraId="7A9756D9"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3FBE8961" w14:textId="77777777" w:rsidTr="005C27DE">
        <w:trPr>
          <w:trHeight w:val="254"/>
        </w:trPr>
        <w:tc>
          <w:tcPr>
            <w:tcW w:w="4820" w:type="dxa"/>
            <w:tcBorders>
              <w:top w:val="nil"/>
              <w:bottom w:val="nil"/>
            </w:tcBorders>
          </w:tcPr>
          <w:p w14:paraId="60EB2A7F" w14:textId="77777777" w:rsidR="005C27DE" w:rsidRDefault="005C27DE">
            <w:pPr>
              <w:spacing w:after="0" w:line="240" w:lineRule="auto"/>
              <w:ind w:left="33"/>
            </w:pPr>
            <w:r>
              <w:t>Daňové právo</w:t>
            </w:r>
          </w:p>
        </w:tc>
        <w:tc>
          <w:tcPr>
            <w:tcW w:w="3945" w:type="dxa"/>
            <w:tcBorders>
              <w:top w:val="nil"/>
              <w:bottom w:val="nil"/>
            </w:tcBorders>
          </w:tcPr>
          <w:p w14:paraId="38CA30CA"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2B851FE6" w14:textId="77777777" w:rsidTr="005C27DE">
        <w:trPr>
          <w:trHeight w:val="254"/>
        </w:trPr>
        <w:tc>
          <w:tcPr>
            <w:tcW w:w="4820" w:type="dxa"/>
            <w:tcBorders>
              <w:top w:val="nil"/>
              <w:bottom w:val="nil"/>
            </w:tcBorders>
          </w:tcPr>
          <w:p w14:paraId="0BA91978" w14:textId="77777777" w:rsidR="005C27DE" w:rsidRDefault="005C27DE">
            <w:pPr>
              <w:spacing w:after="0" w:line="240" w:lineRule="auto"/>
              <w:ind w:left="33"/>
            </w:pPr>
            <w:r>
              <w:t>Dokumenty EU</w:t>
            </w:r>
          </w:p>
        </w:tc>
        <w:tc>
          <w:tcPr>
            <w:tcW w:w="3945" w:type="dxa"/>
            <w:tcBorders>
              <w:top w:val="nil"/>
              <w:bottom w:val="nil"/>
            </w:tcBorders>
          </w:tcPr>
          <w:p w14:paraId="7142D227"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6AA49C8B" w14:textId="77777777" w:rsidTr="005C27DE">
        <w:trPr>
          <w:trHeight w:val="254"/>
        </w:trPr>
        <w:tc>
          <w:tcPr>
            <w:tcW w:w="4820" w:type="dxa"/>
            <w:tcBorders>
              <w:top w:val="nil"/>
              <w:bottom w:val="nil"/>
            </w:tcBorders>
          </w:tcPr>
          <w:p w14:paraId="2D258C9A" w14:textId="77777777" w:rsidR="005C27DE" w:rsidRDefault="005C27DE">
            <w:pPr>
              <w:spacing w:after="0" w:line="240" w:lineRule="auto"/>
              <w:ind w:left="33"/>
            </w:pPr>
            <w:r>
              <w:t>Duševní vlastnictví</w:t>
            </w:r>
          </w:p>
        </w:tc>
        <w:tc>
          <w:tcPr>
            <w:tcW w:w="3945" w:type="dxa"/>
            <w:tcBorders>
              <w:top w:val="nil"/>
              <w:bottom w:val="nil"/>
            </w:tcBorders>
          </w:tcPr>
          <w:p w14:paraId="148FC5D1"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5A3B543D" w14:textId="77777777" w:rsidTr="005C27DE">
        <w:trPr>
          <w:trHeight w:val="254"/>
        </w:trPr>
        <w:tc>
          <w:tcPr>
            <w:tcW w:w="4820" w:type="dxa"/>
            <w:tcBorders>
              <w:top w:val="nil"/>
              <w:bottom w:val="nil"/>
            </w:tcBorders>
          </w:tcPr>
          <w:p w14:paraId="4816747C" w14:textId="77777777" w:rsidR="005C27DE" w:rsidRDefault="005C27DE">
            <w:pPr>
              <w:spacing w:after="0" w:line="240" w:lineRule="auto"/>
              <w:ind w:left="33"/>
            </w:pPr>
            <w:r>
              <w:t>Finanční právo</w:t>
            </w:r>
          </w:p>
        </w:tc>
        <w:tc>
          <w:tcPr>
            <w:tcW w:w="3945" w:type="dxa"/>
            <w:tcBorders>
              <w:top w:val="nil"/>
              <w:bottom w:val="nil"/>
            </w:tcBorders>
          </w:tcPr>
          <w:p w14:paraId="207F99C8"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7441F4F7" w14:textId="77777777" w:rsidTr="005C27DE">
        <w:trPr>
          <w:trHeight w:val="254"/>
        </w:trPr>
        <w:tc>
          <w:tcPr>
            <w:tcW w:w="4820" w:type="dxa"/>
            <w:tcBorders>
              <w:top w:val="nil"/>
              <w:bottom w:val="nil"/>
            </w:tcBorders>
          </w:tcPr>
          <w:p w14:paraId="311B860C" w14:textId="77777777" w:rsidR="005C27DE" w:rsidRDefault="005C27DE">
            <w:pPr>
              <w:spacing w:after="0" w:line="240" w:lineRule="auto"/>
              <w:ind w:left="33"/>
            </w:pPr>
            <w:r>
              <w:t>Justiční a procesní právo PLUS</w:t>
            </w:r>
          </w:p>
        </w:tc>
        <w:tc>
          <w:tcPr>
            <w:tcW w:w="3945" w:type="dxa"/>
            <w:tcBorders>
              <w:top w:val="nil"/>
              <w:bottom w:val="nil"/>
            </w:tcBorders>
          </w:tcPr>
          <w:p w14:paraId="07F244B1"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28E32BB2" w14:textId="77777777" w:rsidTr="005C27DE">
        <w:trPr>
          <w:trHeight w:val="254"/>
        </w:trPr>
        <w:tc>
          <w:tcPr>
            <w:tcW w:w="4820" w:type="dxa"/>
            <w:tcBorders>
              <w:top w:val="nil"/>
              <w:bottom w:val="nil"/>
            </w:tcBorders>
          </w:tcPr>
          <w:p w14:paraId="215FB08D" w14:textId="77777777" w:rsidR="005C27DE" w:rsidRDefault="005C27DE">
            <w:pPr>
              <w:spacing w:after="0" w:line="240" w:lineRule="auto"/>
              <w:ind w:left="33"/>
            </w:pPr>
            <w:r>
              <w:t>Občanské právo PLUS</w:t>
            </w:r>
          </w:p>
        </w:tc>
        <w:tc>
          <w:tcPr>
            <w:tcW w:w="3945" w:type="dxa"/>
            <w:tcBorders>
              <w:top w:val="nil"/>
              <w:bottom w:val="nil"/>
            </w:tcBorders>
          </w:tcPr>
          <w:p w14:paraId="6F04DEC5"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456E8207" w14:textId="77777777" w:rsidTr="005C27DE">
        <w:trPr>
          <w:trHeight w:val="254"/>
        </w:trPr>
        <w:tc>
          <w:tcPr>
            <w:tcW w:w="4820" w:type="dxa"/>
            <w:tcBorders>
              <w:top w:val="nil"/>
              <w:bottom w:val="nil"/>
            </w:tcBorders>
          </w:tcPr>
          <w:p w14:paraId="2E101685" w14:textId="77777777" w:rsidR="005C27DE" w:rsidRDefault="005C27DE">
            <w:pPr>
              <w:spacing w:after="0" w:line="240" w:lineRule="auto"/>
              <w:ind w:left="33"/>
            </w:pPr>
            <w:r>
              <w:t>Obchodní korporace PLUS</w:t>
            </w:r>
          </w:p>
        </w:tc>
        <w:tc>
          <w:tcPr>
            <w:tcW w:w="3945" w:type="dxa"/>
            <w:tcBorders>
              <w:top w:val="nil"/>
              <w:bottom w:val="nil"/>
            </w:tcBorders>
          </w:tcPr>
          <w:p w14:paraId="3A3CB167"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0CA32425" w14:textId="77777777" w:rsidTr="005C27DE">
        <w:trPr>
          <w:trHeight w:val="254"/>
        </w:trPr>
        <w:tc>
          <w:tcPr>
            <w:tcW w:w="4820" w:type="dxa"/>
            <w:tcBorders>
              <w:top w:val="nil"/>
              <w:bottom w:val="nil"/>
            </w:tcBorders>
          </w:tcPr>
          <w:p w14:paraId="3B7F1691" w14:textId="77777777" w:rsidR="005C27DE" w:rsidRPr="00A23BE0" w:rsidRDefault="005C27DE">
            <w:pPr>
              <w:spacing w:after="0" w:line="240" w:lineRule="auto"/>
              <w:ind w:left="33"/>
            </w:pPr>
            <w:r>
              <w:t>Pracovní a sociální právo PLUS</w:t>
            </w:r>
          </w:p>
        </w:tc>
        <w:tc>
          <w:tcPr>
            <w:tcW w:w="3945" w:type="dxa"/>
            <w:tcBorders>
              <w:top w:val="nil"/>
              <w:bottom w:val="nil"/>
            </w:tcBorders>
          </w:tcPr>
          <w:p w14:paraId="15919238" w14:textId="77777777" w:rsidR="005C27DE" w:rsidRPr="00E90F55"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261CAAFD" w14:textId="77777777" w:rsidTr="005C27DE">
        <w:trPr>
          <w:trHeight w:val="254"/>
        </w:trPr>
        <w:tc>
          <w:tcPr>
            <w:tcW w:w="4820" w:type="dxa"/>
            <w:tcBorders>
              <w:top w:val="nil"/>
              <w:bottom w:val="nil"/>
            </w:tcBorders>
          </w:tcPr>
          <w:p w14:paraId="69AE62F3" w14:textId="77777777" w:rsidR="005C27DE" w:rsidRDefault="005C27DE">
            <w:pPr>
              <w:spacing w:after="0" w:line="240" w:lineRule="auto"/>
              <w:ind w:left="33"/>
            </w:pPr>
            <w:r>
              <w:t>Soutěžní právo</w:t>
            </w:r>
          </w:p>
        </w:tc>
        <w:tc>
          <w:tcPr>
            <w:tcW w:w="3945" w:type="dxa"/>
            <w:tcBorders>
              <w:top w:val="nil"/>
              <w:bottom w:val="nil"/>
            </w:tcBorders>
          </w:tcPr>
          <w:p w14:paraId="6216F75E"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44D93A8B" w14:textId="77777777" w:rsidTr="005C27DE">
        <w:trPr>
          <w:trHeight w:val="254"/>
        </w:trPr>
        <w:tc>
          <w:tcPr>
            <w:tcW w:w="4820" w:type="dxa"/>
            <w:tcBorders>
              <w:top w:val="nil"/>
              <w:bottom w:val="nil"/>
            </w:tcBorders>
          </w:tcPr>
          <w:p w14:paraId="34D87D95" w14:textId="77777777" w:rsidR="005C27DE" w:rsidRDefault="005C27DE">
            <w:pPr>
              <w:spacing w:after="0" w:line="240" w:lineRule="auto"/>
              <w:ind w:left="33"/>
            </w:pPr>
            <w:r>
              <w:t>Správní a ústavní právo</w:t>
            </w:r>
          </w:p>
        </w:tc>
        <w:tc>
          <w:tcPr>
            <w:tcW w:w="3945" w:type="dxa"/>
            <w:tcBorders>
              <w:top w:val="nil"/>
              <w:bottom w:val="nil"/>
            </w:tcBorders>
          </w:tcPr>
          <w:p w14:paraId="70569684"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20FE4AF4" w14:textId="77777777" w:rsidTr="005C27DE">
        <w:trPr>
          <w:trHeight w:val="254"/>
        </w:trPr>
        <w:tc>
          <w:tcPr>
            <w:tcW w:w="4820" w:type="dxa"/>
            <w:tcBorders>
              <w:top w:val="nil"/>
              <w:bottom w:val="nil"/>
            </w:tcBorders>
          </w:tcPr>
          <w:p w14:paraId="5CA7B23F" w14:textId="77777777" w:rsidR="005C27DE" w:rsidRDefault="005C27DE">
            <w:pPr>
              <w:spacing w:after="0" w:line="240" w:lineRule="auto"/>
              <w:ind w:left="33"/>
            </w:pPr>
            <w:r>
              <w:t xml:space="preserve">Správní </w:t>
            </w:r>
            <w:proofErr w:type="gramStart"/>
            <w:r>
              <w:t>právo - obce</w:t>
            </w:r>
            <w:proofErr w:type="gramEnd"/>
            <w:r>
              <w:t xml:space="preserve"> a kraje</w:t>
            </w:r>
          </w:p>
        </w:tc>
        <w:tc>
          <w:tcPr>
            <w:tcW w:w="3945" w:type="dxa"/>
            <w:tcBorders>
              <w:top w:val="nil"/>
              <w:bottom w:val="nil"/>
            </w:tcBorders>
          </w:tcPr>
          <w:p w14:paraId="286E0D3B"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3B430A36" w14:textId="77777777" w:rsidTr="005C27DE">
        <w:trPr>
          <w:trHeight w:val="254"/>
        </w:trPr>
        <w:tc>
          <w:tcPr>
            <w:tcW w:w="4820" w:type="dxa"/>
            <w:tcBorders>
              <w:top w:val="nil"/>
              <w:bottom w:val="nil"/>
            </w:tcBorders>
          </w:tcPr>
          <w:p w14:paraId="568E4729" w14:textId="77777777" w:rsidR="005C27DE" w:rsidRDefault="005C27DE">
            <w:pPr>
              <w:spacing w:after="0" w:line="240" w:lineRule="auto"/>
              <w:ind w:left="33"/>
            </w:pPr>
            <w:r>
              <w:t xml:space="preserve">Správní </w:t>
            </w:r>
            <w:proofErr w:type="gramStart"/>
            <w:r>
              <w:t>právo - stavební</w:t>
            </w:r>
            <w:proofErr w:type="gramEnd"/>
            <w:r>
              <w:t xml:space="preserve"> právo</w:t>
            </w:r>
          </w:p>
        </w:tc>
        <w:tc>
          <w:tcPr>
            <w:tcW w:w="3945" w:type="dxa"/>
            <w:tcBorders>
              <w:top w:val="nil"/>
              <w:bottom w:val="nil"/>
            </w:tcBorders>
          </w:tcPr>
          <w:p w14:paraId="2B4CC58A"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21808885" w14:textId="77777777" w:rsidTr="005C27DE">
        <w:trPr>
          <w:trHeight w:val="254"/>
        </w:trPr>
        <w:tc>
          <w:tcPr>
            <w:tcW w:w="4820" w:type="dxa"/>
            <w:tcBorders>
              <w:top w:val="nil"/>
              <w:bottom w:val="nil"/>
            </w:tcBorders>
          </w:tcPr>
          <w:p w14:paraId="15EB939C" w14:textId="77777777" w:rsidR="005C27DE" w:rsidRDefault="005C27DE">
            <w:pPr>
              <w:spacing w:after="0" w:line="240" w:lineRule="auto"/>
              <w:ind w:left="33"/>
            </w:pPr>
            <w:r>
              <w:t xml:space="preserve">Správní </w:t>
            </w:r>
            <w:proofErr w:type="gramStart"/>
            <w:r>
              <w:t>právo - zvláštní</w:t>
            </w:r>
            <w:proofErr w:type="gramEnd"/>
            <w:r>
              <w:t xml:space="preserve"> předpisy</w:t>
            </w:r>
          </w:p>
        </w:tc>
        <w:tc>
          <w:tcPr>
            <w:tcW w:w="3945" w:type="dxa"/>
            <w:tcBorders>
              <w:top w:val="nil"/>
              <w:bottom w:val="nil"/>
            </w:tcBorders>
          </w:tcPr>
          <w:p w14:paraId="098A80EC" w14:textId="77777777" w:rsidR="005C27DE" w:rsidRDefault="005C27DE">
            <w:pPr>
              <w:spacing w:after="0" w:line="240" w:lineRule="auto"/>
              <w:rPr>
                <w:rFonts w:eastAsia="Times New Roman" w:cs="Arial"/>
                <w:color w:val="000000"/>
              </w:rPr>
            </w:pPr>
            <w:r>
              <w:rPr>
                <w:rFonts w:eastAsia="Times New Roman" w:cs="Arial"/>
                <w:color w:val="000000"/>
              </w:rPr>
              <w:t>130</w:t>
            </w:r>
          </w:p>
        </w:tc>
      </w:tr>
      <w:tr w:rsidR="005C27DE" w:rsidRPr="00E90F55" w14:paraId="280FEA23" w14:textId="77777777" w:rsidTr="005C27DE">
        <w:trPr>
          <w:trHeight w:val="254"/>
        </w:trPr>
        <w:tc>
          <w:tcPr>
            <w:tcW w:w="4820" w:type="dxa"/>
            <w:tcBorders>
              <w:top w:val="nil"/>
              <w:bottom w:val="nil"/>
            </w:tcBorders>
          </w:tcPr>
          <w:p w14:paraId="5B02254A" w14:textId="77777777" w:rsidR="005C27DE" w:rsidRDefault="005C27DE">
            <w:pPr>
              <w:spacing w:after="0" w:line="240" w:lineRule="auto"/>
              <w:ind w:left="33"/>
            </w:pPr>
            <w:r>
              <w:t>Trestní právo PLUS</w:t>
            </w:r>
          </w:p>
        </w:tc>
        <w:tc>
          <w:tcPr>
            <w:tcW w:w="3945" w:type="dxa"/>
            <w:tcBorders>
              <w:top w:val="nil"/>
              <w:bottom w:val="nil"/>
            </w:tcBorders>
          </w:tcPr>
          <w:p w14:paraId="7C5D72F4" w14:textId="77777777" w:rsidR="005C27DE" w:rsidRDefault="005C27DE">
            <w:pPr>
              <w:spacing w:after="0" w:line="240" w:lineRule="auto"/>
              <w:rPr>
                <w:rFonts w:eastAsia="Times New Roman" w:cs="Arial"/>
                <w:color w:val="000000"/>
              </w:rPr>
            </w:pPr>
            <w:r>
              <w:rPr>
                <w:rFonts w:eastAsia="Times New Roman" w:cs="Arial"/>
                <w:color w:val="000000"/>
              </w:rPr>
              <w:t>130</w:t>
            </w:r>
          </w:p>
        </w:tc>
      </w:tr>
      <w:bookmarkEnd w:id="13"/>
    </w:tbl>
    <w:p w14:paraId="0595FEFC" w14:textId="77777777" w:rsidR="003224DD" w:rsidRDefault="003224DD" w:rsidP="003224DD">
      <w:pPr>
        <w:rPr>
          <w:color w:val="E36C0A"/>
        </w:rPr>
      </w:pPr>
    </w:p>
    <w:p w14:paraId="6663BAD9" w14:textId="77777777" w:rsidR="003224DD" w:rsidRDefault="003224DD" w:rsidP="003224DD">
      <w:pPr>
        <w:ind w:left="709" w:right="260"/>
        <w:jc w:val="both"/>
        <w:rPr>
          <w:rFonts w:cs="Arial"/>
        </w:rPr>
      </w:pPr>
    </w:p>
    <w:p w14:paraId="1B04049B" w14:textId="77777777" w:rsidR="003224DD" w:rsidRDefault="003224DD" w:rsidP="003224DD">
      <w:pPr>
        <w:ind w:left="709" w:right="260"/>
        <w:jc w:val="both"/>
        <w:rPr>
          <w:rFonts w:cs="Arial"/>
        </w:rPr>
      </w:pPr>
      <w:r>
        <w:rPr>
          <w:rFonts w:cs="Arial"/>
        </w:rPr>
        <w:t>Užívající osoby jsou součástí společnosti uživatele viz bod 3.2. VOP.</w:t>
      </w:r>
    </w:p>
    <w:p w14:paraId="043165C2" w14:textId="77777777" w:rsidR="003224DD" w:rsidRDefault="003224DD" w:rsidP="003224DD">
      <w:pPr>
        <w:ind w:left="567" w:right="260"/>
        <w:jc w:val="both"/>
        <w:rPr>
          <w:rFonts w:cs="Arial"/>
        </w:rPr>
      </w:pPr>
    </w:p>
    <w:p w14:paraId="761986D6"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4C56A4E5" w14:textId="77777777" w:rsidR="003224DD" w:rsidRPr="005C27DE" w:rsidRDefault="003224DD" w:rsidP="003224DD">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xml:space="preserve">). </w:t>
      </w:r>
      <w:r w:rsidRPr="005C27DE">
        <w:rPr>
          <w:rFonts w:cs="Arial"/>
        </w:rPr>
        <w:t xml:space="preserve">První období se sjednává od </w:t>
      </w:r>
      <w:bookmarkStart w:id="15" w:name="datum_od"/>
      <w:bookmarkEnd w:id="15"/>
      <w:r w:rsidR="00B57E82" w:rsidRPr="005C27DE">
        <w:rPr>
          <w:rFonts w:cs="Arial"/>
        </w:rPr>
        <w:t>1. 2. 202</w:t>
      </w:r>
      <w:r w:rsidR="005C27DE" w:rsidRPr="005C27DE">
        <w:rPr>
          <w:rFonts w:cs="Arial"/>
        </w:rPr>
        <w:t>4</w:t>
      </w:r>
      <w:r w:rsidRPr="005C27DE">
        <w:rPr>
          <w:rFonts w:cs="Arial"/>
        </w:rPr>
        <w:t xml:space="preserve"> do </w:t>
      </w:r>
      <w:bookmarkStart w:id="16" w:name="datum_do"/>
      <w:bookmarkEnd w:id="16"/>
      <w:r w:rsidR="00B57E82" w:rsidRPr="005C27DE">
        <w:rPr>
          <w:rFonts w:cs="Arial"/>
        </w:rPr>
        <w:t>31. 1. 202</w:t>
      </w:r>
      <w:r w:rsidR="005C27DE" w:rsidRPr="005C27DE">
        <w:rPr>
          <w:rFonts w:cs="Arial"/>
        </w:rPr>
        <w:t>5</w:t>
      </w:r>
      <w:r w:rsidRPr="005C27DE">
        <w:rPr>
          <w:rFonts w:cs="Arial"/>
        </w:rPr>
        <w:t>.</w:t>
      </w:r>
    </w:p>
    <w:p w14:paraId="3300C76C" w14:textId="77777777" w:rsidR="003224DD" w:rsidRPr="005C27DE" w:rsidRDefault="003224DD" w:rsidP="003224DD">
      <w:pPr>
        <w:pStyle w:val="Odstavecseseznamem"/>
        <w:spacing w:before="120" w:after="0" w:line="240" w:lineRule="auto"/>
        <w:ind w:left="709" w:right="260"/>
        <w:jc w:val="both"/>
        <w:rPr>
          <w:rFonts w:cs="Arial"/>
        </w:rPr>
      </w:pPr>
      <w:r w:rsidRPr="005C27DE">
        <w:rPr>
          <w:rFonts w:cs="Arial"/>
        </w:rPr>
        <w:t xml:space="preserve">Odměna </w:t>
      </w:r>
      <w:r w:rsidR="005C27DE" w:rsidRPr="005C27DE">
        <w:rPr>
          <w:rFonts w:cs="Arial"/>
        </w:rPr>
        <w:t xml:space="preserve">za první období </w:t>
      </w:r>
      <w:r w:rsidRPr="005C27DE">
        <w:rPr>
          <w:rFonts w:cs="Arial"/>
        </w:rPr>
        <w:t xml:space="preserve">činí </w:t>
      </w:r>
      <w:bookmarkStart w:id="17" w:name="cena"/>
      <w:bookmarkEnd w:id="17"/>
      <w:r w:rsidR="00B57E82" w:rsidRPr="005C27DE">
        <w:rPr>
          <w:rFonts w:cs="Arial"/>
        </w:rPr>
        <w:t>260 000</w:t>
      </w:r>
      <w:r w:rsidRPr="005C27DE">
        <w:rPr>
          <w:rFonts w:cs="Arial"/>
        </w:rPr>
        <w:t xml:space="preserve"> Kč bez DPH (dále jen „odměna“). Uživatel se zavazuje zároveň s odměnou uhradit DPH v zákonné výši. </w:t>
      </w:r>
    </w:p>
    <w:p w14:paraId="3FEF5918" w14:textId="6004804E" w:rsidR="005C27DE" w:rsidRPr="005C27DE" w:rsidRDefault="00CD78BE" w:rsidP="005C27DE">
      <w:pPr>
        <w:pStyle w:val="Odstavecseseznamem"/>
        <w:spacing w:before="120" w:after="0" w:line="240" w:lineRule="auto"/>
        <w:ind w:left="709" w:right="260"/>
        <w:jc w:val="both"/>
        <w:rPr>
          <w:rFonts w:cs="Arial"/>
        </w:rPr>
      </w:pPr>
      <w:r w:rsidRPr="005C27DE">
        <w:rPr>
          <w:rFonts w:cs="Arial"/>
        </w:rPr>
        <w:t>Od</w:t>
      </w:r>
      <w:r>
        <w:rPr>
          <w:rFonts w:cs="Arial"/>
        </w:rPr>
        <w:t>měna</w:t>
      </w:r>
      <w:r w:rsidR="005C27DE" w:rsidRPr="005C27DE">
        <w:rPr>
          <w:rFonts w:cs="Arial"/>
        </w:rPr>
        <w:t xml:space="preserve"> za druhé období od 1.2.2025 do 31.1.2026 činí 260 000 Kč</w:t>
      </w:r>
      <w:r>
        <w:rPr>
          <w:rFonts w:cs="Arial"/>
        </w:rPr>
        <w:t xml:space="preserve"> </w:t>
      </w:r>
      <w:r w:rsidR="005C27DE" w:rsidRPr="005C27DE">
        <w:rPr>
          <w:rFonts w:cs="Arial"/>
        </w:rPr>
        <w:t xml:space="preserve">navýšena na míru </w:t>
      </w:r>
      <w:r w:rsidR="00FD46C8">
        <w:rPr>
          <w:rFonts w:cs="Arial"/>
        </w:rPr>
        <w:t xml:space="preserve">meziroční </w:t>
      </w:r>
      <w:r w:rsidR="005C27DE" w:rsidRPr="005C27DE">
        <w:rPr>
          <w:rFonts w:cs="Arial"/>
        </w:rPr>
        <w:t xml:space="preserve">inflace </w:t>
      </w:r>
      <w:r w:rsidR="003508A7">
        <w:rPr>
          <w:rFonts w:cs="Arial"/>
        </w:rPr>
        <w:t xml:space="preserve">k 1.1. příslušného kalendářního roku </w:t>
      </w:r>
      <w:r w:rsidR="005C27DE" w:rsidRPr="005C27DE">
        <w:rPr>
          <w:rFonts w:cs="Arial"/>
        </w:rPr>
        <w:t xml:space="preserve">zveřejněnou Českým statistickým úřadem bez DPH. Uživatel se zavazuje zároveň s odměnou uhradit DPH v zákonné výši. </w:t>
      </w:r>
    </w:p>
    <w:p w14:paraId="5C39C5E8" w14:textId="77777777" w:rsidR="005C27DE" w:rsidRDefault="005C27DE" w:rsidP="003224DD">
      <w:pPr>
        <w:pStyle w:val="Odstavecseseznamem"/>
        <w:spacing w:before="120" w:after="0" w:line="240" w:lineRule="auto"/>
        <w:ind w:left="709" w:right="260"/>
        <w:jc w:val="both"/>
        <w:rPr>
          <w:rFonts w:cs="Arial"/>
        </w:rPr>
      </w:pPr>
    </w:p>
    <w:p w14:paraId="2F6A4D78" w14:textId="77777777" w:rsidR="003224DD" w:rsidRDefault="003224DD" w:rsidP="003224DD">
      <w:pPr>
        <w:ind w:left="567" w:right="260"/>
        <w:jc w:val="both"/>
        <w:rPr>
          <w:rFonts w:cs="Arial"/>
        </w:rPr>
      </w:pPr>
    </w:p>
    <w:p w14:paraId="1C2AB58F" w14:textId="77777777" w:rsidR="004079FF" w:rsidRPr="00EF3CDF" w:rsidRDefault="004079FF" w:rsidP="003224DD">
      <w:pPr>
        <w:spacing w:after="0" w:line="240" w:lineRule="auto"/>
        <w:ind w:left="284"/>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870C4" w14:textId="77777777" w:rsidR="000D33EA" w:rsidRDefault="000D33EA" w:rsidP="00547186">
      <w:pPr>
        <w:spacing w:after="0" w:line="240" w:lineRule="auto"/>
      </w:pPr>
      <w:r>
        <w:separator/>
      </w:r>
    </w:p>
  </w:endnote>
  <w:endnote w:type="continuationSeparator" w:id="0">
    <w:p w14:paraId="4F94E4CC" w14:textId="77777777" w:rsidR="000D33EA" w:rsidRDefault="000D33EA" w:rsidP="00547186">
      <w:pPr>
        <w:spacing w:after="0" w:line="240" w:lineRule="auto"/>
      </w:pPr>
      <w:r>
        <w:continuationSeparator/>
      </w:r>
    </w:p>
  </w:endnote>
  <w:endnote w:type="continuationNotice" w:id="1">
    <w:p w14:paraId="736CB868" w14:textId="77777777" w:rsidR="000D33EA" w:rsidRDefault="000D3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F413" w14:textId="77777777" w:rsidR="00690122" w:rsidRDefault="00690122" w:rsidP="00CA2C61">
    <w:pPr>
      <w:pStyle w:val="Zpat"/>
      <w:tabs>
        <w:tab w:val="clear" w:pos="9072"/>
        <w:tab w:val="right" w:pos="10065"/>
      </w:tabs>
      <w:ind w:left="426" w:right="401"/>
      <w:rPr>
        <w:rFonts w:ascii="Arial" w:hAnsi="Arial" w:cs="Arial"/>
        <w:sz w:val="18"/>
        <w:szCs w:val="18"/>
      </w:rPr>
    </w:pPr>
  </w:p>
  <w:p w14:paraId="2EA369D9"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20EB9" w14:textId="77777777" w:rsidR="000D33EA" w:rsidRDefault="000D33EA" w:rsidP="00547186">
      <w:pPr>
        <w:spacing w:after="0" w:line="240" w:lineRule="auto"/>
      </w:pPr>
      <w:r>
        <w:separator/>
      </w:r>
    </w:p>
  </w:footnote>
  <w:footnote w:type="continuationSeparator" w:id="0">
    <w:p w14:paraId="26BCE3F0" w14:textId="77777777" w:rsidR="000D33EA" w:rsidRDefault="000D33EA" w:rsidP="00547186">
      <w:pPr>
        <w:spacing w:after="0" w:line="240" w:lineRule="auto"/>
      </w:pPr>
      <w:r>
        <w:continuationSeparator/>
      </w:r>
    </w:p>
  </w:footnote>
  <w:footnote w:type="continuationNotice" w:id="1">
    <w:p w14:paraId="7436B76A" w14:textId="77777777" w:rsidR="000D33EA" w:rsidRDefault="000D3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29BF" w14:textId="77777777"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02A24831" wp14:editId="26B82C63">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D335E7"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8" w:name="nazev_dokladu"/>
    <w:bookmarkEnd w:id="18"/>
    <w:r w:rsidR="00B57E82">
      <w:rPr>
        <w:rFonts w:ascii="Calibri Light" w:hAnsi="Calibri Light" w:cs="Calibri Light"/>
      </w:rPr>
      <w:t>SML_101436</w:t>
    </w:r>
    <w:r w:rsidR="007E3026">
      <w:rPr>
        <w:rFonts w:ascii="Calibri Light" w:hAnsi="Calibri Light" w:cs="Calibri Light"/>
      </w:rPr>
      <w:t>_</w:t>
    </w:r>
    <w:bookmarkStart w:id="19" w:name="smlouva_od"/>
    <w:bookmarkEnd w:id="19"/>
    <w:r w:rsidR="00B57E82">
      <w:rPr>
        <w:rFonts w:ascii="Calibri Light" w:hAnsi="Calibri Light" w:cs="Calibri Light"/>
      </w:rPr>
      <w:t>20</w:t>
    </w:r>
    <w:r w:rsidR="005C27DE">
      <w:rPr>
        <w:rFonts w:ascii="Calibri Light" w:hAnsi="Calibri Light" w:cs="Calibri Light"/>
      </w:rPr>
      <w:t>24</w:t>
    </w:r>
    <w:r w:rsidR="00B57E82">
      <w:rPr>
        <w:rFonts w:ascii="Calibri Light" w:hAnsi="Calibri Light" w:cs="Calibri Light"/>
      </w:rPr>
      <w:t>0</w:t>
    </w:r>
    <w:r w:rsidR="005C27DE">
      <w:rPr>
        <w:rFonts w:ascii="Calibri Light" w:hAnsi="Calibri Light" w:cs="Calibri Light"/>
      </w:rPr>
      <w:t>2</w:t>
    </w:r>
    <w:r w:rsidR="00B57E82">
      <w:rPr>
        <w:rFonts w:ascii="Calibri Light" w:hAnsi="Calibri Light" w:cs="Calibri Light"/>
      </w:rPr>
      <w:t>01</w:t>
    </w:r>
  </w:p>
  <w:p w14:paraId="78D1789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682C"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0AC04105"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6E6E9C"/>
    <w:multiLevelType w:val="multilevel"/>
    <w:tmpl w:val="6A0007B4"/>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3E057C5B"/>
    <w:multiLevelType w:val="multilevel"/>
    <w:tmpl w:val="F17E262E"/>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0"/>
  </w:num>
  <w:num w:numId="6">
    <w:abstractNumId w:val="9"/>
  </w:num>
  <w:num w:numId="7">
    <w:abstractNumId w:val="0"/>
  </w:num>
  <w:num w:numId="8">
    <w:abstractNumId w:val="8"/>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3EBE"/>
    <w:rsid w:val="000261F0"/>
    <w:rsid w:val="00033CF9"/>
    <w:rsid w:val="00044E55"/>
    <w:rsid w:val="0005315B"/>
    <w:rsid w:val="00060CE1"/>
    <w:rsid w:val="000646EE"/>
    <w:rsid w:val="00073CC1"/>
    <w:rsid w:val="0007402A"/>
    <w:rsid w:val="00075B98"/>
    <w:rsid w:val="00083006"/>
    <w:rsid w:val="0008358C"/>
    <w:rsid w:val="00087C1D"/>
    <w:rsid w:val="00093B72"/>
    <w:rsid w:val="000958FA"/>
    <w:rsid w:val="000A32D4"/>
    <w:rsid w:val="000B1D77"/>
    <w:rsid w:val="000D33EA"/>
    <w:rsid w:val="000E1505"/>
    <w:rsid w:val="000F453C"/>
    <w:rsid w:val="000F78FE"/>
    <w:rsid w:val="00102BA8"/>
    <w:rsid w:val="00115844"/>
    <w:rsid w:val="00123ED6"/>
    <w:rsid w:val="0012718F"/>
    <w:rsid w:val="00137561"/>
    <w:rsid w:val="00165A38"/>
    <w:rsid w:val="00167707"/>
    <w:rsid w:val="00185244"/>
    <w:rsid w:val="001A0561"/>
    <w:rsid w:val="001A5FC9"/>
    <w:rsid w:val="001B596F"/>
    <w:rsid w:val="001B6172"/>
    <w:rsid w:val="001C2953"/>
    <w:rsid w:val="001C2E48"/>
    <w:rsid w:val="001D4173"/>
    <w:rsid w:val="001D75FC"/>
    <w:rsid w:val="00225323"/>
    <w:rsid w:val="002323F5"/>
    <w:rsid w:val="002364D6"/>
    <w:rsid w:val="0024353C"/>
    <w:rsid w:val="002537C0"/>
    <w:rsid w:val="00262695"/>
    <w:rsid w:val="0026351B"/>
    <w:rsid w:val="002671D7"/>
    <w:rsid w:val="00273172"/>
    <w:rsid w:val="00285F70"/>
    <w:rsid w:val="00293521"/>
    <w:rsid w:val="002A684C"/>
    <w:rsid w:val="002A7622"/>
    <w:rsid w:val="002B3739"/>
    <w:rsid w:val="002B75C2"/>
    <w:rsid w:val="002B76E1"/>
    <w:rsid w:val="002C5FF1"/>
    <w:rsid w:val="002D1CD4"/>
    <w:rsid w:val="002D4D1C"/>
    <w:rsid w:val="002E5EF0"/>
    <w:rsid w:val="002F7BFF"/>
    <w:rsid w:val="0030156B"/>
    <w:rsid w:val="003058D5"/>
    <w:rsid w:val="00311A6E"/>
    <w:rsid w:val="00312DD7"/>
    <w:rsid w:val="0031329C"/>
    <w:rsid w:val="00316444"/>
    <w:rsid w:val="003224DD"/>
    <w:rsid w:val="003275E7"/>
    <w:rsid w:val="00332D37"/>
    <w:rsid w:val="00337725"/>
    <w:rsid w:val="00337809"/>
    <w:rsid w:val="003404A2"/>
    <w:rsid w:val="003508A7"/>
    <w:rsid w:val="00385314"/>
    <w:rsid w:val="003A045F"/>
    <w:rsid w:val="003A1B08"/>
    <w:rsid w:val="003A22B2"/>
    <w:rsid w:val="003B2487"/>
    <w:rsid w:val="003D2E69"/>
    <w:rsid w:val="003E174B"/>
    <w:rsid w:val="003E3404"/>
    <w:rsid w:val="003E6010"/>
    <w:rsid w:val="00403FD0"/>
    <w:rsid w:val="004079FF"/>
    <w:rsid w:val="00416EDE"/>
    <w:rsid w:val="00432847"/>
    <w:rsid w:val="00441449"/>
    <w:rsid w:val="00446DE6"/>
    <w:rsid w:val="00447B09"/>
    <w:rsid w:val="0045105C"/>
    <w:rsid w:val="0045695C"/>
    <w:rsid w:val="004655B7"/>
    <w:rsid w:val="00465810"/>
    <w:rsid w:val="00470B4F"/>
    <w:rsid w:val="004731C5"/>
    <w:rsid w:val="004A73FE"/>
    <w:rsid w:val="004B1AE6"/>
    <w:rsid w:val="004B4D89"/>
    <w:rsid w:val="004E1CB3"/>
    <w:rsid w:val="004E419A"/>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A46FA"/>
    <w:rsid w:val="005A7E99"/>
    <w:rsid w:val="005B0FD1"/>
    <w:rsid w:val="005C27DE"/>
    <w:rsid w:val="005C5FDE"/>
    <w:rsid w:val="005D4DF6"/>
    <w:rsid w:val="005E0650"/>
    <w:rsid w:val="005E15A9"/>
    <w:rsid w:val="005F75F1"/>
    <w:rsid w:val="00611C76"/>
    <w:rsid w:val="0061723A"/>
    <w:rsid w:val="00620707"/>
    <w:rsid w:val="00622111"/>
    <w:rsid w:val="006235BA"/>
    <w:rsid w:val="00624FA2"/>
    <w:rsid w:val="00650429"/>
    <w:rsid w:val="006576F0"/>
    <w:rsid w:val="00665C3B"/>
    <w:rsid w:val="00665C84"/>
    <w:rsid w:val="00670E60"/>
    <w:rsid w:val="0067317B"/>
    <w:rsid w:val="0068260A"/>
    <w:rsid w:val="0068609C"/>
    <w:rsid w:val="00690122"/>
    <w:rsid w:val="006952EE"/>
    <w:rsid w:val="006A183E"/>
    <w:rsid w:val="006B19E0"/>
    <w:rsid w:val="006C42F3"/>
    <w:rsid w:val="006C58B8"/>
    <w:rsid w:val="006D2859"/>
    <w:rsid w:val="006D7CFA"/>
    <w:rsid w:val="006E0E24"/>
    <w:rsid w:val="006E2351"/>
    <w:rsid w:val="00701B77"/>
    <w:rsid w:val="00714B39"/>
    <w:rsid w:val="0072498A"/>
    <w:rsid w:val="00727E2B"/>
    <w:rsid w:val="00734966"/>
    <w:rsid w:val="007350FB"/>
    <w:rsid w:val="00737ABB"/>
    <w:rsid w:val="007433D6"/>
    <w:rsid w:val="00745ED1"/>
    <w:rsid w:val="0074621D"/>
    <w:rsid w:val="00761CD7"/>
    <w:rsid w:val="007703A4"/>
    <w:rsid w:val="00770D15"/>
    <w:rsid w:val="007A7919"/>
    <w:rsid w:val="007B2A46"/>
    <w:rsid w:val="007C75B2"/>
    <w:rsid w:val="007D4A0D"/>
    <w:rsid w:val="007E3026"/>
    <w:rsid w:val="007E6F3D"/>
    <w:rsid w:val="007F5863"/>
    <w:rsid w:val="007F6A6A"/>
    <w:rsid w:val="007F76A9"/>
    <w:rsid w:val="00804105"/>
    <w:rsid w:val="008109B4"/>
    <w:rsid w:val="00812F5E"/>
    <w:rsid w:val="00822301"/>
    <w:rsid w:val="0082259C"/>
    <w:rsid w:val="00842E9B"/>
    <w:rsid w:val="00843332"/>
    <w:rsid w:val="008452EE"/>
    <w:rsid w:val="00847C93"/>
    <w:rsid w:val="00850616"/>
    <w:rsid w:val="00850834"/>
    <w:rsid w:val="008607AE"/>
    <w:rsid w:val="0086100B"/>
    <w:rsid w:val="00862F0D"/>
    <w:rsid w:val="00863293"/>
    <w:rsid w:val="00865718"/>
    <w:rsid w:val="0087034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08C6"/>
    <w:rsid w:val="00904EC1"/>
    <w:rsid w:val="00906DF0"/>
    <w:rsid w:val="00911035"/>
    <w:rsid w:val="00924B06"/>
    <w:rsid w:val="00932219"/>
    <w:rsid w:val="009344E2"/>
    <w:rsid w:val="00934D79"/>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450EA"/>
    <w:rsid w:val="00A47FC6"/>
    <w:rsid w:val="00A51E0C"/>
    <w:rsid w:val="00A53ED8"/>
    <w:rsid w:val="00A60587"/>
    <w:rsid w:val="00A73906"/>
    <w:rsid w:val="00A76261"/>
    <w:rsid w:val="00A8349D"/>
    <w:rsid w:val="00A84F96"/>
    <w:rsid w:val="00A90E77"/>
    <w:rsid w:val="00A928C1"/>
    <w:rsid w:val="00A94ACE"/>
    <w:rsid w:val="00AA05A6"/>
    <w:rsid w:val="00AA05EA"/>
    <w:rsid w:val="00AA0EAF"/>
    <w:rsid w:val="00AA0FE3"/>
    <w:rsid w:val="00AA21C5"/>
    <w:rsid w:val="00AA5CD9"/>
    <w:rsid w:val="00AB4A05"/>
    <w:rsid w:val="00AC233F"/>
    <w:rsid w:val="00AD1965"/>
    <w:rsid w:val="00AE0052"/>
    <w:rsid w:val="00AF255F"/>
    <w:rsid w:val="00AF6F21"/>
    <w:rsid w:val="00B015EA"/>
    <w:rsid w:val="00B06045"/>
    <w:rsid w:val="00B37E04"/>
    <w:rsid w:val="00B41495"/>
    <w:rsid w:val="00B4771B"/>
    <w:rsid w:val="00B531BF"/>
    <w:rsid w:val="00B57E82"/>
    <w:rsid w:val="00B61FB2"/>
    <w:rsid w:val="00B67BA6"/>
    <w:rsid w:val="00B86029"/>
    <w:rsid w:val="00B877BC"/>
    <w:rsid w:val="00B90234"/>
    <w:rsid w:val="00B93171"/>
    <w:rsid w:val="00BA2F77"/>
    <w:rsid w:val="00BA6071"/>
    <w:rsid w:val="00BB215E"/>
    <w:rsid w:val="00BB4028"/>
    <w:rsid w:val="00BB4510"/>
    <w:rsid w:val="00BC421B"/>
    <w:rsid w:val="00BD6724"/>
    <w:rsid w:val="00BD6D90"/>
    <w:rsid w:val="00BD77DB"/>
    <w:rsid w:val="00BD7DF5"/>
    <w:rsid w:val="00BE2829"/>
    <w:rsid w:val="00BE3044"/>
    <w:rsid w:val="00BE7B9C"/>
    <w:rsid w:val="00BF2030"/>
    <w:rsid w:val="00BF6B5E"/>
    <w:rsid w:val="00BF7513"/>
    <w:rsid w:val="00BF7554"/>
    <w:rsid w:val="00C13091"/>
    <w:rsid w:val="00C23EA3"/>
    <w:rsid w:val="00C344C2"/>
    <w:rsid w:val="00C35D51"/>
    <w:rsid w:val="00C41894"/>
    <w:rsid w:val="00C602EA"/>
    <w:rsid w:val="00C63475"/>
    <w:rsid w:val="00C73B26"/>
    <w:rsid w:val="00C801F8"/>
    <w:rsid w:val="00C80E05"/>
    <w:rsid w:val="00C948D7"/>
    <w:rsid w:val="00C961AB"/>
    <w:rsid w:val="00C9638D"/>
    <w:rsid w:val="00C977D4"/>
    <w:rsid w:val="00CA2C61"/>
    <w:rsid w:val="00CA3B95"/>
    <w:rsid w:val="00CA4781"/>
    <w:rsid w:val="00CA5D75"/>
    <w:rsid w:val="00CA66FD"/>
    <w:rsid w:val="00CD0709"/>
    <w:rsid w:val="00CD78BE"/>
    <w:rsid w:val="00CE6C41"/>
    <w:rsid w:val="00CF1BBC"/>
    <w:rsid w:val="00CF7ABB"/>
    <w:rsid w:val="00D043C5"/>
    <w:rsid w:val="00D058C2"/>
    <w:rsid w:val="00D07F52"/>
    <w:rsid w:val="00D101AA"/>
    <w:rsid w:val="00D142FD"/>
    <w:rsid w:val="00D21AA3"/>
    <w:rsid w:val="00D25753"/>
    <w:rsid w:val="00D34D4F"/>
    <w:rsid w:val="00D41E99"/>
    <w:rsid w:val="00D4323F"/>
    <w:rsid w:val="00D55C0A"/>
    <w:rsid w:val="00D609FA"/>
    <w:rsid w:val="00D6440C"/>
    <w:rsid w:val="00D656F0"/>
    <w:rsid w:val="00D67A93"/>
    <w:rsid w:val="00D8019B"/>
    <w:rsid w:val="00D80A93"/>
    <w:rsid w:val="00D82BA6"/>
    <w:rsid w:val="00D86ECC"/>
    <w:rsid w:val="00D906A8"/>
    <w:rsid w:val="00D91793"/>
    <w:rsid w:val="00D92A42"/>
    <w:rsid w:val="00DA7888"/>
    <w:rsid w:val="00DA7989"/>
    <w:rsid w:val="00DD2C47"/>
    <w:rsid w:val="00DD65D4"/>
    <w:rsid w:val="00DE3EAA"/>
    <w:rsid w:val="00DE7823"/>
    <w:rsid w:val="00DF1A06"/>
    <w:rsid w:val="00DF3D27"/>
    <w:rsid w:val="00E02BD2"/>
    <w:rsid w:val="00E1018C"/>
    <w:rsid w:val="00E11940"/>
    <w:rsid w:val="00E206BE"/>
    <w:rsid w:val="00E261BD"/>
    <w:rsid w:val="00E268F1"/>
    <w:rsid w:val="00E37433"/>
    <w:rsid w:val="00E37C9E"/>
    <w:rsid w:val="00E40174"/>
    <w:rsid w:val="00E427A3"/>
    <w:rsid w:val="00E45699"/>
    <w:rsid w:val="00E46964"/>
    <w:rsid w:val="00E47B0F"/>
    <w:rsid w:val="00E535B4"/>
    <w:rsid w:val="00E64B8F"/>
    <w:rsid w:val="00E7211B"/>
    <w:rsid w:val="00E755B6"/>
    <w:rsid w:val="00E816CB"/>
    <w:rsid w:val="00E90F55"/>
    <w:rsid w:val="00E925FE"/>
    <w:rsid w:val="00EA6936"/>
    <w:rsid w:val="00EC1E86"/>
    <w:rsid w:val="00ED48F6"/>
    <w:rsid w:val="00ED4ED0"/>
    <w:rsid w:val="00ED67A5"/>
    <w:rsid w:val="00EE1A1A"/>
    <w:rsid w:val="00EE35FC"/>
    <w:rsid w:val="00EF3CDF"/>
    <w:rsid w:val="00F0188C"/>
    <w:rsid w:val="00F07897"/>
    <w:rsid w:val="00F13846"/>
    <w:rsid w:val="00F24ABA"/>
    <w:rsid w:val="00F278EB"/>
    <w:rsid w:val="00F303E2"/>
    <w:rsid w:val="00F4478D"/>
    <w:rsid w:val="00F45F4D"/>
    <w:rsid w:val="00F46029"/>
    <w:rsid w:val="00F47551"/>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46C8"/>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B43A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27A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0F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beck-online@bec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93F2-08E1-4CE7-945B-9F19169C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11666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Jandová Iveta (VZP ČR Ústředí)</cp:lastModifiedBy>
  <cp:revision>2</cp:revision>
  <cp:lastPrinted>2018-10-16T12:06:00Z</cp:lastPrinted>
  <dcterms:created xsi:type="dcterms:W3CDTF">2023-11-15T12:14:00Z</dcterms:created>
  <dcterms:modified xsi:type="dcterms:W3CDTF">2023-11-15T12:14:00Z</dcterms:modified>
</cp:coreProperties>
</file>