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997" w:h="312" w:wrap="none" w:hAnchor="page" w:x="4949" w:y="1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KUPNÍ SMLOUVA</w:t>
      </w:r>
      <w:bookmarkEnd w:id="0"/>
    </w:p>
    <w:p>
      <w:pPr>
        <w:pStyle w:val="Style4"/>
        <w:keepNext/>
        <w:keepLines/>
        <w:framePr w:w="2458" w:h="1344" w:wrap="none" w:hAnchor="page" w:x="838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rStyle w:val="CharStyle5"/>
        </w:rPr>
        <w:t>iiuiniuin</w:t>
      </w:r>
      <w:bookmarkEnd w:id="2"/>
    </w:p>
    <w:p>
      <w:pPr>
        <w:pStyle w:val="Style6"/>
        <w:keepNext w:val="0"/>
        <w:keepLines w:val="0"/>
        <w:framePr w:w="2458" w:h="1344" w:wrap="none" w:hAnchor="page" w:x="8385" w:y="1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7"/>
        </w:rPr>
        <w:t>2023008671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3" w:right="1058" w:bottom="1022" w:left="149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40" w:line="276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12"/>
          <w:sz w:val="19"/>
          <w:szCs w:val="19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left"/>
        <w:tblLayout w:type="fixed"/>
      </w:tblPr>
      <w:tblGrid>
        <w:gridCol w:w="2808"/>
        <w:gridCol w:w="5506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40" w:right="0" w:firstLine="0"/>
              <w:jc w:val="left"/>
            </w:pPr>
            <w:r>
              <w:rPr>
                <w:rStyle w:val="CharStyle3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MUDr. Hana Albrechtová, ředitelka</w:t>
            </w:r>
          </w:p>
        </w:tc>
      </w:tr>
      <w:tr>
        <w:trPr>
          <w:trHeight w:val="77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both"/>
            </w:pPr>
            <w:r>
              <w:rPr>
                <w:rStyle w:val="CharStyle31"/>
                <w:spacing w:val="1"/>
                <w:shd w:val="clear" w:color="auto" w:fill="000000"/>
              </w:rPr>
              <w:t>..</w:t>
            </w:r>
            <w:r>
              <w:rPr>
                <w:rStyle w:val="CharStyle31"/>
                <w:spacing w:val="2"/>
                <w:shd w:val="clear" w:color="auto" w:fill="000000"/>
              </w:rPr>
              <w:t>....</w:t>
            </w:r>
            <w:r>
              <w:rPr>
                <w:rStyle w:val="CharStyle31"/>
                <w:shd w:val="clear" w:color="auto" w:fill="000000"/>
              </w:rPr>
              <w:t>​</w:t>
            </w:r>
            <w:r>
              <w:rPr>
                <w:rStyle w:val="CharStyle31"/>
                <w:spacing w:val="2"/>
                <w:shd w:val="clear" w:color="auto" w:fill="000000"/>
              </w:rPr>
              <w:t>............</w:t>
            </w:r>
            <w:r>
              <w:rPr>
                <w:rStyle w:val="CharStyle31"/>
                <w:spacing w:val="3"/>
                <w:shd w:val="clear" w:color="auto" w:fill="000000"/>
              </w:rPr>
              <w:t>..</w:t>
            </w:r>
            <w:r>
              <w:rPr>
                <w:rStyle w:val="CharStyle31"/>
                <w:shd w:val="clear" w:color="auto" w:fill="000000"/>
              </w:rPr>
              <w:t>​...............​</w:t>
            </w:r>
            <w:r>
              <w:rPr>
                <w:rStyle w:val="CharStyle31"/>
                <w:spacing w:val="4"/>
                <w:shd w:val="clear" w:color="auto" w:fill="000000"/>
              </w:rPr>
              <w:t>.....</w:t>
            </w:r>
            <w:r>
              <w:rPr>
                <w:rStyle w:val="CharStyle31"/>
                <w:spacing w:val="5"/>
                <w:shd w:val="clear" w:color="auto" w:fill="000000"/>
              </w:rPr>
              <w:t>....</w:t>
            </w:r>
            <w:r>
              <w:rPr>
                <w:rStyle w:val="CharStyle31"/>
                <w:shd w:val="clear" w:color="auto" w:fill="000000"/>
              </w:rPr>
              <w:t>​</w:t>
            </w:r>
            <w:r>
              <w:rPr>
                <w:rStyle w:val="CharStyle31"/>
                <w:spacing w:val="3"/>
                <w:shd w:val="clear" w:color="auto" w:fill="000000"/>
              </w:rPr>
              <w:t>..</w:t>
            </w:r>
            <w:r>
              <w:rPr>
                <w:rStyle w:val="CharStyle31"/>
                <w:spacing w:val="4"/>
                <w:shd w:val="clear" w:color="auto" w:fill="000000"/>
              </w:rPr>
              <w:t>.</w:t>
            </w:r>
            <w:r>
              <w:rPr>
                <w:rStyle w:val="CharStyle31"/>
                <w:shd w:val="clear" w:color="auto" w:fill="000000"/>
              </w:rPr>
              <w:t>​</w:t>
            </w:r>
            <w:r>
              <w:rPr>
                <w:rStyle w:val="CharStyle31"/>
                <w:spacing w:val="3"/>
                <w:shd w:val="clear" w:color="auto" w:fill="000000"/>
              </w:rPr>
              <w:t>..</w:t>
            </w:r>
            <w:r>
              <w:rPr>
                <w:rStyle w:val="CharStyle31"/>
                <w:spacing w:val="4"/>
                <w:shd w:val="clear" w:color="auto" w:fill="000000"/>
              </w:rPr>
              <w:t>......</w:t>
            </w:r>
            <w:r>
              <w:rPr>
                <w:rStyle w:val="CharStyle31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31"/>
                <w:spacing w:val="2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3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31"/>
                <w:shd w:val="clear" w:color="auto" w:fill="000000"/>
              </w:rPr>
              <w:t>​</w:t>
            </w:r>
            <w:r>
              <w:rPr>
                <w:rStyle w:val="CharStyle31"/>
                <w:spacing w:val="10"/>
                <w:shd w:val="clear" w:color="auto" w:fill="000000"/>
              </w:rPr>
              <w:t>....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</w:pPr>
            <w:r>
              <w:rPr>
                <w:rStyle w:val="CharStyle31"/>
                <w:shd w:val="clear" w:color="auto" w:fill="000000"/>
              </w:rPr>
              <w:t>.......​</w:t>
            </w:r>
            <w:r>
              <w:rPr>
                <w:rStyle w:val="CharStyle31"/>
                <w:spacing w:val="6"/>
                <w:shd w:val="clear" w:color="auto" w:fill="000000"/>
              </w:rPr>
              <w:t>.....</w:t>
            </w:r>
            <w:r>
              <w:rPr>
                <w:rStyle w:val="CharStyle31"/>
                <w:spacing w:val="7"/>
                <w:shd w:val="clear" w:color="auto" w:fill="000000"/>
              </w:rPr>
              <w:t>.</w:t>
            </w:r>
            <w:r>
              <w:rPr>
                <w:rStyle w:val="CharStyle31"/>
                <w:shd w:val="clear" w:color="auto" w:fill="000000"/>
              </w:rPr>
              <w:t>​......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</w:pPr>
            <w:r>
              <w:rPr>
                <w:rStyle w:val="CharStyle31"/>
                <w:spacing w:val="6"/>
                <w:shd w:val="clear" w:color="auto" w:fill="000000"/>
              </w:rPr>
              <w:t>..</w:t>
            </w:r>
            <w:r>
              <w:rPr>
                <w:rStyle w:val="CharStyle31"/>
                <w:spacing w:val="7"/>
                <w:shd w:val="clear" w:color="auto" w:fill="000000"/>
              </w:rPr>
              <w:t>....</w:t>
            </w:r>
            <w:r>
              <w:rPr>
                <w:rStyle w:val="CharStyle31"/>
                <w:shd w:val="clear" w:color="auto" w:fill="000000"/>
              </w:rPr>
              <w:t>​....</w:t>
            </w:r>
            <w:r>
              <w:rPr>
                <w:rStyle w:val="CharStyle31"/>
                <w:spacing w:val="1"/>
                <w:shd w:val="clear" w:color="auto" w:fill="000000"/>
              </w:rPr>
              <w:t>.....</w:t>
            </w:r>
            <w:r>
              <w:rPr>
                <w:rStyle w:val="CharStyle31"/>
                <w:shd w:val="clear" w:color="auto" w:fill="000000"/>
              </w:rPr>
              <w:t>​.......​.......​......</w:t>
            </w:r>
          </w:p>
        </w:tc>
      </w:tr>
      <w:tr>
        <w:trPr>
          <w:trHeight w:val="78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IČO: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DIČ: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00346292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CZ00346292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Krajský soud v Brně sp. zn. Pr 1245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1"/>
              </w:rPr>
              <w:t>MONETA Money Bank, a.s., č. ú. 117203514/0600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8"/>
        </w:rPr>
        <w:t xml:space="preserve">jako kupujícím (dále jen </w:t>
      </w:r>
      <w:r>
        <w:rPr>
          <w:rStyle w:val="CharStyle28"/>
          <w:b/>
          <w:bCs/>
          <w:i/>
          <w:iCs/>
        </w:rPr>
        <w:t>„kupující")</w:t>
      </w:r>
    </w:p>
    <w:p>
      <w:pPr>
        <w:widowControl w:val="0"/>
        <w:spacing w:after="7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12700</wp:posOffset>
                </wp:positionV>
                <wp:extent cx="1639570" cy="14566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9570" cy="145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IČO: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DIČ: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5.549999999999997pt;margin-top:1.pt;width:129.09999999999999pt;height:114.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Jméno: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Sídlo: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Jednající: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Kontaktní osoba: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IČO: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DIČ: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Zápis v OR: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2"/>
          <w:b/>
          <w:bCs/>
        </w:rPr>
        <w:t>Medsol s.r.o.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Lužná 591/4, 160 00 Praha 6 - Vokovice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Mgr. Michal Baroš, MBA, jednatel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Mgr. Michal Baroš, MBA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242 01 596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CZ24201596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zapsán v obchodním rejstříku vedeném Městským soudem 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60"/>
        <w:jc w:val="left"/>
      </w:pPr>
      <w:r>
        <w:rPr>
          <w:rStyle w:val="CharStyle12"/>
        </w:rPr>
        <w:t>Praze, oddíl C, vložka 188143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260"/>
        <w:jc w:val="left"/>
      </w:pPr>
      <w:r>
        <w:rPr>
          <w:rStyle w:val="CharStyle12"/>
        </w:rPr>
        <w:t xml:space="preserve">ČSOB, a.s„ č.ú. 260001288 / 0300 </w:t>
      </w:r>
      <w:r>
        <w:rPr>
          <w:rStyle w:val="CharStyle12"/>
        </w:rPr>
        <w:t xml:space="preserve">jako prodávajícím (dále jen </w:t>
      </w:r>
      <w:r>
        <w:rPr>
          <w:rStyle w:val="CharStyle12"/>
          <w:b/>
          <w:bCs/>
          <w:i/>
          <w:iCs/>
        </w:rPr>
        <w:t>„prodávající")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60" w:right="0" w:hanging="560"/>
        <w:jc w:val="both"/>
      </w:pPr>
      <w:r>
        <w:rPr>
          <w:rStyle w:val="CharStyle12"/>
        </w:rPr>
        <w:t xml:space="preserve">Prodávající je oprávněn na základě svého vlastnického práva nakládat s tímto zbožím: </w:t>
      </w:r>
      <w:r>
        <w:rPr>
          <w:rStyle w:val="CharStyle12"/>
          <w:b/>
          <w:bCs/>
        </w:rPr>
        <w:t>15 kusů baterií do přístrojů pro nepřímou srdeční masáž LUCAS 2/3 typu/označení: baterie LiPo Lucas 2,3 - katalogové číslo 11576-000080.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440" w:line="300" w:lineRule="auto"/>
        <w:ind w:left="560" w:right="0" w:hanging="560"/>
        <w:jc w:val="both"/>
      </w:pPr>
      <w:r>
        <w:rPr>
          <w:rStyle w:val="CharStyle12"/>
        </w:rPr>
        <w:t>Prodávající prodává zboží podle čl. 1 této smlouvy kupujícímu, a kupující kupuje toto zboží do vlastnictví Jihomoravského kraje, jako jeho zřizovatele, za kupní cenu podle čl. 5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8" w:lineRule="auto"/>
        <w:ind w:left="560" w:right="0" w:hanging="560"/>
        <w:jc w:val="both"/>
      </w:pPr>
      <w:r>
        <w:rPr>
          <w:rStyle w:val="CharStyle12"/>
        </w:rPr>
        <w:t xml:space="preserve">Prodávající se zavazuje splnit svůj závazek k dodání zboží podle čl. 1 této smlouvy nejpozději do </w:t>
      </w:r>
      <w:r>
        <w:rPr>
          <w:rStyle w:val="CharStyle12"/>
          <w:b/>
          <w:bCs/>
        </w:rPr>
        <w:t xml:space="preserve">31. 1. 2024. </w:t>
      </w:r>
      <w:r>
        <w:rPr>
          <w:rStyle w:val="CharStyle12"/>
        </w:rPr>
        <w:t>Závazek prodávajícího k dodání zboží podle čl. 1 této smlouvy se pak považuje za splněný dnem předání a převzetí tohoto zboží, prostého všech vad, v místě plnění formou písemného předávacího protokolu (dodacího listu) podepsaného oběma stranami. Místem plnění se přitom pro účely této smlouvy rozumí sídlo prodávajícího dle záhlaví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140" w:line="300" w:lineRule="auto"/>
        <w:ind w:left="560" w:right="0" w:hanging="560"/>
        <w:jc w:val="both"/>
      </w:pPr>
      <w:r>
        <w:rPr>
          <w:rStyle w:val="CharStyle12"/>
        </w:rPr>
        <w:t>Nebezpečí škody na převáděném zboží a vlastnické právo k tomuto zboží přechází z prodávajícího na kupujícího dnem splnění závazku prodávajícího k dodání tohoto zboží způsobem podle čl. 3 této smlouvy.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5" w:lineRule="auto"/>
        <w:ind w:left="520" w:right="0" w:hanging="520"/>
        <w:jc w:val="both"/>
      </w:pPr>
      <w:r>
        <w:rPr>
          <w:rStyle w:val="CharStyle12"/>
        </w:rPr>
        <w:t>Kupující se zavazuje zaplatit prodávajícímu za předmět koupě a prodeje podle čl. 1 této smlouvy kupní cenu ve výši: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287020" distL="193675" distR="114300" simplePos="0" relativeHeight="125829380" behindDoc="0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330200</wp:posOffset>
                </wp:positionV>
                <wp:extent cx="749935" cy="1460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19 200,00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9.85000000000002pt;margin-top:26.pt;width:59.050000000000004pt;height:11.5pt;z-index:-125829373;mso-wrap-distance-left:15.25pt;mso-wrap-distance-right:9.pt;mso-wrap-distance-bottom:22.6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19 200,00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0" distL="114300" distR="114300" simplePos="0" relativeHeight="125829382" behindDoc="0" locked="0" layoutInCell="1" allowOverlap="1">
                <wp:simplePos x="0" y="0"/>
                <wp:positionH relativeFrom="page">
                  <wp:posOffset>3220720</wp:posOffset>
                </wp:positionH>
                <wp:positionV relativeFrom="paragraph">
                  <wp:posOffset>470535</wp:posOffset>
                </wp:positionV>
                <wp:extent cx="829310" cy="29273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288 000,00 Kč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348 480,00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3.59999999999999pt;margin-top:37.050000000000004pt;width:65.299999999999997pt;height:23.050000000000001pt;z-index:-125829371;mso-wrap-distance-left:9.pt;mso-wrap-distance-top:11.0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288 000,00 Kč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348 480,00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2"/>
          <w:b/>
          <w:bCs/>
        </w:rPr>
        <w:t xml:space="preserve">288 000,00 Kč </w:t>
      </w:r>
      <w:r>
        <w:rPr>
          <w:rStyle w:val="CharStyle12"/>
        </w:rPr>
        <w:t xml:space="preserve">bez DPH, tzn. </w:t>
      </w:r>
      <w:r>
        <w:rPr>
          <w:rStyle w:val="CharStyle12"/>
          <w:b/>
          <w:bCs/>
        </w:rPr>
        <w:t xml:space="preserve">348 480,00 Kč </w:t>
      </w:r>
      <w:r>
        <w:rPr>
          <w:rStyle w:val="CharStyle12"/>
        </w:rPr>
        <w:t>včetně DPH, z čehož: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520" w:right="0" w:firstLine="20"/>
        <w:jc w:val="both"/>
      </w:pPr>
      <w:r>
        <w:rPr>
          <w:rStyle w:val="CharStyle12"/>
        </w:rPr>
        <w:t>Cena za 1 ks bez DPH Cena celkem bez DPH Cena celkem včetně DPH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62" w:lineRule="auto"/>
        <w:ind w:left="520" w:right="0" w:firstLine="20"/>
        <w:jc w:val="left"/>
      </w:pPr>
      <w:r>
        <w:rPr>
          <w:rStyle w:val="CharStyle12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98" w:lineRule="auto"/>
        <w:ind w:left="520" w:right="0" w:hanging="520"/>
        <w:jc w:val="both"/>
      </w:pPr>
      <w:r>
        <w:rPr>
          <w:rStyle w:val="CharStyle12"/>
        </w:rPr>
        <w:t xml:space="preserve">Kupní cena podle čl. 5 této smlouvy je splatná na účet prodávajícího po splnění závazku prodávajícího k dodání zboží podle čl. 1 této smlouvy způsobem podle čl. 3 této smlouvy na základě jejího písemného vyúčtování (faktury/daňového dokladu) ve lhůtě do 30 dnů od jejího doručení. Faktura bude doručena elektronicky na email: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hd w:val="clear" w:color="auto" w:fill="000000"/>
        </w:rPr>
        <w:t>​..</w:t>
      </w:r>
      <w:r>
        <w:rPr>
          <w:rStyle w:val="CharStyle12"/>
        </w:rPr>
        <w:t xml:space="preserve"> </w:t>
      </w:r>
      <w:r>
        <w:rPr>
          <w:rStyle w:val="CharStyle12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2"/>
          <w:spacing w:val="1"/>
          <w:u w:val="single"/>
          <w:shd w:val="clear" w:color="auto" w:fill="000000"/>
          <w:lang w:val="en-US" w:eastAsia="en-US" w:bidi="en-US"/>
        </w:rPr>
        <w:t>.....................</w:t>
      </w:r>
      <w:r>
        <w:rPr>
          <w:rStyle w:val="CharStyle12"/>
          <w:spacing w:val="2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12"/>
          <w:shd w:val="clear" w:color="auto" w:fill="000000"/>
          <w:lang w:val="en-US" w:eastAsia="en-US" w:bidi="en-US"/>
        </w:rPr>
        <w:t>..</w:t>
      </w:r>
      <w:r>
        <w:rPr>
          <w:rStyle w:val="CharStyle12"/>
        </w:rPr>
        <w:t xml:space="preserve">Na faktuře musí být mimo jiné vždy uvedeno toto číslo veřejné zakázky, ke které se faktura vztahuje: </w:t>
      </w:r>
      <w:r>
        <w:rPr>
          <w:rStyle w:val="CharStyle12"/>
          <w:b/>
          <w:bCs/>
        </w:rPr>
        <w:t xml:space="preserve">P23V00003472 </w:t>
      </w:r>
      <w:r>
        <w:rPr>
          <w:rStyle w:val="CharStyle12"/>
        </w:rPr>
        <w:t>Přílohou faktury bude rovněž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20" w:right="0" w:hanging="520"/>
        <w:jc w:val="both"/>
      </w:pPr>
      <w:r>
        <w:rPr>
          <w:rStyle w:val="CharStyle12"/>
        </w:rPr>
        <w:t>S převodem zboží podle čl. 1 této smlouvy je spojena záruka za jeho jakost v trvání min. 24 měsíců. V rámci této záruky se prodávající zavazuje bezplatně odstraňovat vady na zboží podle čl. 1 této smlouvy, a to ve lhůtě do 3 dnů od doručení příslušné reklamace písemné kupujícího. Písemná forma reklamace se považuje za dodrženou i v případě jejího odeslání elektronickou formou. Vzhledem k povaze zboží podle čl. 1 této smlouvy lze odstranit reklamované vady zboží jen jeho výměnou za jiné bezvadné.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20" w:right="0" w:hanging="520"/>
        <w:jc w:val="both"/>
      </w:pPr>
      <w:r>
        <w:rPr>
          <w:rStyle w:val="CharStyle12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20" w:right="0" w:hanging="520"/>
        <w:jc w:val="both"/>
      </w:pPr>
      <w:r>
        <w:rPr>
          <w:rStyle w:val="CharStyle12"/>
        </w:rPr>
        <w:t>Pro případ prodlení prodávajícího se splněním jeho závazku k dodání zboží ve lhůtě podle čl. 3 této smlouvy nebo k odstranění vady ve lhůtě podle čl. 7 této smlouvy o víc, než 10 dnů, je kupující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20" w:right="0" w:hanging="520"/>
        <w:jc w:val="both"/>
      </w:pPr>
      <w:r>
        <w:rPr>
          <w:rStyle w:val="CharStyle12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0" w:lineRule="auto"/>
        <w:ind w:left="520" w:right="0" w:hanging="520"/>
        <w:jc w:val="both"/>
      </w:pPr>
      <w:r>
        <w:rPr>
          <w:rStyle w:val="CharStyle12"/>
        </w:rPr>
        <w:t>Pro případ prodlení kupujícího se zaplacením kupní ceny nebo její části ve lhůtě podle čl. 6 této smlouvy o víc než 10 dnů, je prodávající oprávněn od této smlouvy odstoupit s účinky ex tunc.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302" w:lineRule="auto"/>
        <w:ind w:left="520" w:right="0" w:hanging="520"/>
        <w:jc w:val="both"/>
      </w:pPr>
      <w:r>
        <w:rPr>
          <w:rStyle w:val="CharStyle12"/>
        </w:rPr>
        <w:t>Není-li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460" w:line="283" w:lineRule="auto"/>
        <w:ind w:left="640" w:right="0" w:hanging="640"/>
        <w:jc w:val="both"/>
        <w:rPr>
          <w:sz w:val="19"/>
          <w:szCs w:val="19"/>
        </w:rPr>
      </w:pPr>
      <w:r>
        <w:rPr>
          <w:rStyle w:val="CharStyle12"/>
          <w:sz w:val="19"/>
          <w:szCs w:val="19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přitom předem vylučuje přijetí tohoto návrhu s dodatkem nebo odchylkou ve smyslu ust. § 1740 odst. 3 občanského zákoníku.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83" w:lineRule="auto"/>
        <w:ind w:left="640" w:right="0" w:hanging="640"/>
        <w:jc w:val="both"/>
        <w:rPr>
          <w:sz w:val="19"/>
          <w:szCs w:val="19"/>
        </w:rPr>
      </w:pPr>
      <w:r>
        <w:rPr>
          <w:rStyle w:val="CharStyle12"/>
          <w:sz w:val="19"/>
          <w:szCs w:val="19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83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2"/>
          <w:sz w:val="19"/>
          <w:szCs w:val="19"/>
        </w:rPr>
        <w:t>Tuto smlouvu lze změnit nebo zrušit pouze jinou písemnou dohodou obou smluvních stran.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/>
        <w:ind w:left="640" w:right="0" w:hanging="640"/>
        <w:jc w:val="both"/>
        <w:rPr>
          <w:sz w:val="19"/>
          <w:szCs w:val="19"/>
        </w:rPr>
      </w:pPr>
      <w:r>
        <w:rPr>
          <w:rStyle w:val="CharStyle12"/>
          <w:sz w:val="19"/>
          <w:szCs w:val="19"/>
        </w:rPr>
        <w:t>Tato smlouva nabývá platnosti dnem jejího uzavření a účinnosti dnem jejího uveřejnění v registru smluv dfe čl. 14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/>
        <w:ind w:left="640" w:right="0" w:hanging="640"/>
        <w:jc w:val="both"/>
        <w:rPr>
          <w:sz w:val="19"/>
          <w:szCs w:val="19"/>
        </w:rPr>
      </w:pPr>
      <w:r>
        <w:rPr>
          <w:rStyle w:val="CharStyle12"/>
          <w:sz w:val="19"/>
          <w:szCs w:val="19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760"/>
        <w:ind w:left="640" w:right="0" w:hanging="640"/>
        <w:jc w:val="both"/>
        <w:rPr>
          <w:sz w:val="19"/>
          <w:szCs w:val="19"/>
        </w:rPr>
      </w:pPr>
      <w:r>
        <w:rPr>
          <w:rStyle w:val="CharStyle12"/>
          <w:sz w:val="19"/>
          <w:szCs w:val="19"/>
        </w:rPr>
        <w:t>Smlouva je vyhotovena ve dvou stejnopisech, z nichž každá smluvní strana obdrží po jednom vyhotovení.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5388" w:val="right"/>
          <w:tab w:pos="5575" w:val="left"/>
        </w:tabs>
        <w:bidi w:val="0"/>
        <w:spacing w:before="0" w:after="460" w:line="240" w:lineRule="auto"/>
        <w:ind w:left="0" w:right="0" w:firstLine="180"/>
        <w:jc w:val="left"/>
        <w:rPr>
          <w:sz w:val="19"/>
          <w:szCs w:val="19"/>
        </w:rPr>
      </w:pPr>
      <w:r>
        <w:rPr>
          <w:rStyle w:val="CharStyle12"/>
          <w:sz w:val="19"/>
          <w:szCs w:val="19"/>
        </w:rPr>
        <w:t>V Brně dne</w:t>
        <w:tab/>
        <w:t xml:space="preserve"> V</w:t>
        <w:tab/>
        <w:t>Praze dne 9.11.2023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685800" distL="214630" distR="114935" simplePos="0" relativeHeight="125829384" behindDoc="0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190500</wp:posOffset>
                </wp:positionV>
                <wp:extent cx="1673225" cy="22542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02" w:val="left"/>
                                <w:tab w:pos="126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......​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.​............................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spacing w:val="1"/>
                                <w:sz w:val="16"/>
                                <w:szCs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spacing w:val="2"/>
                                <w:sz w:val="16"/>
                                <w:szCs w:val="16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14"/>
                                <w:sz w:val="16"/>
                                <w:szCs w:val="16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z w:val="16"/>
                                <w:szCs w:val="16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4"/>
                                <w:spacing w:val="3"/>
                                <w:sz w:val="16"/>
                                <w:szCs w:val="16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​....................................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16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4.05000000000001pt;margin-top:15.pt;width:131.75pt;height:17.75pt;z-index:-125829369;mso-wrap-distance-left:16.899999999999999pt;mso-wrap-distance-right:9.0500000000000007pt;mso-wrap-distance-bottom:54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2" w:val="left"/>
                          <w:tab w:pos="126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......​</w:t>
                      </w:r>
                      <w:r>
                        <w:rPr>
                          <w:rStyle w:val="CharStyle14"/>
                          <w:b/>
                          <w:bCs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b/>
                          <w:bCs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.​............................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....................................................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spacing w:val="1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spacing w:val="2"/>
                          <w:sz w:val="16"/>
                          <w:szCs w:val="16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14"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z w:val="16"/>
                          <w:szCs w:val="16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4"/>
                          <w:spacing w:val="3"/>
                          <w:sz w:val="16"/>
                          <w:szCs w:val="16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​....................................</w:t>
                      </w:r>
                      <w:r>
                        <w:rPr>
                          <w:rStyle w:val="CharStyle14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6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14"/>
                          <w:b/>
                          <w:bCs/>
                          <w:spacing w:val="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b/>
                          <w:bCs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4"/>
                          <w:b/>
                          <w:bCs/>
                          <w:spacing w:val="3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114300" distR="510540" simplePos="0" relativeHeight="125829386" behindDoc="0" locked="0" layoutInCell="1" allowOverlap="1">
                <wp:simplePos x="0" y="0"/>
                <wp:positionH relativeFrom="page">
                  <wp:posOffset>4269105</wp:posOffset>
                </wp:positionH>
                <wp:positionV relativeFrom="paragraph">
                  <wp:posOffset>595630</wp:posOffset>
                </wp:positionV>
                <wp:extent cx="1377950" cy="50609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506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12"/>
                                <w:sz w:val="19"/>
                                <w:szCs w:val="19"/>
                              </w:rPr>
                              <w:t xml:space="preserve">Mgr. Michal Baroš, MBA jednatel </w:t>
                            </w:r>
                            <w:r>
                              <w:rPr>
                                <w:rStyle w:val="CharStyle12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6.15000000000003pt;margin-top:46.899999999999999pt;width:108.5pt;height:39.850000000000001pt;z-index:-125829367;mso-wrap-distance-left:9.pt;mso-wrap-distance-top:31.900000000000002pt;mso-wrap-distance-right:40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12"/>
                          <w:sz w:val="19"/>
                          <w:szCs w:val="19"/>
                        </w:rPr>
                        <w:t xml:space="preserve">Mgr. Michal Baroš, MBA jednatel </w:t>
                      </w:r>
                      <w:r>
                        <w:rPr>
                          <w:rStyle w:val="CharStyle12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52"/>
          <w:shd w:val="clear" w:color="auto" w:fill="000000"/>
        </w:rPr>
        <w:t>...</w:t>
      </w:r>
      <w:r>
        <w:rPr>
          <w:rStyle w:val="CharStyle52"/>
          <w:spacing w:val="1"/>
          <w:shd w:val="clear" w:color="auto" w:fill="000000"/>
        </w:rPr>
        <w:t>.........................</w:t>
      </w:r>
      <w:bookmarkStart w:id="4" w:name="bookmark4"/>
      <w:r>
        <w:rPr>
          <w:rStyle w:val="CharStyle52"/>
          <w:spacing w:val="17"/>
          <w:shd w:val="clear" w:color="auto" w:fill="000000"/>
        </w:rPr>
        <w:t>...</w:t>
      </w:r>
      <w:r>
        <w:rPr>
          <w:rStyle w:val="CharStyle52"/>
          <w:spacing w:val="-26"/>
          <w:shd w:val="clear" w:color="auto" w:fill="000000"/>
        </w:rPr>
        <w:t>.</w:t>
      </w:r>
      <w:bookmarkEnd w:id="4"/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52"/>
          <w:spacing w:val="4"/>
          <w:shd w:val="clear" w:color="auto" w:fill="000000"/>
        </w:rPr>
        <w:t>....</w:t>
      </w:r>
      <w:r>
        <w:rPr>
          <w:rStyle w:val="CharStyle52"/>
          <w:spacing w:val="5"/>
          <w:shd w:val="clear" w:color="auto" w:fill="000000"/>
        </w:rPr>
        <w:t>.............</w:t>
      </w:r>
      <w:r>
        <w:rPr>
          <w:rStyle w:val="CharStyle52"/>
          <w:shd w:val="clear" w:color="auto" w:fill="000000"/>
        </w:rPr>
        <w:t>​</w:t>
      </w:r>
      <w:r>
        <w:rPr>
          <w:rStyle w:val="CharStyle52"/>
          <w:spacing w:val="5"/>
          <w:shd w:val="clear" w:color="auto" w:fill="000000"/>
        </w:rPr>
        <w:t>.....</w:t>
      </w:r>
      <w:r>
        <w:rPr>
          <w:rStyle w:val="CharStyle52"/>
          <w:spacing w:val="55"/>
          <w:shd w:val="clear" w:color="auto" w:fill="000000"/>
          <w:vertAlign w:val="superscript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80" w:right="0" w:firstLine="0"/>
        <w:jc w:val="left"/>
        <w:rPr>
          <w:sz w:val="19"/>
          <w:szCs w:val="19"/>
        </w:rPr>
      </w:pPr>
      <w:r>
        <w:rPr>
          <w:rStyle w:val="CharStyle12"/>
          <w:sz w:val="19"/>
          <w:szCs w:val="19"/>
        </w:rPr>
        <w:t>MUDr. Hana Albrechtová ředitelka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180"/>
        <w:jc w:val="left"/>
        <w:rPr>
          <w:sz w:val="19"/>
          <w:szCs w:val="19"/>
        </w:rPr>
      </w:pPr>
      <w:r>
        <w:rPr>
          <w:rStyle w:val="CharStyle12"/>
          <w:b/>
          <w:bCs/>
          <w:i/>
          <w:iCs/>
          <w:sz w:val="19"/>
          <w:szCs w:val="19"/>
        </w:rPr>
        <w:t>kupující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85" w:right="1063" w:bottom="1477" w:left="149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10037445</wp:posOffset>
              </wp:positionV>
              <wp:extent cx="358140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46-23: Baterie k přístrojům pro nepřímou srdeční masáž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0000000000003pt;margin-top:790.35000000000002pt;width:282.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46-23: Baterie k přístrojům pro nepřímou srdeční masáž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Jiné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2">
    <w:name w:val="Nadpis #2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4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auto"/>
      <w:ind w:left="58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0">
    <w:name w:val="Jiné"/>
    <w:basedOn w:val="Normal"/>
    <w:link w:val="CharStyle31"/>
    <w:pPr>
      <w:widowControl w:val="0"/>
      <w:shd w:val="clear" w:color="auto" w:fill="auto"/>
      <w:spacing w:after="24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1">
    <w:name w:val="Nadpis #2"/>
    <w:basedOn w:val="Normal"/>
    <w:link w:val="CharStyle52"/>
    <w:pPr>
      <w:widowControl w:val="0"/>
      <w:shd w:val="clear" w:color="auto" w:fill="auto"/>
      <w:spacing w:after="9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