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bookmark0"/>
      <w:r>
        <w:rPr>
          <w:rStyle w:val="CharStyle16"/>
        </w:rPr>
        <w:t>muninijiii</w:t>
      </w:r>
      <w:bookmarkEnd w:id="0"/>
    </w:p>
    <w:p>
      <w:pPr>
        <w:pStyle w:val="Style10"/>
        <w:keepNext w:val="0"/>
        <w:keepLines w:val="0"/>
        <w:widowControl w:val="0"/>
        <w:shd w:val="clear" w:color="auto" w:fill="auto"/>
        <w:tabs>
          <w:tab w:pos="7996" w:val="left"/>
        </w:tabs>
        <w:bidi w:val="0"/>
        <w:spacing w:before="0" w:after="240" w:line="240" w:lineRule="auto"/>
        <w:ind w:left="3940" w:right="0" w:firstLine="0"/>
        <w:jc w:val="left"/>
        <w:rPr>
          <w:sz w:val="16"/>
          <w:szCs w:val="16"/>
        </w:rPr>
      </w:pPr>
      <w:r>
        <w:rPr>
          <w:rStyle w:val="CharStyle11"/>
          <w:b/>
          <w:bCs/>
          <w:u w:val="single"/>
        </w:rPr>
        <w:t>Dodatek č. 2</w:t>
      </w:r>
      <w:r>
        <w:rPr>
          <w:rStyle w:val="CharStyle11"/>
          <w:b/>
          <w:bCs/>
        </w:rPr>
        <w:tab/>
      </w:r>
      <w:r>
        <w:rPr>
          <w:rStyle w:val="CharStyle11"/>
          <w:rFonts w:ascii="Arial" w:eastAsia="Arial" w:hAnsi="Arial" w:cs="Arial"/>
          <w:sz w:val="16"/>
          <w:szCs w:val="16"/>
        </w:rPr>
        <w:t>2022000713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2" w:name="bookmark2"/>
      <w:r>
        <w:rPr>
          <w:rStyle w:val="CharStyle20"/>
          <w:b/>
          <w:bCs/>
        </w:rPr>
        <w:t>ke smlouvě o výpůjčce ze dne 28. 1. 2015 ve znění dodatku č. 1 ze dne 19. 8. 2016</w:t>
        <w:br/>
        <w:t>(dále jen „smlouva“),</w:t>
      </w:r>
      <w:bookmarkEnd w:id="2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rStyle w:val="CharStyle11"/>
        </w:rPr>
        <w:t>uzavřené mezi</w:t>
      </w:r>
    </w:p>
    <w:tbl>
      <w:tblPr>
        <w:tblOverlap w:val="never"/>
        <w:jc w:val="left"/>
        <w:tblLayout w:type="fixed"/>
      </w:tblPr>
      <w:tblGrid>
        <w:gridCol w:w="2702"/>
        <w:gridCol w:w="5851"/>
      </w:tblGrid>
      <w:tr>
        <w:trPr>
          <w:trHeight w:val="60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22"/>
                <w:rFonts w:ascii="Times New Roman" w:eastAsia="Times New Roman" w:hAnsi="Times New Roman" w:cs="Times New Roman"/>
                <w:sz w:val="24"/>
                <w:szCs w:val="24"/>
              </w:rPr>
              <w:t>Jméno.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Style w:val="CharStyle22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Zdravotnická záchranná služba Jihomoravského kraje, příspěvková organizace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22"/>
                <w:rFonts w:ascii="Times New Roman" w:eastAsia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22"/>
                <w:rFonts w:ascii="Times New Roman" w:eastAsia="Times New Roman" w:hAnsi="Times New Roman" w:cs="Times New Roman"/>
                <w:sz w:val="24"/>
                <w:szCs w:val="24"/>
              </w:rPr>
              <w:t>Kamenice 798/1 d, 625 00 Brno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22"/>
                <w:rFonts w:ascii="Times New Roman" w:eastAsia="Times New Roman" w:hAnsi="Times New Roman" w:cs="Times New Roman"/>
                <w:sz w:val="24"/>
                <w:szCs w:val="24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22"/>
                <w:rFonts w:ascii="Times New Roman" w:eastAsia="Times New Roman" w:hAnsi="Times New Roman" w:cs="Times New Roman"/>
                <w:sz w:val="24"/>
                <w:szCs w:val="24"/>
              </w:rPr>
              <w:t>MUDr. Hana Albrechtová, ředitelka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22"/>
                <w:rFonts w:ascii="Times New Roman" w:eastAsia="Times New Roman" w:hAnsi="Times New Roman" w:cs="Times New Roman"/>
                <w:sz w:val="24"/>
                <w:szCs w:val="24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22"/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000000"/>
              </w:rPr>
              <w:t>..........</w:t>
            </w:r>
            <w:r>
              <w:rPr>
                <w:rStyle w:val="CharStyle22"/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000000"/>
              </w:rPr>
              <w:t>..</w:t>
            </w:r>
            <w:r>
              <w:rPr>
                <w:rStyle w:val="CharStyle22"/>
                <w:rFonts w:ascii="Times New Roman" w:eastAsia="Times New Roman" w:hAnsi="Times New Roman" w:cs="Times New Roman"/>
                <w:sz w:val="24"/>
                <w:szCs w:val="24"/>
                <w:shd w:val="clear" w:color="auto" w:fill="000000"/>
              </w:rPr>
              <w:t>​</w:t>
            </w:r>
            <w:r>
              <w:rPr>
                <w:rStyle w:val="CharStyle22"/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000000"/>
              </w:rPr>
              <w:t>..</w:t>
            </w:r>
            <w:r>
              <w:rPr>
                <w:rStyle w:val="CharStyle22"/>
                <w:rFonts w:ascii="Times New Roman" w:eastAsia="Times New Roman" w:hAnsi="Times New Roman" w:cs="Times New Roman"/>
                <w:spacing w:val="4"/>
                <w:sz w:val="24"/>
                <w:szCs w:val="24"/>
                <w:shd w:val="clear" w:color="auto" w:fill="000000"/>
              </w:rPr>
              <w:t>...........</w:t>
            </w:r>
            <w:r>
              <w:rPr>
                <w:rStyle w:val="CharStyle22"/>
                <w:rFonts w:ascii="Times New Roman" w:eastAsia="Times New Roman" w:hAnsi="Times New Roman" w:cs="Times New Roman"/>
                <w:sz w:val="24"/>
                <w:szCs w:val="24"/>
                <w:shd w:val="clear" w:color="auto" w:fill="000000"/>
              </w:rPr>
              <w:t>​</w:t>
            </w:r>
            <w:r>
              <w:rPr>
                <w:rStyle w:val="CharStyle22"/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000000"/>
              </w:rPr>
              <w:t>.</w:t>
            </w:r>
            <w:r>
              <w:rPr>
                <w:rStyle w:val="CharStyle22"/>
                <w:rFonts w:ascii="Times New Roman" w:eastAsia="Times New Roman" w:hAnsi="Times New Roman" w:cs="Times New Roman"/>
                <w:spacing w:val="4"/>
                <w:sz w:val="24"/>
                <w:szCs w:val="24"/>
                <w:shd w:val="clear" w:color="auto" w:fill="000000"/>
              </w:rPr>
              <w:t>..............</w:t>
            </w:r>
            <w:r>
              <w:rPr>
                <w:rStyle w:val="CharStyle22"/>
                <w:rFonts w:ascii="Times New Roman" w:eastAsia="Times New Roman" w:hAnsi="Times New Roman" w:cs="Times New Roman"/>
                <w:sz w:val="24"/>
                <w:szCs w:val="24"/>
                <w:shd w:val="clear" w:color="auto" w:fill="000000"/>
              </w:rPr>
              <w:t>​...............</w:t>
            </w:r>
            <w:r>
              <w:rPr>
                <w:rStyle w:val="CharStyle22"/>
                <w:rFonts w:ascii="Times New Roman" w:eastAsia="Times New Roman" w:hAnsi="Times New Roman" w:cs="Times New Roman"/>
                <w:spacing w:val="1"/>
                <w:sz w:val="24"/>
                <w:szCs w:val="24"/>
                <w:shd w:val="clear" w:color="auto" w:fill="000000"/>
              </w:rPr>
              <w:t>.</w:t>
            </w:r>
            <w:r>
              <w:rPr>
                <w:rStyle w:val="CharStyle22"/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000000"/>
                <w:lang w:val="en-US" w:eastAsia="en-US" w:bidi="en-US"/>
              </w:rPr>
              <w:t>​...............</w:t>
            </w:r>
            <w:r>
              <w:rPr>
                <w:rStyle w:val="CharStyle22"/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22"/>
                <w:rFonts w:ascii="Times New Roman" w:eastAsia="Times New Roman" w:hAnsi="Times New Roman" w:cs="Times New Roman"/>
                <w:sz w:val="24"/>
                <w:szCs w:val="24"/>
              </w:rPr>
              <w:t>IČ: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22"/>
                <w:rFonts w:ascii="Times New Roman" w:eastAsia="Times New Roman" w:hAnsi="Times New Roman" w:cs="Times New Roman"/>
                <w:sz w:val="24"/>
                <w:szCs w:val="24"/>
              </w:rPr>
              <w:t>00346292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22"/>
                <w:rFonts w:ascii="Times New Roman" w:eastAsia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22"/>
                <w:rFonts w:ascii="Times New Roman" w:eastAsia="Times New Roman" w:hAnsi="Times New Roman" w:cs="Times New Roman"/>
                <w:sz w:val="24"/>
                <w:szCs w:val="24"/>
              </w:rPr>
              <w:t>CZ00346292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22"/>
                <w:rFonts w:ascii="Times New Roman" w:eastAsia="Times New Roman" w:hAnsi="Times New Roman" w:cs="Times New Roman"/>
                <w:sz w:val="24"/>
                <w:szCs w:val="24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22"/>
                <w:rFonts w:ascii="Times New Roman" w:eastAsia="Times New Roman" w:hAnsi="Times New Roman" w:cs="Times New Roman"/>
                <w:sz w:val="24"/>
                <w:szCs w:val="24"/>
              </w:rPr>
              <w:t>Krajský soud v Brně sp. zn. Pr 1245</w:t>
            </w:r>
          </w:p>
        </w:tc>
      </w:tr>
      <w:tr>
        <w:trPr>
          <w:trHeight w:val="58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22"/>
                <w:rFonts w:ascii="Times New Roman" w:eastAsia="Times New Roman" w:hAnsi="Times New Roman" w:cs="Times New Roman"/>
                <w:sz w:val="24"/>
                <w:szCs w:val="24"/>
              </w:rPr>
              <w:t>Bankovní spojení (č. účtu): (dále jen „půjčitel“)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22"/>
                <w:rFonts w:ascii="Times New Roman" w:eastAsia="Times New Roman" w:hAnsi="Times New Roman" w:cs="Times New Roman"/>
                <w:sz w:val="24"/>
                <w:szCs w:val="24"/>
              </w:rPr>
              <w:t>MONETA Money Bank, a. s., č.ú : 117203514/0600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11"/>
        </w:rPr>
        <w:t>a</w:t>
      </w:r>
    </w:p>
    <w:p>
      <w:pPr>
        <w:pStyle w:val="Style19"/>
        <w:keepNext/>
        <w:keepLines/>
        <w:widowControl w:val="0"/>
        <w:shd w:val="clear" w:color="auto" w:fill="auto"/>
        <w:tabs>
          <w:tab w:pos="2772" w:val="left"/>
        </w:tabs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rStyle w:val="CharStyle20"/>
        </w:rPr>
        <w:t>Jméno:</w:t>
        <w:tab/>
      </w:r>
      <w:r>
        <w:rPr>
          <w:rStyle w:val="CharStyle20"/>
          <w:b/>
          <w:bCs/>
        </w:rPr>
        <w:t>Česká republika - Krajské ředitelství policie</w:t>
      </w:r>
      <w:bookmarkEnd w:id="4"/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2820" w:right="0" w:firstLine="0"/>
        <w:jc w:val="left"/>
      </w:pPr>
      <w:r>
        <w:rPr>
          <w:rStyle w:val="CharStyle20"/>
          <w:b/>
          <w:bCs/>
        </w:rPr>
        <w:t>Jihomoravského kraje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772" w:val="left"/>
          <w:tab w:pos="4610" w:val="center"/>
          <w:tab w:pos="5139" w:val="center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Sídlo:</w:t>
        <w:tab/>
        <w:t>Kounicova 24,</w:t>
        <w:tab/>
        <w:t>611 32</w:t>
        <w:tab/>
        <w:t>Brno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772" w:val="left"/>
          <w:tab w:pos="4610" w:val="center"/>
          <w:tab w:pos="5890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Jednající:</w:t>
        <w:tab/>
        <w:t>brig. gen. Ing.</w:t>
        <w:tab/>
        <w:t>Leoš Tržil,</w:t>
        <w:tab/>
        <w:t>MBA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77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IČ:</w:t>
        <w:tab/>
        <w:t>75151499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77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DIČ:</w:t>
        <w:tab/>
        <w:t>CZ75151499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11"/>
        </w:rPr>
        <w:t>(dále jen „vypůjčitel“)</w:t>
      </w:r>
    </w:p>
    <w:p>
      <w:pPr>
        <w:pStyle w:val="Style19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4380" w:right="0" w:firstLine="0"/>
        <w:jc w:val="left"/>
      </w:pPr>
      <w:bookmarkStart w:id="7" w:name="bookmark7"/>
      <w:bookmarkEnd w:id="7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11"/>
        </w:rPr>
        <w:t>Tímto dodatkem se mění příloha Č. 1.</w:t>
      </w:r>
    </w:p>
    <w:p>
      <w:pPr>
        <w:pStyle w:val="Style19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9" w:name="bookmark9"/>
      <w:bookmarkEnd w:id="9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11"/>
        </w:rPr>
        <w:t>Ostatní ujednání smlouvy nejsou tímto dodatkem nijak dotčena.</w:t>
      </w:r>
    </w:p>
    <w:p>
      <w:pPr>
        <w:pStyle w:val="Style19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1" w:name="bookmark11"/>
      <w:bookmarkEnd w:id="11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11"/>
        </w:rPr>
        <w:t>Tento dodatek lze změnit nebo zrušit pouze jinou písemnou dohodou obou smluvních stran.</w:t>
      </w:r>
    </w:p>
    <w:p>
      <w:pPr>
        <w:pStyle w:val="Style19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3" w:name="bookmark13"/>
      <w:bookmarkEnd w:id="13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11"/>
        </w:rPr>
        <w:t>Tento dodatek nabývá účinnosti dnem podpisu.</w:t>
      </w:r>
    </w:p>
    <w:p>
      <w:pPr>
        <w:pStyle w:val="Style19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4380" w:right="0" w:firstLine="0"/>
        <w:jc w:val="left"/>
      </w:pPr>
      <w:bookmarkStart w:id="15" w:name="bookmark15"/>
      <w:bookmarkEnd w:id="15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11"/>
        </w:rPr>
        <w:t>Dáno ve čtyřech originálních písemných vyhotoveních, z nichž každá ze stran obdrží po dvou vyhotoveních.</w:t>
      </w:r>
    </w:p>
    <w:p>
      <w:pPr>
        <w:widowControl w:val="0"/>
        <w:spacing w:after="2429" w:line="1" w:lineRule="exact"/>
      </w:pPr>
      <w:r>
        <w:drawing>
          <wp:anchor distT="179705" distB="176530" distL="15240" distR="0" simplePos="0" relativeHeight="62914690" behindDoc="1" locked="0" layoutInCell="1" allowOverlap="1">
            <wp:simplePos x="0" y="0"/>
            <wp:positionH relativeFrom="page">
              <wp:posOffset>773430</wp:posOffset>
            </wp:positionH>
            <wp:positionV relativeFrom="paragraph">
              <wp:posOffset>179705</wp:posOffset>
            </wp:positionV>
            <wp:extent cx="2401570" cy="73152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401570" cy="7315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1660525</wp:posOffset>
                </wp:positionH>
                <wp:positionV relativeFrom="paragraph">
                  <wp:posOffset>0</wp:posOffset>
                </wp:positionV>
                <wp:extent cx="746760" cy="17970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676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0 3 -02- 2022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30.75pt;margin-top:0;width:58.800000000000004pt;height:14.1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sz w:val="18"/>
                          <w:szCs w:val="18"/>
                        </w:rPr>
                        <w:t>0 3 -02- 2022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911225</wp:posOffset>
                </wp:positionV>
                <wp:extent cx="1630680" cy="17653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068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</w:t>
                            </w:r>
                            <w:r>
                              <w:rPr>
                                <w:rStyle w:val="CharStyle3"/>
                                <w:spacing w:val="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"/>
                                <w:spacing w:val="9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3"/>
                                <w:spacing w:val="3"/>
                                <w:shd w:val="clear" w:color="auto" w:fill="000000"/>
                              </w:rPr>
                              <w:t>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9.700000000000003pt;margin-top:71.75pt;width:128.40000000000001pt;height:13.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</w:t>
                      </w:r>
                      <w:r>
                        <w:rPr>
                          <w:rStyle w:val="CharStyle3"/>
                          <w:spacing w:val="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spacing w:val="9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3"/>
                          <w:spacing w:val="3"/>
                          <w:shd w:val="clear" w:color="auto" w:fill="000000"/>
                        </w:rPr>
                        <w:t>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1" behindDoc="1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1090930</wp:posOffset>
                </wp:positionV>
                <wp:extent cx="563880" cy="39941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3880" cy="3994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 xml:space="preserve">ředitelka </w:t>
                            </w:r>
                            <w:r>
                              <w:rPr>
                                <w:rStyle w:val="CharStyle11"/>
                                <w:b/>
                                <w:bCs/>
                              </w:rPr>
                              <w:t>půjčitel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9.950000000000003pt;margin-top:85.900000000000006pt;width:44.399999999999999pt;height:31.449999999999999pt;z-index:-188744062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 xml:space="preserve">ředitelka </w:t>
                      </w:r>
                      <w:r>
                        <w:rPr>
                          <w:rStyle w:val="CharStyle11"/>
                          <w:b/>
                          <w:bCs/>
                        </w:rPr>
                        <w:t>půjčitel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3919220</wp:posOffset>
            </wp:positionH>
            <wp:positionV relativeFrom="paragraph">
              <wp:posOffset>79375</wp:posOffset>
            </wp:positionV>
            <wp:extent cx="2755265" cy="146304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755265" cy="1463040"/>
                    </a:xfrm>
                    <a:prstGeom prst="rect"/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Overlap w:val="never"/>
        <w:jc w:val="center"/>
        <w:tblLayout w:type="fixed"/>
      </w:tblPr>
      <w:tblGrid>
        <w:gridCol w:w="2155"/>
        <w:gridCol w:w="1877"/>
        <w:gridCol w:w="1704"/>
        <w:gridCol w:w="1272"/>
        <w:gridCol w:w="2102"/>
      </w:tblGrid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20"/>
                <w:szCs w:val="20"/>
              </w:rPr>
            </w:pPr>
            <w:r>
              <w:rPr>
                <w:rStyle w:val="CharStyle22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2"/>
                <w:b/>
                <w:bCs/>
                <w:sz w:val="20"/>
                <w:szCs w:val="20"/>
              </w:rPr>
              <w:t>Inventární číslo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2"/>
                <w:b/>
                <w:bCs/>
                <w:sz w:val="20"/>
                <w:szCs w:val="20"/>
              </w:rPr>
              <w:t>Výrobní číslo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2"/>
                <w:b/>
                <w:bCs/>
                <w:sz w:val="20"/>
                <w:szCs w:val="20"/>
              </w:rPr>
              <w:t>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2"/>
                <w:b/>
                <w:bCs/>
                <w:sz w:val="20"/>
                <w:szCs w:val="20"/>
              </w:rPr>
              <w:t>Cena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20141497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43026433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20141498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43026434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20141499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43026435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20141500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43026436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20141501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43026437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20141502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43026438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20141503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43026439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20141504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43026440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20141505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43026441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20141506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43026442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20141507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43026443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20141508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43026444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20141509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43026445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20141510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43026446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20141511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43026447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20160099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44730397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44730398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44730399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44730401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44730403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44730404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44730405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44730407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44730408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44730409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44730410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44730411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44730412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44730413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44730414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44730416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44730417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44730418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44730420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2"/>
              </w:rPr>
              <w:t>AED Lifepack 1020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22"/>
              </w:rPr>
              <w:t>20160118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22"/>
              </w:rPr>
              <w:t>49646069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22"/>
              </w:rPr>
              <w:t>39 930,00 Kč</w:t>
            </w:r>
          </w:p>
        </w:tc>
      </w:tr>
    </w:tbl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31750" distL="114300" distR="1732915" simplePos="0" relativeHeight="125829378" behindDoc="0" locked="0" layoutInCell="1" allowOverlap="1">
                <wp:simplePos x="0" y="0"/>
                <wp:positionH relativeFrom="page">
                  <wp:posOffset>1070610</wp:posOffset>
                </wp:positionH>
                <wp:positionV relativeFrom="margin">
                  <wp:posOffset>499745</wp:posOffset>
                </wp:positionV>
                <wp:extent cx="648970" cy="18288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897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Příloha č. 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84.299999999999997pt;margin-top:39.350000000000001pt;width:51.100000000000001pt;height:14.4pt;z-index:-125829375;mso-wrap-distance-left:9.pt;mso-wrap-distance-right:136.44999999999999pt;mso-wrap-distance-bottom:2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Příloha č. 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350" distB="25400" distL="1455420" distR="114300" simplePos="0" relativeHeight="125829380" behindDoc="0" locked="0" layoutInCell="1" allowOverlap="1">
                <wp:simplePos x="0" y="0"/>
                <wp:positionH relativeFrom="page">
                  <wp:posOffset>2411730</wp:posOffset>
                </wp:positionH>
                <wp:positionV relativeFrom="margin">
                  <wp:posOffset>506095</wp:posOffset>
                </wp:positionV>
                <wp:extent cx="926465" cy="18288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646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>Specifikace AED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89.90000000000001pt;margin-top:39.850000000000001pt;width:72.950000000000003pt;height:14.4pt;z-index:-125829373;mso-wrap-distance-left:114.60000000000001pt;mso-wrap-distance-top:0.5pt;mso-wrap-distance-right:9.pt;mso-wrap-distance-bottom:2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Specifikace AED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CharStyle34"/>
        </w:rPr>
        <w:t>Všechny přístroje mají prohlášení o shodě a návod k obsluze.</w:t>
      </w:r>
    </w:p>
    <w:sectPr>
      <w:footnotePr>
        <w:pos w:val="pageBottom"/>
        <w:numFmt w:val="decimal"/>
        <w:numRestart w:val="continuous"/>
      </w:footnotePr>
      <w:pgSz w:w="11900" w:h="16840"/>
      <w:pgMar w:top="248" w:right="592" w:bottom="2746" w:left="1180" w:header="0" w:footer="231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Základní text (2)_"/>
    <w:basedOn w:val="DefaultParagraphFont"/>
    <w:link w:val="Style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Nadpis #1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CharStyle20">
    <w:name w:val="Nadpis #2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2">
    <w:name w:val="Jiné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4">
    <w:name w:val="Titulek tabulky_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3">
    <w:name w:val="Základní text (2)"/>
    <w:basedOn w:val="Normal"/>
    <w:link w:val="CharStyle14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auto"/>
      <w:spacing w:after="4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paragraph" w:customStyle="1" w:styleId="Style19">
    <w:name w:val="Nadpis #2"/>
    <w:basedOn w:val="Normal"/>
    <w:link w:val="CharStyle20"/>
    <w:pPr>
      <w:widowControl w:val="0"/>
      <w:shd w:val="clear" w:color="auto" w:fill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1">
    <w:name w:val="Jiné"/>
    <w:basedOn w:val="Normal"/>
    <w:link w:val="CharStyle22"/>
    <w:pPr>
      <w:widowControl w:val="0"/>
      <w:shd w:val="clear" w:color="auto" w:fill="auto"/>
      <w:ind w:firstLine="3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3">
    <w:name w:val="Titulek tabulky"/>
    <w:basedOn w:val="Normal"/>
    <w:link w:val="CharStyle3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