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EDBA" w14:textId="77777777" w:rsidR="00E61AF4" w:rsidRDefault="009556DC">
      <w:pPr>
        <w:pStyle w:val="Zkladntext20"/>
        <w:pBdr>
          <w:top w:val="single" w:sz="4" w:space="0" w:color="auto"/>
          <w:left w:val="single" w:sz="4" w:space="0" w:color="auto"/>
          <w:bottom w:val="single" w:sz="4" w:space="0" w:color="auto"/>
          <w:right w:val="single" w:sz="4" w:space="0" w:color="auto"/>
        </w:pBdr>
        <w:shd w:val="clear" w:color="auto" w:fill="auto"/>
        <w:spacing w:line="341" w:lineRule="auto"/>
        <w:ind w:left="6680" w:right="0" w:firstLine="20"/>
      </w:pPr>
      <w:r>
        <w:t>KRAJSKÁ SPRÁVA A ÚDRŽBA SILNIC VYSOČINY příspěvková organizace</w:t>
      </w:r>
    </w:p>
    <w:p w14:paraId="7E93B4E2" w14:textId="2B8F2E74" w:rsidR="00E61AF4" w:rsidRDefault="009556DC">
      <w:pPr>
        <w:pStyle w:val="Zkladntext20"/>
        <w:pBdr>
          <w:top w:val="single" w:sz="4" w:space="0" w:color="auto"/>
          <w:left w:val="single" w:sz="4" w:space="0" w:color="auto"/>
          <w:bottom w:val="single" w:sz="4" w:space="0" w:color="auto"/>
          <w:right w:val="single" w:sz="4" w:space="0" w:color="auto"/>
        </w:pBdr>
        <w:shd w:val="clear" w:color="auto" w:fill="auto"/>
        <w:spacing w:line="665" w:lineRule="auto"/>
        <w:ind w:left="6640" w:right="720" w:firstLine="0"/>
        <w:jc w:val="right"/>
      </w:pPr>
      <w:r>
        <w:t>SMLOUVA REGISTROVÁNA</w:t>
      </w:r>
      <w:r>
        <w:t xml:space="preserve"> </w:t>
      </w:r>
      <w:r>
        <w:rPr>
          <w:u w:val="single"/>
        </w:rPr>
        <w:t>pod číslem:</w:t>
      </w:r>
      <w:r>
        <w:t xml:space="preserve"> </w:t>
      </w:r>
    </w:p>
    <w:p w14:paraId="038F4AC6" w14:textId="77777777" w:rsidR="00E61AF4" w:rsidRDefault="009556DC">
      <w:pPr>
        <w:pStyle w:val="Nadpis10"/>
        <w:keepNext/>
        <w:keepLines/>
        <w:shd w:val="clear" w:color="auto" w:fill="auto"/>
      </w:pPr>
      <w:bookmarkStart w:id="0" w:name="bookmark0"/>
      <w:bookmarkStart w:id="1" w:name="bookmark1"/>
      <w:r>
        <w:t>Závěrkový list č. PL-20230629-3100-4</w:t>
      </w:r>
      <w:bookmarkEnd w:id="0"/>
      <w:bookmarkEnd w:id="1"/>
    </w:p>
    <w:p w14:paraId="2B344D65" w14:textId="77777777" w:rsidR="00E61AF4" w:rsidRDefault="009556DC">
      <w:pPr>
        <w:pStyle w:val="Zkladntext1"/>
        <w:shd w:val="clear" w:color="auto" w:fill="auto"/>
        <w:spacing w:line="240" w:lineRule="auto"/>
        <w:jc w:val="center"/>
      </w:pPr>
      <w:r>
        <w:t>(pro burzovní obchody s plynem v rámci sdružených služeb dodávky plynu)</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14"/>
        <w:gridCol w:w="5664"/>
      </w:tblGrid>
      <w:tr w:rsidR="00E61AF4" w14:paraId="59B5E313" w14:textId="77777777">
        <w:tblPrEx>
          <w:tblCellMar>
            <w:top w:w="0" w:type="dxa"/>
            <w:bottom w:w="0" w:type="dxa"/>
          </w:tblCellMar>
        </w:tblPrEx>
        <w:trPr>
          <w:trHeight w:hRule="exact" w:val="365"/>
          <w:jc w:val="center"/>
        </w:trPr>
        <w:tc>
          <w:tcPr>
            <w:tcW w:w="3614" w:type="dxa"/>
            <w:shd w:val="clear" w:color="auto" w:fill="FFFFFF"/>
          </w:tcPr>
          <w:p w14:paraId="1089EFC4" w14:textId="77777777" w:rsidR="00E61AF4" w:rsidRDefault="009556DC">
            <w:pPr>
              <w:pStyle w:val="Jin0"/>
              <w:shd w:val="clear" w:color="auto" w:fill="auto"/>
              <w:spacing w:after="0" w:line="240" w:lineRule="auto"/>
            </w:pPr>
            <w:r>
              <w:t>Číslo aukce:</w:t>
            </w:r>
          </w:p>
        </w:tc>
        <w:tc>
          <w:tcPr>
            <w:tcW w:w="5664" w:type="dxa"/>
            <w:shd w:val="clear" w:color="auto" w:fill="FFFFFF"/>
          </w:tcPr>
          <w:p w14:paraId="16BFDE0A" w14:textId="77777777" w:rsidR="00E61AF4" w:rsidRDefault="009556DC">
            <w:pPr>
              <w:pStyle w:val="Jin0"/>
              <w:shd w:val="clear" w:color="auto" w:fill="auto"/>
              <w:spacing w:after="0" w:line="240" w:lineRule="auto"/>
              <w:ind w:firstLine="820"/>
            </w:pPr>
            <w:r>
              <w:t xml:space="preserve">Datum konání </w:t>
            </w:r>
            <w:r>
              <w:t>burzovního shromáždění: 29. června 2023</w:t>
            </w:r>
          </w:p>
        </w:tc>
      </w:tr>
      <w:tr w:rsidR="00E61AF4" w14:paraId="2112041E" w14:textId="77777777">
        <w:tblPrEx>
          <w:tblCellMar>
            <w:top w:w="0" w:type="dxa"/>
            <w:bottom w:w="0" w:type="dxa"/>
          </w:tblCellMar>
        </w:tblPrEx>
        <w:trPr>
          <w:trHeight w:hRule="exact" w:val="475"/>
          <w:jc w:val="center"/>
        </w:trPr>
        <w:tc>
          <w:tcPr>
            <w:tcW w:w="3614" w:type="dxa"/>
            <w:shd w:val="clear" w:color="auto" w:fill="FFFFFF"/>
            <w:vAlign w:val="center"/>
          </w:tcPr>
          <w:p w14:paraId="31D527A5" w14:textId="77777777" w:rsidR="00E61AF4" w:rsidRDefault="009556DC">
            <w:pPr>
              <w:pStyle w:val="Jin0"/>
              <w:shd w:val="clear" w:color="auto" w:fill="auto"/>
              <w:spacing w:after="0" w:line="240" w:lineRule="auto"/>
            </w:pPr>
            <w:r>
              <w:rPr>
                <w:b/>
                <w:bCs/>
              </w:rPr>
              <w:t>Dodavatel (prodávající):</w:t>
            </w:r>
          </w:p>
        </w:tc>
        <w:tc>
          <w:tcPr>
            <w:tcW w:w="5664" w:type="dxa"/>
            <w:shd w:val="clear" w:color="auto" w:fill="FFFFFF"/>
            <w:vAlign w:val="center"/>
          </w:tcPr>
          <w:p w14:paraId="595EB351" w14:textId="77777777" w:rsidR="00E61AF4" w:rsidRDefault="009556DC">
            <w:pPr>
              <w:pStyle w:val="Jin0"/>
              <w:shd w:val="clear" w:color="auto" w:fill="auto"/>
              <w:spacing w:after="0" w:line="240" w:lineRule="auto"/>
            </w:pPr>
            <w:r>
              <w:t>Pražská plynárenská, a. s.</w:t>
            </w:r>
          </w:p>
        </w:tc>
      </w:tr>
      <w:tr w:rsidR="00E61AF4" w14:paraId="5CFF7779" w14:textId="77777777">
        <w:tblPrEx>
          <w:tblCellMar>
            <w:top w:w="0" w:type="dxa"/>
            <w:bottom w:w="0" w:type="dxa"/>
          </w:tblCellMar>
        </w:tblPrEx>
        <w:trPr>
          <w:trHeight w:hRule="exact" w:val="566"/>
          <w:jc w:val="center"/>
        </w:trPr>
        <w:tc>
          <w:tcPr>
            <w:tcW w:w="3614" w:type="dxa"/>
            <w:shd w:val="clear" w:color="auto" w:fill="FFFFFF"/>
            <w:vAlign w:val="bottom"/>
          </w:tcPr>
          <w:p w14:paraId="4B34B6A2" w14:textId="77777777" w:rsidR="00E61AF4" w:rsidRDefault="009556DC">
            <w:pPr>
              <w:pStyle w:val="Jin0"/>
              <w:shd w:val="clear" w:color="auto" w:fill="auto"/>
              <w:spacing w:after="0" w:line="240" w:lineRule="auto"/>
            </w:pPr>
            <w:r>
              <w:t>Zapsán v:</w:t>
            </w:r>
          </w:p>
          <w:p w14:paraId="404F467C" w14:textId="77777777" w:rsidR="00E61AF4" w:rsidRDefault="009556DC">
            <w:pPr>
              <w:pStyle w:val="Jin0"/>
              <w:shd w:val="clear" w:color="auto" w:fill="auto"/>
              <w:spacing w:after="0" w:line="240" w:lineRule="auto"/>
            </w:pPr>
            <w:r>
              <w:t>Sídlo:</w:t>
            </w:r>
          </w:p>
        </w:tc>
        <w:tc>
          <w:tcPr>
            <w:tcW w:w="5664" w:type="dxa"/>
            <w:shd w:val="clear" w:color="auto" w:fill="FFFFFF"/>
            <w:vAlign w:val="bottom"/>
          </w:tcPr>
          <w:p w14:paraId="3C4FD086" w14:textId="77777777" w:rsidR="00E61AF4" w:rsidRDefault="009556DC">
            <w:pPr>
              <w:pStyle w:val="Jin0"/>
              <w:shd w:val="clear" w:color="auto" w:fill="auto"/>
              <w:spacing w:after="0"/>
            </w:pPr>
            <w:r>
              <w:t>OR vedeném Městským soudem v Praze, oddíl B, vložka 2337 Národní 37, 110 00 Praha 1 - Nové Město</w:t>
            </w:r>
          </w:p>
        </w:tc>
      </w:tr>
      <w:tr w:rsidR="00E61AF4" w14:paraId="74E307BE" w14:textId="77777777">
        <w:tblPrEx>
          <w:tblCellMar>
            <w:top w:w="0" w:type="dxa"/>
            <w:bottom w:w="0" w:type="dxa"/>
          </w:tblCellMar>
        </w:tblPrEx>
        <w:trPr>
          <w:trHeight w:hRule="exact" w:val="509"/>
          <w:jc w:val="center"/>
        </w:trPr>
        <w:tc>
          <w:tcPr>
            <w:tcW w:w="3614" w:type="dxa"/>
            <w:shd w:val="clear" w:color="auto" w:fill="FFFFFF"/>
          </w:tcPr>
          <w:p w14:paraId="4F975225" w14:textId="77777777" w:rsidR="00E61AF4" w:rsidRDefault="009556DC">
            <w:pPr>
              <w:pStyle w:val="Jin0"/>
              <w:shd w:val="clear" w:color="auto" w:fill="auto"/>
              <w:spacing w:after="0" w:line="240" w:lineRule="auto"/>
            </w:pPr>
            <w:r>
              <w:t>IČO: 60193492</w:t>
            </w:r>
          </w:p>
          <w:p w14:paraId="7B373293" w14:textId="77777777" w:rsidR="00E61AF4" w:rsidRDefault="009556DC">
            <w:pPr>
              <w:pStyle w:val="Jin0"/>
              <w:shd w:val="clear" w:color="auto" w:fill="auto"/>
              <w:spacing w:after="0" w:line="240" w:lineRule="auto"/>
            </w:pPr>
            <w:r>
              <w:t>Bankovní spojení:</w:t>
            </w:r>
          </w:p>
        </w:tc>
        <w:tc>
          <w:tcPr>
            <w:tcW w:w="5664" w:type="dxa"/>
            <w:shd w:val="clear" w:color="auto" w:fill="FFFFFF"/>
          </w:tcPr>
          <w:p w14:paraId="0F9C2924" w14:textId="77777777" w:rsidR="00E61AF4" w:rsidRDefault="009556DC">
            <w:pPr>
              <w:pStyle w:val="Jin0"/>
              <w:shd w:val="clear" w:color="auto" w:fill="auto"/>
              <w:spacing w:after="0" w:line="240" w:lineRule="auto"/>
            </w:pPr>
            <w:r>
              <w:t xml:space="preserve">DIČ: </w:t>
            </w:r>
            <w:r>
              <w:t>CZ60193492</w:t>
            </w:r>
          </w:p>
        </w:tc>
      </w:tr>
    </w:tbl>
    <w:p w14:paraId="44ACF0AB" w14:textId="77777777" w:rsidR="00E61AF4" w:rsidRDefault="009556DC">
      <w:pPr>
        <w:pStyle w:val="Titulektabulky0"/>
        <w:shd w:val="clear" w:color="auto" w:fill="auto"/>
        <w:ind w:left="19"/>
      </w:pPr>
      <w:r>
        <w:rPr>
          <w:b/>
          <w:bCs/>
        </w:rPr>
        <w:t>Zastoupen:</w:t>
      </w:r>
    </w:p>
    <w:p w14:paraId="3999B8A6" w14:textId="77777777" w:rsidR="00E61AF4" w:rsidRDefault="009556DC">
      <w:pPr>
        <w:pStyle w:val="Titulektabulky0"/>
        <w:shd w:val="clear" w:color="auto" w:fill="auto"/>
        <w:ind w:left="19"/>
      </w:pPr>
      <w:r>
        <w:t>Jméno a příjmení makléře: Evidenční číslo makléře:</w:t>
      </w:r>
    </w:p>
    <w:p w14:paraId="594D7AB1" w14:textId="77777777" w:rsidR="00E61AF4" w:rsidRDefault="00E61AF4">
      <w:pPr>
        <w:spacing w:after="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14"/>
        <w:gridCol w:w="5659"/>
      </w:tblGrid>
      <w:tr w:rsidR="00E61AF4" w14:paraId="570EEEDB" w14:textId="77777777">
        <w:tblPrEx>
          <w:tblCellMar>
            <w:top w:w="0" w:type="dxa"/>
            <w:bottom w:w="0" w:type="dxa"/>
          </w:tblCellMar>
        </w:tblPrEx>
        <w:trPr>
          <w:trHeight w:hRule="exact" w:val="509"/>
          <w:jc w:val="center"/>
        </w:trPr>
        <w:tc>
          <w:tcPr>
            <w:tcW w:w="3614" w:type="dxa"/>
            <w:shd w:val="clear" w:color="auto" w:fill="FFFFFF"/>
            <w:vAlign w:val="center"/>
          </w:tcPr>
          <w:p w14:paraId="0C68AF99" w14:textId="77777777" w:rsidR="00E61AF4" w:rsidRDefault="009556DC">
            <w:pPr>
              <w:pStyle w:val="Jin0"/>
              <w:shd w:val="clear" w:color="auto" w:fill="auto"/>
              <w:spacing w:after="0" w:line="240" w:lineRule="auto"/>
            </w:pPr>
            <w:r>
              <w:rPr>
                <w:b/>
                <w:bCs/>
              </w:rPr>
              <w:t>Odběratel (kupující):</w:t>
            </w:r>
          </w:p>
        </w:tc>
        <w:tc>
          <w:tcPr>
            <w:tcW w:w="5659" w:type="dxa"/>
            <w:shd w:val="clear" w:color="auto" w:fill="FFFFFF"/>
            <w:vAlign w:val="center"/>
          </w:tcPr>
          <w:p w14:paraId="27252526" w14:textId="77777777" w:rsidR="00E61AF4" w:rsidRDefault="009556DC">
            <w:pPr>
              <w:pStyle w:val="Jin0"/>
              <w:shd w:val="clear" w:color="auto" w:fill="auto"/>
              <w:spacing w:after="0" w:line="240" w:lineRule="auto"/>
            </w:pPr>
            <w:r>
              <w:t>Krajská správa a údržba silnic Vysočiny, příspěvková organizace</w:t>
            </w:r>
          </w:p>
        </w:tc>
      </w:tr>
      <w:tr w:rsidR="00E61AF4" w14:paraId="57FE6D96" w14:textId="77777777">
        <w:tblPrEx>
          <w:tblCellMar>
            <w:top w:w="0" w:type="dxa"/>
            <w:bottom w:w="0" w:type="dxa"/>
          </w:tblCellMar>
        </w:tblPrEx>
        <w:trPr>
          <w:trHeight w:hRule="exact" w:val="346"/>
          <w:jc w:val="center"/>
        </w:trPr>
        <w:tc>
          <w:tcPr>
            <w:tcW w:w="3614" w:type="dxa"/>
            <w:shd w:val="clear" w:color="auto" w:fill="FFFFFF"/>
            <w:vAlign w:val="bottom"/>
          </w:tcPr>
          <w:p w14:paraId="72EE2F68" w14:textId="77777777" w:rsidR="00E61AF4" w:rsidRDefault="009556DC">
            <w:pPr>
              <w:pStyle w:val="Jin0"/>
              <w:shd w:val="clear" w:color="auto" w:fill="auto"/>
              <w:spacing w:after="0" w:line="240" w:lineRule="auto"/>
            </w:pPr>
            <w:r>
              <w:t>Zapsán v:</w:t>
            </w:r>
          </w:p>
        </w:tc>
        <w:tc>
          <w:tcPr>
            <w:tcW w:w="5659" w:type="dxa"/>
            <w:shd w:val="clear" w:color="auto" w:fill="FFFFFF"/>
            <w:vAlign w:val="bottom"/>
          </w:tcPr>
          <w:p w14:paraId="369D9F8B" w14:textId="77777777" w:rsidR="00E61AF4" w:rsidRDefault="009556DC">
            <w:pPr>
              <w:pStyle w:val="Jin0"/>
              <w:shd w:val="clear" w:color="auto" w:fill="auto"/>
              <w:spacing w:after="0" w:line="240" w:lineRule="auto"/>
            </w:pPr>
            <w:r>
              <w:t>Registru ekonomických subjektů ČSÚ</w:t>
            </w:r>
          </w:p>
        </w:tc>
      </w:tr>
      <w:tr w:rsidR="00E61AF4" w14:paraId="23AAF825" w14:textId="77777777">
        <w:tblPrEx>
          <w:tblCellMar>
            <w:top w:w="0" w:type="dxa"/>
            <w:bottom w:w="0" w:type="dxa"/>
          </w:tblCellMar>
        </w:tblPrEx>
        <w:trPr>
          <w:trHeight w:hRule="exact" w:val="216"/>
          <w:jc w:val="center"/>
        </w:trPr>
        <w:tc>
          <w:tcPr>
            <w:tcW w:w="3614" w:type="dxa"/>
            <w:shd w:val="clear" w:color="auto" w:fill="FFFFFF"/>
          </w:tcPr>
          <w:p w14:paraId="56BF0861" w14:textId="77777777" w:rsidR="00E61AF4" w:rsidRDefault="009556DC">
            <w:pPr>
              <w:pStyle w:val="Jin0"/>
              <w:shd w:val="clear" w:color="auto" w:fill="auto"/>
              <w:spacing w:after="0" w:line="240" w:lineRule="auto"/>
            </w:pPr>
            <w:r>
              <w:t>Sídlo:</w:t>
            </w:r>
          </w:p>
        </w:tc>
        <w:tc>
          <w:tcPr>
            <w:tcW w:w="5659" w:type="dxa"/>
            <w:shd w:val="clear" w:color="auto" w:fill="FFFFFF"/>
          </w:tcPr>
          <w:p w14:paraId="79B158DC" w14:textId="77777777" w:rsidR="00E61AF4" w:rsidRDefault="009556DC">
            <w:pPr>
              <w:pStyle w:val="Jin0"/>
              <w:shd w:val="clear" w:color="auto" w:fill="auto"/>
              <w:spacing w:after="0" w:line="240" w:lineRule="auto"/>
            </w:pPr>
            <w:r>
              <w:t>Kosovská 1122/16, 586 01 Jihlava</w:t>
            </w:r>
          </w:p>
        </w:tc>
      </w:tr>
      <w:tr w:rsidR="00E61AF4" w14:paraId="65579D73" w14:textId="77777777">
        <w:tblPrEx>
          <w:tblCellMar>
            <w:top w:w="0" w:type="dxa"/>
            <w:bottom w:w="0" w:type="dxa"/>
          </w:tblCellMar>
        </w:tblPrEx>
        <w:trPr>
          <w:trHeight w:hRule="exact" w:val="509"/>
          <w:jc w:val="center"/>
        </w:trPr>
        <w:tc>
          <w:tcPr>
            <w:tcW w:w="3614" w:type="dxa"/>
            <w:shd w:val="clear" w:color="auto" w:fill="FFFFFF"/>
          </w:tcPr>
          <w:p w14:paraId="70FE5F9B" w14:textId="77777777" w:rsidR="00E61AF4" w:rsidRDefault="009556DC">
            <w:pPr>
              <w:pStyle w:val="Jin0"/>
              <w:shd w:val="clear" w:color="auto" w:fill="auto"/>
              <w:spacing w:after="0" w:line="240" w:lineRule="auto"/>
            </w:pPr>
            <w:r>
              <w:t>IČO: 00090450</w:t>
            </w:r>
          </w:p>
          <w:p w14:paraId="69A6B80A" w14:textId="77777777" w:rsidR="00E61AF4" w:rsidRDefault="009556DC">
            <w:pPr>
              <w:pStyle w:val="Jin0"/>
              <w:shd w:val="clear" w:color="auto" w:fill="auto"/>
              <w:spacing w:after="0" w:line="240" w:lineRule="auto"/>
            </w:pPr>
            <w:r>
              <w:t>Bankovní spojení:</w:t>
            </w:r>
          </w:p>
        </w:tc>
        <w:tc>
          <w:tcPr>
            <w:tcW w:w="5659" w:type="dxa"/>
            <w:shd w:val="clear" w:color="auto" w:fill="FFFFFF"/>
          </w:tcPr>
          <w:p w14:paraId="3BEF45DA" w14:textId="77777777" w:rsidR="00E61AF4" w:rsidRDefault="009556DC">
            <w:pPr>
              <w:pStyle w:val="Jin0"/>
              <w:shd w:val="clear" w:color="auto" w:fill="auto"/>
              <w:spacing w:after="0" w:line="240" w:lineRule="auto"/>
            </w:pPr>
            <w:r>
              <w:t>DIČ: CZ00090450</w:t>
            </w:r>
          </w:p>
        </w:tc>
      </w:tr>
    </w:tbl>
    <w:p w14:paraId="6D403C23" w14:textId="77777777" w:rsidR="00E61AF4" w:rsidRDefault="009556DC">
      <w:pPr>
        <w:pStyle w:val="Titulektabulky0"/>
        <w:shd w:val="clear" w:color="auto" w:fill="auto"/>
        <w:ind w:left="10"/>
      </w:pPr>
      <w:r>
        <w:rPr>
          <w:b/>
          <w:bCs/>
        </w:rPr>
        <w:t>Zastoupen:</w:t>
      </w:r>
    </w:p>
    <w:p w14:paraId="544FF21D" w14:textId="77777777" w:rsidR="00E61AF4" w:rsidRDefault="009556DC">
      <w:pPr>
        <w:pStyle w:val="Titulektabulky0"/>
        <w:shd w:val="clear" w:color="auto" w:fill="auto"/>
        <w:ind w:left="10"/>
      </w:pPr>
      <w:r>
        <w:t>Jméno a příjmení makléře: Evidenční číslo makléře:</w:t>
      </w:r>
    </w:p>
    <w:p w14:paraId="1A0835DA" w14:textId="77777777" w:rsidR="00E61AF4" w:rsidRDefault="00E61AF4">
      <w:pPr>
        <w:spacing w:after="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14"/>
        <w:gridCol w:w="5659"/>
      </w:tblGrid>
      <w:tr w:rsidR="00E61AF4" w14:paraId="72FB4E6A" w14:textId="77777777">
        <w:tblPrEx>
          <w:tblCellMar>
            <w:top w:w="0" w:type="dxa"/>
            <w:bottom w:w="0" w:type="dxa"/>
          </w:tblCellMar>
        </w:tblPrEx>
        <w:trPr>
          <w:trHeight w:hRule="exact" w:val="734"/>
          <w:jc w:val="center"/>
        </w:trPr>
        <w:tc>
          <w:tcPr>
            <w:tcW w:w="3614" w:type="dxa"/>
            <w:shd w:val="clear" w:color="auto" w:fill="FFFFFF"/>
            <w:vAlign w:val="center"/>
          </w:tcPr>
          <w:p w14:paraId="4806B493" w14:textId="77777777" w:rsidR="00E61AF4" w:rsidRDefault="009556DC">
            <w:pPr>
              <w:pStyle w:val="Jin0"/>
              <w:shd w:val="clear" w:color="auto" w:fill="auto"/>
              <w:spacing w:after="0" w:line="240" w:lineRule="auto"/>
            </w:pPr>
            <w:r>
              <w:rPr>
                <w:b/>
                <w:bCs/>
              </w:rPr>
              <w:t>Popis produktu:</w:t>
            </w:r>
          </w:p>
        </w:tc>
        <w:tc>
          <w:tcPr>
            <w:tcW w:w="5659" w:type="dxa"/>
            <w:shd w:val="clear" w:color="auto" w:fill="FFFFFF"/>
            <w:vAlign w:val="center"/>
          </w:tcPr>
          <w:p w14:paraId="444A5713" w14:textId="77777777" w:rsidR="00E61AF4" w:rsidRDefault="009556DC">
            <w:pPr>
              <w:pStyle w:val="Jin0"/>
              <w:shd w:val="clear" w:color="auto" w:fill="auto"/>
              <w:spacing w:after="0"/>
            </w:pPr>
            <w:r>
              <w:rPr>
                <w:b/>
                <w:bCs/>
              </w:rPr>
              <w:t xml:space="preserve">Dodávka zemního plynu v rámci sdružených služeb dodávky zemního plynu pro odběr do 630 </w:t>
            </w:r>
            <w:proofErr w:type="spellStart"/>
            <w:r>
              <w:rPr>
                <w:b/>
                <w:bCs/>
              </w:rPr>
              <w:t>MWh</w:t>
            </w:r>
            <w:proofErr w:type="spellEnd"/>
            <w:r>
              <w:rPr>
                <w:b/>
                <w:bCs/>
              </w:rPr>
              <w:t xml:space="preserve"> (plyn - maloodběr)</w:t>
            </w:r>
          </w:p>
        </w:tc>
      </w:tr>
      <w:tr w:rsidR="00E61AF4" w14:paraId="031DE203" w14:textId="77777777">
        <w:tblPrEx>
          <w:tblCellMar>
            <w:top w:w="0" w:type="dxa"/>
            <w:bottom w:w="0" w:type="dxa"/>
          </w:tblCellMar>
        </w:tblPrEx>
        <w:trPr>
          <w:trHeight w:hRule="exact" w:val="461"/>
          <w:jc w:val="center"/>
        </w:trPr>
        <w:tc>
          <w:tcPr>
            <w:tcW w:w="3614" w:type="dxa"/>
            <w:shd w:val="clear" w:color="auto" w:fill="FFFFFF"/>
            <w:vAlign w:val="center"/>
          </w:tcPr>
          <w:p w14:paraId="2DFC2288" w14:textId="77777777" w:rsidR="00E61AF4" w:rsidRDefault="009556DC">
            <w:pPr>
              <w:pStyle w:val="Jin0"/>
              <w:shd w:val="clear" w:color="auto" w:fill="auto"/>
              <w:spacing w:after="0" w:line="240" w:lineRule="auto"/>
            </w:pPr>
            <w:r>
              <w:rPr>
                <w:b/>
                <w:bCs/>
              </w:rPr>
              <w:t xml:space="preserve">Počet </w:t>
            </w:r>
            <w:r>
              <w:rPr>
                <w:b/>
                <w:bCs/>
              </w:rPr>
              <w:t>odběrných míst:</w:t>
            </w:r>
          </w:p>
        </w:tc>
        <w:tc>
          <w:tcPr>
            <w:tcW w:w="5659" w:type="dxa"/>
            <w:shd w:val="clear" w:color="auto" w:fill="FFFFFF"/>
            <w:vAlign w:val="center"/>
          </w:tcPr>
          <w:p w14:paraId="3CC59625" w14:textId="77777777" w:rsidR="00E61AF4" w:rsidRDefault="009556DC">
            <w:pPr>
              <w:pStyle w:val="Jin0"/>
              <w:shd w:val="clear" w:color="auto" w:fill="auto"/>
              <w:spacing w:after="0" w:line="240" w:lineRule="auto"/>
            </w:pPr>
            <w:r>
              <w:rPr>
                <w:b/>
                <w:bCs/>
              </w:rPr>
              <w:t>21</w:t>
            </w:r>
          </w:p>
        </w:tc>
      </w:tr>
      <w:tr w:rsidR="00E61AF4" w14:paraId="3B99AF90" w14:textId="77777777">
        <w:tblPrEx>
          <w:tblCellMar>
            <w:top w:w="0" w:type="dxa"/>
            <w:bottom w:w="0" w:type="dxa"/>
          </w:tblCellMar>
        </w:tblPrEx>
        <w:trPr>
          <w:trHeight w:hRule="exact" w:val="461"/>
          <w:jc w:val="center"/>
        </w:trPr>
        <w:tc>
          <w:tcPr>
            <w:tcW w:w="3614" w:type="dxa"/>
            <w:shd w:val="clear" w:color="auto" w:fill="FFFFFF"/>
            <w:vAlign w:val="center"/>
          </w:tcPr>
          <w:p w14:paraId="2C743507" w14:textId="77777777" w:rsidR="00E61AF4" w:rsidRDefault="009556DC">
            <w:pPr>
              <w:pStyle w:val="Jin0"/>
              <w:shd w:val="clear" w:color="auto" w:fill="auto"/>
              <w:spacing w:after="0" w:line="240" w:lineRule="auto"/>
            </w:pPr>
            <w:r>
              <w:rPr>
                <w:b/>
                <w:bCs/>
              </w:rPr>
              <w:t>Termín dodávky:</w:t>
            </w:r>
          </w:p>
        </w:tc>
        <w:tc>
          <w:tcPr>
            <w:tcW w:w="5659" w:type="dxa"/>
            <w:shd w:val="clear" w:color="auto" w:fill="FFFFFF"/>
            <w:vAlign w:val="center"/>
          </w:tcPr>
          <w:p w14:paraId="01232045" w14:textId="77777777" w:rsidR="00E61AF4" w:rsidRDefault="009556DC">
            <w:pPr>
              <w:pStyle w:val="Jin0"/>
              <w:shd w:val="clear" w:color="auto" w:fill="auto"/>
              <w:spacing w:after="0" w:line="240" w:lineRule="auto"/>
            </w:pPr>
            <w:r>
              <w:rPr>
                <w:b/>
                <w:bCs/>
              </w:rPr>
              <w:t>1. 1.2024-31. 12.2024</w:t>
            </w:r>
          </w:p>
        </w:tc>
      </w:tr>
      <w:tr w:rsidR="00E61AF4" w14:paraId="00ABF21E" w14:textId="77777777">
        <w:tblPrEx>
          <w:tblCellMar>
            <w:top w:w="0" w:type="dxa"/>
            <w:bottom w:w="0" w:type="dxa"/>
          </w:tblCellMar>
        </w:tblPrEx>
        <w:trPr>
          <w:trHeight w:hRule="exact" w:val="451"/>
          <w:jc w:val="center"/>
        </w:trPr>
        <w:tc>
          <w:tcPr>
            <w:tcW w:w="3614" w:type="dxa"/>
            <w:shd w:val="clear" w:color="auto" w:fill="FFFFFF"/>
            <w:vAlign w:val="center"/>
          </w:tcPr>
          <w:p w14:paraId="11F0FF82" w14:textId="77777777" w:rsidR="00E61AF4" w:rsidRDefault="009556DC">
            <w:pPr>
              <w:pStyle w:val="Jin0"/>
              <w:shd w:val="clear" w:color="auto" w:fill="auto"/>
              <w:spacing w:after="0" w:line="240" w:lineRule="auto"/>
            </w:pPr>
            <w:r>
              <w:rPr>
                <w:b/>
                <w:bCs/>
              </w:rPr>
              <w:t>Celkové množství dodávky:</w:t>
            </w:r>
          </w:p>
        </w:tc>
        <w:tc>
          <w:tcPr>
            <w:tcW w:w="5659" w:type="dxa"/>
            <w:shd w:val="clear" w:color="auto" w:fill="FFFFFF"/>
            <w:vAlign w:val="center"/>
          </w:tcPr>
          <w:p w14:paraId="6586D526" w14:textId="77777777" w:rsidR="00E61AF4" w:rsidRDefault="009556DC">
            <w:pPr>
              <w:pStyle w:val="Jin0"/>
              <w:shd w:val="clear" w:color="auto" w:fill="auto"/>
              <w:spacing w:after="0" w:line="240" w:lineRule="auto"/>
              <w:ind w:firstLine="620"/>
            </w:pPr>
            <w:r>
              <w:rPr>
                <w:b/>
                <w:bCs/>
              </w:rPr>
              <w:t xml:space="preserve">2 581 </w:t>
            </w:r>
            <w:proofErr w:type="spellStart"/>
            <w:r>
              <w:rPr>
                <w:b/>
                <w:bCs/>
              </w:rPr>
              <w:t>MWh</w:t>
            </w:r>
            <w:proofErr w:type="spellEnd"/>
          </w:p>
        </w:tc>
      </w:tr>
      <w:tr w:rsidR="00E61AF4" w14:paraId="632BAD16" w14:textId="77777777">
        <w:tblPrEx>
          <w:tblCellMar>
            <w:top w:w="0" w:type="dxa"/>
            <w:bottom w:w="0" w:type="dxa"/>
          </w:tblCellMar>
        </w:tblPrEx>
        <w:trPr>
          <w:trHeight w:hRule="exact" w:val="470"/>
          <w:jc w:val="center"/>
        </w:trPr>
        <w:tc>
          <w:tcPr>
            <w:tcW w:w="3614" w:type="dxa"/>
            <w:shd w:val="clear" w:color="auto" w:fill="FFFFFF"/>
            <w:vAlign w:val="center"/>
          </w:tcPr>
          <w:p w14:paraId="5F741E2C" w14:textId="77777777" w:rsidR="00E61AF4" w:rsidRDefault="009556DC">
            <w:pPr>
              <w:pStyle w:val="Jin0"/>
              <w:shd w:val="clear" w:color="auto" w:fill="auto"/>
              <w:spacing w:after="0" w:line="240" w:lineRule="auto"/>
            </w:pPr>
            <w:r>
              <w:rPr>
                <w:b/>
                <w:bCs/>
              </w:rPr>
              <w:t>Jednotková kupní cena (bez DPH):</w:t>
            </w:r>
          </w:p>
        </w:tc>
        <w:tc>
          <w:tcPr>
            <w:tcW w:w="5659" w:type="dxa"/>
            <w:shd w:val="clear" w:color="auto" w:fill="FFFFFF"/>
            <w:vAlign w:val="center"/>
          </w:tcPr>
          <w:p w14:paraId="04B65D73" w14:textId="77777777" w:rsidR="00E61AF4" w:rsidRDefault="009556DC">
            <w:pPr>
              <w:pStyle w:val="Jin0"/>
              <w:shd w:val="clear" w:color="auto" w:fill="auto"/>
              <w:spacing w:after="0" w:line="240" w:lineRule="auto"/>
              <w:ind w:firstLine="620"/>
            </w:pPr>
            <w:r>
              <w:rPr>
                <w:b/>
                <w:bCs/>
              </w:rPr>
              <w:t>1 437 CZK/</w:t>
            </w:r>
            <w:proofErr w:type="spellStart"/>
            <w:r>
              <w:rPr>
                <w:b/>
                <w:bCs/>
              </w:rPr>
              <w:t>MWh</w:t>
            </w:r>
            <w:proofErr w:type="spellEnd"/>
          </w:p>
        </w:tc>
      </w:tr>
      <w:tr w:rsidR="00E61AF4" w14:paraId="6C22EEA8" w14:textId="77777777">
        <w:tblPrEx>
          <w:tblCellMar>
            <w:top w:w="0" w:type="dxa"/>
            <w:bottom w:w="0" w:type="dxa"/>
          </w:tblCellMar>
        </w:tblPrEx>
        <w:trPr>
          <w:trHeight w:hRule="exact" w:val="682"/>
          <w:jc w:val="center"/>
        </w:trPr>
        <w:tc>
          <w:tcPr>
            <w:tcW w:w="3614" w:type="dxa"/>
            <w:shd w:val="clear" w:color="auto" w:fill="FFFFFF"/>
            <w:vAlign w:val="center"/>
          </w:tcPr>
          <w:p w14:paraId="1D9C1A8F" w14:textId="77777777" w:rsidR="00E61AF4" w:rsidRDefault="009556DC">
            <w:pPr>
              <w:pStyle w:val="Jin0"/>
              <w:shd w:val="clear" w:color="auto" w:fill="auto"/>
              <w:spacing w:after="0" w:line="240" w:lineRule="auto"/>
            </w:pPr>
            <w:r>
              <w:rPr>
                <w:b/>
                <w:bCs/>
              </w:rPr>
              <w:t>Pevná kapacitní složka ceny:</w:t>
            </w:r>
          </w:p>
        </w:tc>
        <w:tc>
          <w:tcPr>
            <w:tcW w:w="5659" w:type="dxa"/>
            <w:shd w:val="clear" w:color="auto" w:fill="FFFFFF"/>
            <w:vAlign w:val="center"/>
          </w:tcPr>
          <w:p w14:paraId="08B39334" w14:textId="77777777" w:rsidR="00E61AF4" w:rsidRDefault="009556DC">
            <w:pPr>
              <w:pStyle w:val="Jin0"/>
              <w:shd w:val="clear" w:color="auto" w:fill="auto"/>
              <w:spacing w:after="0"/>
              <w:ind w:left="620"/>
            </w:pPr>
            <w:r>
              <w:rPr>
                <w:b/>
                <w:bCs/>
              </w:rPr>
              <w:t>0 CZK/</w:t>
            </w:r>
            <w:proofErr w:type="spellStart"/>
            <w:r>
              <w:rPr>
                <w:b/>
                <w:bCs/>
              </w:rPr>
              <w:t>odb</w:t>
            </w:r>
            <w:proofErr w:type="spellEnd"/>
            <w:r>
              <w:rPr>
                <w:b/>
                <w:bCs/>
              </w:rPr>
              <w:t>. místo/měsíc 0 CZK/tis. m</w:t>
            </w:r>
            <w:r>
              <w:rPr>
                <w:b/>
                <w:bCs/>
                <w:vertAlign w:val="superscript"/>
              </w:rPr>
              <w:t>3</w:t>
            </w:r>
          </w:p>
        </w:tc>
      </w:tr>
      <w:tr w:rsidR="00E61AF4" w14:paraId="4383BF52" w14:textId="77777777">
        <w:tblPrEx>
          <w:tblCellMar>
            <w:top w:w="0" w:type="dxa"/>
            <w:bottom w:w="0" w:type="dxa"/>
          </w:tblCellMar>
        </w:tblPrEx>
        <w:trPr>
          <w:trHeight w:hRule="exact" w:val="499"/>
          <w:jc w:val="center"/>
        </w:trPr>
        <w:tc>
          <w:tcPr>
            <w:tcW w:w="3614" w:type="dxa"/>
            <w:shd w:val="clear" w:color="auto" w:fill="FFFFFF"/>
            <w:vAlign w:val="center"/>
          </w:tcPr>
          <w:p w14:paraId="132A88C9" w14:textId="77777777" w:rsidR="00E61AF4" w:rsidRDefault="009556DC">
            <w:pPr>
              <w:pStyle w:val="Jin0"/>
              <w:shd w:val="clear" w:color="auto" w:fill="auto"/>
              <w:spacing w:after="0" w:line="240" w:lineRule="auto"/>
            </w:pPr>
            <w:r>
              <w:t>Technické parametry dodávky:</w:t>
            </w:r>
          </w:p>
        </w:tc>
        <w:tc>
          <w:tcPr>
            <w:tcW w:w="5659" w:type="dxa"/>
            <w:shd w:val="clear" w:color="auto" w:fill="FFFFFF"/>
            <w:vAlign w:val="center"/>
          </w:tcPr>
          <w:p w14:paraId="61CE5445" w14:textId="77777777" w:rsidR="00E61AF4" w:rsidRDefault="009556DC">
            <w:pPr>
              <w:pStyle w:val="Jin0"/>
              <w:shd w:val="clear" w:color="auto" w:fill="auto"/>
              <w:spacing w:after="0" w:line="240" w:lineRule="auto"/>
            </w:pPr>
            <w:r>
              <w:t xml:space="preserve">viz </w:t>
            </w:r>
            <w:r>
              <w:t>Příloha závěrkového listu č. 1</w:t>
            </w:r>
          </w:p>
        </w:tc>
      </w:tr>
    </w:tbl>
    <w:p w14:paraId="304F87FA" w14:textId="77777777" w:rsidR="00E61AF4" w:rsidRDefault="00E61AF4">
      <w:pPr>
        <w:spacing w:after="59" w:line="1" w:lineRule="exact"/>
      </w:pPr>
    </w:p>
    <w:p w14:paraId="76205DD4" w14:textId="77777777" w:rsidR="00E61AF4" w:rsidRDefault="009556DC">
      <w:pPr>
        <w:pStyle w:val="Titulektabulky0"/>
        <w:shd w:val="clear" w:color="auto" w:fill="auto"/>
        <w:spacing w:line="240" w:lineRule="auto"/>
      </w:pPr>
      <w:r>
        <w:rPr>
          <w:b/>
          <w:bCs/>
        </w:rPr>
        <w:t>Zúčtovací podmínky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14"/>
        <w:gridCol w:w="5659"/>
      </w:tblGrid>
      <w:tr w:rsidR="00E61AF4" w14:paraId="445E03A7" w14:textId="77777777">
        <w:tblPrEx>
          <w:tblCellMar>
            <w:top w:w="0" w:type="dxa"/>
            <w:bottom w:w="0" w:type="dxa"/>
          </w:tblCellMar>
        </w:tblPrEx>
        <w:trPr>
          <w:trHeight w:hRule="exact" w:val="955"/>
          <w:jc w:val="center"/>
        </w:trPr>
        <w:tc>
          <w:tcPr>
            <w:tcW w:w="3614" w:type="dxa"/>
            <w:shd w:val="clear" w:color="auto" w:fill="FFFFFF"/>
          </w:tcPr>
          <w:p w14:paraId="52BC9051" w14:textId="77777777" w:rsidR="00E61AF4" w:rsidRDefault="009556DC">
            <w:pPr>
              <w:pStyle w:val="Jin0"/>
              <w:shd w:val="clear" w:color="auto" w:fill="auto"/>
              <w:spacing w:before="120" w:after="0" w:line="240" w:lineRule="auto"/>
            </w:pPr>
            <w:r>
              <w:rPr>
                <w:b/>
                <w:bCs/>
              </w:rPr>
              <w:t>Zúčtovací období:</w:t>
            </w:r>
          </w:p>
        </w:tc>
        <w:tc>
          <w:tcPr>
            <w:tcW w:w="5659" w:type="dxa"/>
            <w:shd w:val="clear" w:color="auto" w:fill="FFFFFF"/>
            <w:vAlign w:val="center"/>
          </w:tcPr>
          <w:p w14:paraId="26F94879" w14:textId="77777777" w:rsidR="00E61AF4" w:rsidRDefault="009556DC">
            <w:pPr>
              <w:pStyle w:val="Jin0"/>
              <w:shd w:val="clear" w:color="auto" w:fill="auto"/>
              <w:spacing w:after="0"/>
            </w:pPr>
            <w:r>
              <w:t>rok - vyúčtování bude provedeno 1x ročně v termínu dle periodických odečtů příslušného provozovatele distribuční soustavy</w:t>
            </w:r>
          </w:p>
        </w:tc>
      </w:tr>
      <w:tr w:rsidR="00E61AF4" w14:paraId="423CE799" w14:textId="77777777">
        <w:tblPrEx>
          <w:tblCellMar>
            <w:top w:w="0" w:type="dxa"/>
            <w:bottom w:w="0" w:type="dxa"/>
          </w:tblCellMar>
        </w:tblPrEx>
        <w:trPr>
          <w:trHeight w:hRule="exact" w:val="456"/>
          <w:jc w:val="center"/>
        </w:trPr>
        <w:tc>
          <w:tcPr>
            <w:tcW w:w="3614" w:type="dxa"/>
            <w:shd w:val="clear" w:color="auto" w:fill="FFFFFF"/>
            <w:vAlign w:val="center"/>
          </w:tcPr>
          <w:p w14:paraId="65BEF243" w14:textId="77777777" w:rsidR="00E61AF4" w:rsidRDefault="009556DC">
            <w:pPr>
              <w:pStyle w:val="Jin0"/>
              <w:shd w:val="clear" w:color="auto" w:fill="auto"/>
              <w:spacing w:after="0" w:line="240" w:lineRule="auto"/>
            </w:pPr>
            <w:r>
              <w:rPr>
                <w:b/>
                <w:bCs/>
              </w:rPr>
              <w:t>Splatnost zúčtovací faktury:</w:t>
            </w:r>
          </w:p>
        </w:tc>
        <w:tc>
          <w:tcPr>
            <w:tcW w:w="5659" w:type="dxa"/>
            <w:shd w:val="clear" w:color="auto" w:fill="FFFFFF"/>
            <w:vAlign w:val="center"/>
          </w:tcPr>
          <w:p w14:paraId="6960D0F3" w14:textId="77777777" w:rsidR="00E61AF4" w:rsidRDefault="009556DC">
            <w:pPr>
              <w:pStyle w:val="Jin0"/>
              <w:shd w:val="clear" w:color="auto" w:fill="auto"/>
              <w:spacing w:after="0" w:line="240" w:lineRule="auto"/>
            </w:pPr>
            <w:r>
              <w:t>21 dní</w:t>
            </w:r>
          </w:p>
        </w:tc>
      </w:tr>
      <w:tr w:rsidR="00E61AF4" w14:paraId="3D5044E8" w14:textId="77777777">
        <w:tblPrEx>
          <w:tblCellMar>
            <w:top w:w="0" w:type="dxa"/>
            <w:bottom w:w="0" w:type="dxa"/>
          </w:tblCellMar>
        </w:tblPrEx>
        <w:trPr>
          <w:trHeight w:hRule="exact" w:val="485"/>
          <w:jc w:val="center"/>
        </w:trPr>
        <w:tc>
          <w:tcPr>
            <w:tcW w:w="3614" w:type="dxa"/>
            <w:shd w:val="clear" w:color="auto" w:fill="FFFFFF"/>
            <w:vAlign w:val="center"/>
          </w:tcPr>
          <w:p w14:paraId="358DB2F2" w14:textId="77777777" w:rsidR="00E61AF4" w:rsidRDefault="009556DC">
            <w:pPr>
              <w:pStyle w:val="Jin0"/>
              <w:shd w:val="clear" w:color="auto" w:fill="auto"/>
              <w:spacing w:after="0" w:line="240" w:lineRule="auto"/>
            </w:pPr>
            <w:r>
              <w:rPr>
                <w:b/>
                <w:bCs/>
              </w:rPr>
              <w:t xml:space="preserve">Zálohy v průběhu </w:t>
            </w:r>
            <w:r>
              <w:rPr>
                <w:b/>
                <w:bCs/>
              </w:rPr>
              <w:t>zúčtovacího období:</w:t>
            </w:r>
          </w:p>
        </w:tc>
        <w:tc>
          <w:tcPr>
            <w:tcW w:w="5659" w:type="dxa"/>
            <w:shd w:val="clear" w:color="auto" w:fill="FFFFFF"/>
            <w:vAlign w:val="center"/>
          </w:tcPr>
          <w:p w14:paraId="1816CA01" w14:textId="77777777" w:rsidR="00E61AF4" w:rsidRDefault="009556DC">
            <w:pPr>
              <w:pStyle w:val="Jin0"/>
              <w:shd w:val="clear" w:color="auto" w:fill="auto"/>
              <w:spacing w:after="0" w:line="240" w:lineRule="auto"/>
            </w:pPr>
            <w:r>
              <w:t>měsíční - splatné nejdříve k 15. dni kalendářního měsíce</w:t>
            </w:r>
          </w:p>
        </w:tc>
      </w:tr>
    </w:tbl>
    <w:p w14:paraId="4B704921" w14:textId="77777777" w:rsidR="00E61AF4" w:rsidRDefault="00E61AF4">
      <w:pPr>
        <w:spacing w:after="59" w:line="1" w:lineRule="exact"/>
      </w:pPr>
    </w:p>
    <w:p w14:paraId="2DB25074" w14:textId="77777777" w:rsidR="00E61AF4" w:rsidRDefault="009556DC">
      <w:pPr>
        <w:pStyle w:val="Nadpis20"/>
        <w:keepNext/>
        <w:keepLines/>
        <w:shd w:val="clear" w:color="auto" w:fill="auto"/>
        <w:spacing w:line="257" w:lineRule="auto"/>
      </w:pPr>
      <w:bookmarkStart w:id="2" w:name="bookmark2"/>
      <w:bookmarkStart w:id="3" w:name="bookmark3"/>
      <w:r>
        <w:t>Ostatní podmínky:</w:t>
      </w:r>
      <w:bookmarkEnd w:id="2"/>
      <w:bookmarkEnd w:id="3"/>
    </w:p>
    <w:p w14:paraId="2CC54756" w14:textId="77777777" w:rsidR="00E61AF4" w:rsidRDefault="009556DC">
      <w:pPr>
        <w:pStyle w:val="Zkladntext1"/>
        <w:shd w:val="clear" w:color="auto" w:fill="auto"/>
        <w:spacing w:line="259" w:lineRule="auto"/>
      </w:pPr>
      <w:r>
        <w:t>Dodavatel bude odběrateli účtovat dodávku samostatnou fakturou v elektronické podobě ve formátu PDF za každé odběrné místo zvlášť.</w:t>
      </w:r>
    </w:p>
    <w:p w14:paraId="274E75E0" w14:textId="77777777" w:rsidR="00E61AF4" w:rsidRDefault="009556DC">
      <w:pPr>
        <w:pStyle w:val="Zkladntext1"/>
        <w:shd w:val="clear" w:color="auto" w:fill="auto"/>
        <w:spacing w:after="60"/>
        <w:sectPr w:rsidR="00E61AF4">
          <w:headerReference w:type="default" r:id="rId7"/>
          <w:footerReference w:type="default" r:id="rId8"/>
          <w:pgSz w:w="11900" w:h="16840"/>
          <w:pgMar w:top="509" w:right="1390" w:bottom="1018" w:left="1232" w:header="0" w:footer="3" w:gutter="0"/>
          <w:pgNumType w:start="1"/>
          <w:cols w:space="720"/>
          <w:noEndnote/>
          <w:docGrid w:linePitch="360"/>
        </w:sectPr>
      </w:pPr>
      <w:r>
        <w:t>Dodavatel bude odběrateli předepisovat a účtovat zálohy samostatným předpisem a samostatným daňovým dokladem o přijetí platby v elektronické podobě ve formátu PDF za každé odběrné místo zvlášť.</w:t>
      </w:r>
    </w:p>
    <w:p w14:paraId="080CDEBB" w14:textId="77777777" w:rsidR="00E61AF4" w:rsidRDefault="009556DC">
      <w:pPr>
        <w:pStyle w:val="Zkladntext1"/>
        <w:shd w:val="clear" w:color="auto" w:fill="auto"/>
      </w:pPr>
      <w:r>
        <w:lastRenderedPageBreak/>
        <w:t>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míst, apod.</w:t>
      </w:r>
    </w:p>
    <w:p w14:paraId="70C962EE" w14:textId="77777777" w:rsidR="00E61AF4" w:rsidRDefault="009556DC">
      <w:pPr>
        <w:pStyle w:val="Zkladntext1"/>
        <w:shd w:val="clear" w:color="auto" w:fill="auto"/>
      </w:pPr>
      <w:r>
        <w:t>Dodavatel poskytne po skončení období dodávky centrálnímu zadavateli, Kraj Vysočina, Žižkova 1882/57, 586 01 Jihlava, IČ 70890749, na jeho vyžádání soubor dat v elektronické podobě, obsahující kompletní údaje o realizované dodávce plynu v rozsahu fakturačních dokladů za celé období dodávky, a to do 30ti dnů ode dne písemného doručení vyžádání dodavateli.</w:t>
      </w:r>
    </w:p>
    <w:p w14:paraId="78E52ABC" w14:textId="77777777" w:rsidR="00E61AF4" w:rsidRDefault="009556DC">
      <w:pPr>
        <w:pStyle w:val="Nadpis20"/>
        <w:keepNext/>
        <w:keepLines/>
        <w:shd w:val="clear" w:color="auto" w:fill="auto"/>
      </w:pPr>
      <w:bookmarkStart w:id="4" w:name="bookmark4"/>
      <w:bookmarkStart w:id="5" w:name="bookmark5"/>
      <w:r>
        <w:t>Dodací podmínky</w:t>
      </w:r>
      <w:bookmarkEnd w:id="4"/>
      <w:bookmarkEnd w:id="5"/>
    </w:p>
    <w:p w14:paraId="0AA56C41" w14:textId="77777777" w:rsidR="00E61AF4" w:rsidRDefault="009556DC">
      <w:pPr>
        <w:pStyle w:val="Zkladntext1"/>
        <w:numPr>
          <w:ilvl w:val="0"/>
          <w:numId w:val="1"/>
        </w:numPr>
        <w:shd w:val="clear" w:color="auto" w:fill="auto"/>
        <w:tabs>
          <w:tab w:val="left" w:pos="265"/>
        </w:tabs>
        <w:ind w:left="220" w:hanging="220"/>
      </w:pPr>
      <w:r>
        <w:t xml:space="preserve">Dodavatel je povinen dodávat sjednané množství plynu do odběrného místa odběratele v rozsahu a za podmínek uzavřeného burzovního obchodu (závěrkového listu) v kvalitě podle Řádu provozovatele přepravní soustavy, ke které je </w:t>
      </w:r>
      <w:r>
        <w:t>odběrné místo připojeno, pokud tomu nebrání okolnosti vyvolané provozovatelem přepravní nebo distribuční soustavy nebo okolnosti stanovené příslušnými právními předpisy.</w:t>
      </w:r>
    </w:p>
    <w:p w14:paraId="0736BA21" w14:textId="77777777" w:rsidR="00E61AF4" w:rsidRDefault="009556DC">
      <w:pPr>
        <w:pStyle w:val="Zkladntext1"/>
        <w:numPr>
          <w:ilvl w:val="0"/>
          <w:numId w:val="1"/>
        </w:numPr>
        <w:shd w:val="clear" w:color="auto" w:fill="auto"/>
        <w:tabs>
          <w:tab w:val="left" w:pos="279"/>
        </w:tabs>
        <w:ind w:left="220" w:hanging="220"/>
      </w:pPr>
      <w:r>
        <w:t xml:space="preserve">Za sjednané množství plynu se považuje skutečně dodané a odebrané množství plynu v odběrném místě odběratele v maximální hodnotě ročního množství 630 </w:t>
      </w:r>
      <w:proofErr w:type="spellStart"/>
      <w:r>
        <w:t>MWh</w:t>
      </w:r>
      <w:proofErr w:type="spellEnd"/>
      <w:r>
        <w:t>. Odběratel je povinen odebírat plyn do uvedené maximální hodnoty ročního množství. Celkové množství dodávky plynu uvedené na závěrkovém listu představuje předpokládané množství dodávky plynu.</w:t>
      </w:r>
    </w:p>
    <w:p w14:paraId="598F4686" w14:textId="77777777" w:rsidR="00E61AF4" w:rsidRDefault="009556DC">
      <w:pPr>
        <w:pStyle w:val="Zkladntext1"/>
        <w:numPr>
          <w:ilvl w:val="0"/>
          <w:numId w:val="1"/>
        </w:numPr>
        <w:shd w:val="clear" w:color="auto" w:fill="auto"/>
        <w:tabs>
          <w:tab w:val="left" w:pos="279"/>
        </w:tabs>
        <w:ind w:left="220" w:hanging="220"/>
      </w:pPr>
      <w:r>
        <w:t>Dodávka plynu je splněna přechodem plynu z příslušné distribuční soustavy přes měřící zařízení do odběrného místa odběratele.</w:t>
      </w:r>
    </w:p>
    <w:p w14:paraId="689167E8" w14:textId="77777777" w:rsidR="00E61AF4" w:rsidRDefault="009556DC">
      <w:pPr>
        <w:pStyle w:val="Zkladntext1"/>
        <w:numPr>
          <w:ilvl w:val="0"/>
          <w:numId w:val="1"/>
        </w:numPr>
        <w:shd w:val="clear" w:color="auto" w:fill="auto"/>
        <w:tabs>
          <w:tab w:val="left" w:pos="279"/>
        </w:tabs>
        <w:spacing w:line="259" w:lineRule="auto"/>
        <w:ind w:left="220" w:hanging="220"/>
      </w:pPr>
      <w:r>
        <w:t xml:space="preserve">Dodavatel je povinen zajistit na vlastní jméno a na vlastní účet pro odběrné místo odběratele přepravu plynu, </w:t>
      </w:r>
      <w:r>
        <w:t>uskladnění plynu, distribuci plynu a ostatní související služby.</w:t>
      </w:r>
    </w:p>
    <w:p w14:paraId="2D4C1855" w14:textId="77777777" w:rsidR="00E61AF4" w:rsidRDefault="009556DC">
      <w:pPr>
        <w:pStyle w:val="Zkladntext1"/>
        <w:numPr>
          <w:ilvl w:val="0"/>
          <w:numId w:val="1"/>
        </w:numPr>
        <w:shd w:val="clear" w:color="auto" w:fill="auto"/>
        <w:tabs>
          <w:tab w:val="left" w:pos="279"/>
        </w:tabs>
        <w:ind w:left="220" w:hanging="220"/>
      </w:pPr>
      <w:r>
        <w:t>Dodavatel je povinen ve smyslu příslušného platného právního předpisu převzít závazek odběratele odebrat plyn z plynárenské soustavy a nést plnou zodpovědnost za odchylku odběratele vztahující se k odběrnému místu odběratele. Z důvodu přenesení odpovědnosti za odchylku na dodavatele není odběratel oprávněn mít pro dodávku plynu do odběrného místa dle burzovního obchodu (závěrkového listu) jiného nebo více jiných dodavatelů. Odběratel se zavazuje ukončit smlouvu s předcházejícím dodavatelem, pokud k tomu nez</w:t>
      </w:r>
      <w:r>
        <w:t>plnomocní dodavatele, který mu bude dodávat plyn na základě burzovního obchodu (závěrkového listu).</w:t>
      </w:r>
    </w:p>
    <w:p w14:paraId="5B4E41AE" w14:textId="77777777" w:rsidR="00E61AF4" w:rsidRDefault="009556DC">
      <w:pPr>
        <w:pStyle w:val="Zkladntext1"/>
        <w:numPr>
          <w:ilvl w:val="0"/>
          <w:numId w:val="1"/>
        </w:numPr>
        <w:shd w:val="clear" w:color="auto" w:fill="auto"/>
        <w:tabs>
          <w:tab w:val="left" w:pos="279"/>
        </w:tabs>
        <w:spacing w:after="0"/>
        <w:ind w:left="220" w:hanging="220"/>
      </w:pPr>
      <w:r>
        <w:t>Dodávka plynu se považuje za zahájenou první plynárenský den burzovním obchodem sjednaného období dodávky plynu a za ukončenou poslední plynárenský den burzovním obchodem sjednaného období dodávky plynu. Odběratel je povinen nahlásit dodavateli stav měřícího zařízení v odběrném místě k prvnímu kalendářnímu dni zahájení burzovním obchodem sjednané dodávky plynu, a to nejpozději jeden kalendářní den po tomto datu. V případě, že tak neučiní, bude počáteční stav měřícího zařízení stanoven provozovatelem distrib</w:t>
      </w:r>
      <w:r>
        <w:t>uční soustavy v souladu s Řádem provozovatele distribuční soustavy. Odběratel</w:t>
      </w:r>
    </w:p>
    <w:p w14:paraId="643A9104" w14:textId="77777777" w:rsidR="00E61AF4" w:rsidRDefault="009556DC">
      <w:pPr>
        <w:pStyle w:val="Zkladntext1"/>
        <w:shd w:val="clear" w:color="auto" w:fill="auto"/>
        <w:ind w:left="220" w:firstLine="20"/>
      </w:pPr>
      <w:r>
        <w:t>se tímto vzdává nároku na reklamaci takového stavu měřícího zařízení a takto stanovený stav měřícího zařízení plně respektuje.</w:t>
      </w:r>
    </w:p>
    <w:p w14:paraId="35DA3A5E" w14:textId="77777777" w:rsidR="00E61AF4" w:rsidRDefault="009556DC">
      <w:pPr>
        <w:pStyle w:val="Zkladntext1"/>
        <w:numPr>
          <w:ilvl w:val="0"/>
          <w:numId w:val="1"/>
        </w:numPr>
        <w:shd w:val="clear" w:color="auto" w:fill="auto"/>
        <w:tabs>
          <w:tab w:val="left" w:pos="279"/>
        </w:tabs>
        <w:spacing w:after="0"/>
        <w:ind w:left="220" w:hanging="220"/>
      </w:pPr>
      <w:r>
        <w:t>Sjednaná dodávka plynu může být omezena, pokud bude provozovatelem přepravní soustavy vyhlášen stav nouze podle příslušných platných právních předpisů. Odběratel je povinen sledovat informace</w:t>
      </w:r>
    </w:p>
    <w:p w14:paraId="0FFE01EA" w14:textId="77777777" w:rsidR="00E61AF4" w:rsidRDefault="009556DC">
      <w:pPr>
        <w:pStyle w:val="Zkladntext1"/>
        <w:shd w:val="clear" w:color="auto" w:fill="auto"/>
        <w:ind w:left="220" w:firstLine="20"/>
      </w:pPr>
      <w:r>
        <w:t>o vyhlášení omezujících regulačních opatření v případě hrozícího nebo stávajícího stavu nouze v plynárenství. Dodavatel i odběratel jsou povinni v případě hrozícího nebo stávajícího stavu nouze v plynárenství postupovat podle příslušného platného právního předpisu.</w:t>
      </w:r>
    </w:p>
    <w:p w14:paraId="1E9C38B7" w14:textId="77777777" w:rsidR="00E61AF4" w:rsidRDefault="009556DC">
      <w:pPr>
        <w:pStyle w:val="Zkladntext1"/>
        <w:numPr>
          <w:ilvl w:val="0"/>
          <w:numId w:val="1"/>
        </w:numPr>
        <w:shd w:val="clear" w:color="auto" w:fill="auto"/>
        <w:tabs>
          <w:tab w:val="left" w:pos="279"/>
        </w:tabs>
        <w:spacing w:after="0"/>
        <w:ind w:left="220" w:hanging="220"/>
      </w:pPr>
      <w:r>
        <w:t>Dodavatelem dodané a odběratelem odebrané množství plynu bude v odběrném místě měřeno měřícím zařízením ve vlastnictví příslušného provozovatele distribuční soustavy, který zodpovídá za správnost naměřených údajů. O druhu, velikosti, umístění a skladbě měřícího zařízení rozhoduje příslušný provozovatel distribuční soustavy. Odběratel je povinen odebírat plyn pouze přes měřidlo, které připojil provozovatel distribuční soustavy. Odběratel je povinen udržovat odběrné zařízení ve stavu, který odpovídá příslušný</w:t>
      </w:r>
      <w:r>
        <w:t>m technickým normám a platným právním předpisům a který umožňuje jeho řádný</w:t>
      </w:r>
    </w:p>
    <w:p w14:paraId="6A387BA0" w14:textId="77777777" w:rsidR="00E61AF4" w:rsidRDefault="009556DC">
      <w:pPr>
        <w:pStyle w:val="Zkladntext1"/>
        <w:shd w:val="clear" w:color="auto" w:fill="auto"/>
        <w:ind w:firstLine="220"/>
      </w:pPr>
      <w:r>
        <w:t>a spolehlivý provoz.</w:t>
      </w:r>
    </w:p>
    <w:p w14:paraId="13EB9D57" w14:textId="77777777" w:rsidR="00E61AF4" w:rsidRDefault="009556DC">
      <w:pPr>
        <w:pStyle w:val="Zkladntext1"/>
        <w:numPr>
          <w:ilvl w:val="0"/>
          <w:numId w:val="1"/>
        </w:numPr>
        <w:shd w:val="clear" w:color="auto" w:fill="auto"/>
        <w:tabs>
          <w:tab w:val="left" w:pos="279"/>
        </w:tabs>
        <w:spacing w:line="254" w:lineRule="auto"/>
        <w:ind w:left="220" w:hanging="220"/>
      </w:pPr>
      <w:r>
        <w:t xml:space="preserve">Měření dodávek plynu včetně vyhodnocování, předávání výsledků měření a dalších nezbytných </w:t>
      </w:r>
      <w:r>
        <w:t xml:space="preserve">informací pro vyúčtování dodávky plynu je zajišťováno příslušným provozovatelem distribuční soustavy. Naměřený </w:t>
      </w:r>
      <w:r>
        <w:lastRenderedPageBreak/>
        <w:t xml:space="preserve">objem plynu bude v souladu s platnými právními předpisy přepočítáván na vztažené podmínky a energii vyjádřenou v </w:t>
      </w:r>
      <w:proofErr w:type="spellStart"/>
      <w:r>
        <w:t>MWh</w:t>
      </w:r>
      <w:proofErr w:type="spellEnd"/>
      <w:r>
        <w:t>, resp. kWh. Rozdělení odběru plynu do jednotlivých kalendářních měsíců je stanoveno v závislosti na termínu odečtu odběru plynu, který provádí příslušný provozovatel distribuční soustavy v souladu s platným Řádem provozovatele distribuční soustavy.</w:t>
      </w:r>
    </w:p>
    <w:p w14:paraId="50FFE1E1" w14:textId="77777777" w:rsidR="00E61AF4" w:rsidRDefault="009556DC">
      <w:pPr>
        <w:pStyle w:val="Zkladntext1"/>
        <w:numPr>
          <w:ilvl w:val="0"/>
          <w:numId w:val="1"/>
        </w:numPr>
        <w:shd w:val="clear" w:color="auto" w:fill="auto"/>
        <w:tabs>
          <w:tab w:val="left" w:pos="370"/>
        </w:tabs>
        <w:spacing w:line="254" w:lineRule="auto"/>
        <w:ind w:left="220" w:hanging="220"/>
      </w:pPr>
      <w:r>
        <w:t>Odběratel se zavazuje umožnit přístup k měřícímu zařízení na odběrném místě pro potřebu kontroly správnosti měřených údajů, provedení odečtů nebo kontroly, opravy, údržby, výměny nebo odebrání měřidla, a to rovněž při ukončení odběru nebo přerušení dodávky plynu. Odběratel je povinen zdržet se jakýchkoliv zásahů do měřidla a jeho připojení včetně plomb, a zabezpečit měřidlo tak, aby nemohlo dojít k jeho poškození, odcizení nebo porušení plomb. Odběratel je dále povinen bez zbytečného odkladu oznámit dodavat</w:t>
      </w:r>
      <w:r>
        <w:t>eli poškození měřícího zařízení nebo jeho plomby, případně jinou událost, která má vliv na řádnou funkci měřícího zařízení.</w:t>
      </w:r>
    </w:p>
    <w:p w14:paraId="03895553" w14:textId="77777777" w:rsidR="00E61AF4" w:rsidRDefault="009556DC">
      <w:pPr>
        <w:pStyle w:val="Nadpis20"/>
        <w:keepNext/>
        <w:keepLines/>
        <w:shd w:val="clear" w:color="auto" w:fill="auto"/>
        <w:spacing w:line="254" w:lineRule="auto"/>
      </w:pPr>
      <w:bookmarkStart w:id="6" w:name="bookmark6"/>
      <w:bookmarkStart w:id="7" w:name="bookmark7"/>
      <w:r>
        <w:t>Platební podmínky</w:t>
      </w:r>
      <w:bookmarkEnd w:id="6"/>
      <w:bookmarkEnd w:id="7"/>
    </w:p>
    <w:p w14:paraId="469B09CC" w14:textId="77777777" w:rsidR="00E61AF4" w:rsidRDefault="009556DC">
      <w:pPr>
        <w:pStyle w:val="Zkladntext1"/>
        <w:numPr>
          <w:ilvl w:val="0"/>
          <w:numId w:val="2"/>
        </w:numPr>
        <w:shd w:val="clear" w:color="auto" w:fill="auto"/>
        <w:tabs>
          <w:tab w:val="left" w:pos="270"/>
        </w:tabs>
        <w:spacing w:after="0"/>
      </w:pPr>
      <w:r>
        <w:t>Odběratel je povinen zaplatit dodavateli za dodávku plynu cenu, která je tvořena:</w:t>
      </w:r>
    </w:p>
    <w:p w14:paraId="44D3BD3D" w14:textId="77777777" w:rsidR="00E61AF4" w:rsidRDefault="009556DC">
      <w:pPr>
        <w:pStyle w:val="Zkladntext1"/>
        <w:numPr>
          <w:ilvl w:val="0"/>
          <w:numId w:val="3"/>
        </w:numPr>
        <w:shd w:val="clear" w:color="auto" w:fill="auto"/>
        <w:tabs>
          <w:tab w:val="left" w:pos="514"/>
        </w:tabs>
        <w:spacing w:after="0"/>
        <w:ind w:firstLine="220"/>
      </w:pPr>
      <w:r>
        <w:t>cenou za dodávku komodity plyn, která je stanovena burzovním obchodem (závěrkovým listem) a</w:t>
      </w:r>
    </w:p>
    <w:p w14:paraId="0A0F96BE" w14:textId="77777777" w:rsidR="00E61AF4" w:rsidRDefault="009556DC">
      <w:pPr>
        <w:pStyle w:val="Zkladntext1"/>
        <w:numPr>
          <w:ilvl w:val="0"/>
          <w:numId w:val="3"/>
        </w:numPr>
        <w:shd w:val="clear" w:color="auto" w:fill="auto"/>
        <w:tabs>
          <w:tab w:val="left" w:pos="514"/>
        </w:tabs>
        <w:spacing w:after="0"/>
        <w:ind w:firstLine="220"/>
      </w:pPr>
      <w:r>
        <w:t>pevnou kapacitní složkou ceny</w:t>
      </w:r>
    </w:p>
    <w:p w14:paraId="1316B8BD" w14:textId="77777777" w:rsidR="00E61AF4" w:rsidRDefault="009556DC">
      <w:pPr>
        <w:pStyle w:val="Zkladntext1"/>
        <w:numPr>
          <w:ilvl w:val="0"/>
          <w:numId w:val="3"/>
        </w:numPr>
        <w:shd w:val="clear" w:color="auto" w:fill="auto"/>
        <w:tabs>
          <w:tab w:val="left" w:pos="534"/>
        </w:tabs>
        <w:spacing w:after="0"/>
        <w:ind w:left="460" w:hanging="220"/>
      </w:pPr>
      <w:r>
        <w:t>cenou za přepravu plynu, uskladnění plynu, distribuci plynu a související služby stanovenou v souladu se všeobecně závaznými právními předpisy, zejména cenovými rozhodnutími příslušných správních</w:t>
      </w:r>
    </w:p>
    <w:p w14:paraId="69B9E999" w14:textId="77777777" w:rsidR="00E61AF4" w:rsidRDefault="009556DC">
      <w:pPr>
        <w:pStyle w:val="Zkladntext1"/>
        <w:shd w:val="clear" w:color="auto" w:fill="auto"/>
        <w:ind w:firstLine="460"/>
      </w:pPr>
      <w:r>
        <w:t>a regulačních orgánů.</w:t>
      </w:r>
    </w:p>
    <w:p w14:paraId="1C43829A" w14:textId="77777777" w:rsidR="00E61AF4" w:rsidRDefault="009556DC">
      <w:pPr>
        <w:pStyle w:val="Zkladntext1"/>
        <w:numPr>
          <w:ilvl w:val="0"/>
          <w:numId w:val="2"/>
        </w:numPr>
        <w:shd w:val="clear" w:color="auto" w:fill="auto"/>
        <w:tabs>
          <w:tab w:val="left" w:pos="279"/>
        </w:tabs>
        <w:spacing w:line="259" w:lineRule="auto"/>
        <w:ind w:left="220" w:hanging="220"/>
      </w:pPr>
      <w:r>
        <w:t>Dodávky plynu se v průběhu zúčtovacího období vyúčtovávají fakturami, které musí mít náležitosti daňových dokladů podle příslušných právních předpisů.</w:t>
      </w:r>
    </w:p>
    <w:p w14:paraId="64F616A0" w14:textId="77777777" w:rsidR="00E61AF4" w:rsidRDefault="009556DC">
      <w:pPr>
        <w:pStyle w:val="Zkladntext1"/>
        <w:numPr>
          <w:ilvl w:val="0"/>
          <w:numId w:val="2"/>
        </w:numPr>
        <w:shd w:val="clear" w:color="auto" w:fill="auto"/>
        <w:tabs>
          <w:tab w:val="left" w:pos="279"/>
        </w:tabs>
        <w:spacing w:after="0"/>
        <w:ind w:left="220" w:hanging="220"/>
      </w:pPr>
      <w:r>
        <w:t xml:space="preserve">K účtované ceně dodávky plynu se připočítává daň z plynu, daň z přidané hodnoty, </w:t>
      </w:r>
      <w:r>
        <w:t>poplatky a jiné nepřímé daně stanovené v souladu s příslušnými právními předpisy. Odběratel je povinen předložit dodavateli doklady, na základě kterých uplatňuje osvobození od příslušné daně. Zároveň je odběratel povinen v případě změny, zániku či zrušení příslušného dokladu, na základě kterého uplatňuje osvobození dle předchozí věty, tuto skutečnost dodavateli oznámit, a to bez zbytečného odkladu, nejdéle však</w:t>
      </w:r>
    </w:p>
    <w:p w14:paraId="4FCED94E" w14:textId="77777777" w:rsidR="00E61AF4" w:rsidRDefault="009556DC">
      <w:pPr>
        <w:pStyle w:val="Zkladntext1"/>
        <w:shd w:val="clear" w:color="auto" w:fill="auto"/>
        <w:ind w:left="220" w:firstLine="20"/>
      </w:pPr>
      <w:r>
        <w:t>do druhého pracovního dne ode dne změny, zániku nebo zrušení tohoto dokladu, na základě kterého uplatňuje osvobození. Odběratel je odpovědný za škodu, která vznikne dodavateli porušením povinnosti zákazníka uvedené v předchozí větě.</w:t>
      </w:r>
    </w:p>
    <w:p w14:paraId="4D7375BA" w14:textId="77777777" w:rsidR="00E61AF4" w:rsidRDefault="009556DC">
      <w:pPr>
        <w:pStyle w:val="Zkladntext1"/>
        <w:numPr>
          <w:ilvl w:val="0"/>
          <w:numId w:val="2"/>
        </w:numPr>
        <w:shd w:val="clear" w:color="auto" w:fill="auto"/>
        <w:tabs>
          <w:tab w:val="left" w:pos="289"/>
        </w:tabs>
        <w:spacing w:after="0" w:line="257" w:lineRule="auto"/>
        <w:ind w:left="220" w:hanging="220"/>
      </w:pPr>
      <w:r>
        <w:t>V průběhu zúčtovacího období hradí odběratel dodavateli za dodávky plynu pravidelné zálohy, pokud není burzovním obchodem sjednáno jinak. Jejich výše je určena podle celkové předpokládané platby odběratele za příslušné fakturační období včetně daně z přidané hodnoty. Dodavatel je povinen</w:t>
      </w:r>
    </w:p>
    <w:p w14:paraId="61784C17" w14:textId="77777777" w:rsidR="00E61AF4" w:rsidRDefault="009556DC">
      <w:pPr>
        <w:pStyle w:val="Zkladntext1"/>
        <w:shd w:val="clear" w:color="auto" w:fill="auto"/>
        <w:spacing w:line="257" w:lineRule="auto"/>
        <w:ind w:left="220" w:firstLine="20"/>
      </w:pPr>
      <w:r>
        <w:t>po uzavření burzovního obchodu (závěrkového listu) vystavit odběrateli v souladu s podmínkami uzavřeného burzovního obchodu (závěrkového listu) platební kalendář s uvedením počtu, výše a splatnosti záloh.</w:t>
      </w:r>
    </w:p>
    <w:p w14:paraId="5F0C014B" w14:textId="77777777" w:rsidR="00E61AF4" w:rsidRDefault="009556DC">
      <w:pPr>
        <w:pStyle w:val="Zkladntext1"/>
        <w:numPr>
          <w:ilvl w:val="0"/>
          <w:numId w:val="2"/>
        </w:numPr>
        <w:shd w:val="clear" w:color="auto" w:fill="auto"/>
        <w:tabs>
          <w:tab w:val="left" w:pos="289"/>
        </w:tabs>
        <w:spacing w:after="0" w:line="254" w:lineRule="auto"/>
        <w:ind w:left="220" w:hanging="220"/>
      </w:pPr>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 ve faktuře mezi vyúčtovanou částkou a zaplacenými zálohami, který je přeplatkem odběratele, dodavatel vrátí odběrateli v termínu splatnosti faktury na bankovní účet odběratele uvedený v závěrkovém listu</w:t>
      </w:r>
    </w:p>
    <w:p w14:paraId="6A9A8C82" w14:textId="77777777" w:rsidR="00E61AF4" w:rsidRDefault="009556DC">
      <w:pPr>
        <w:pStyle w:val="Zkladntext1"/>
        <w:shd w:val="clear" w:color="auto" w:fill="auto"/>
        <w:spacing w:line="254" w:lineRule="auto"/>
        <w:ind w:left="220" w:firstLine="20"/>
      </w:pPr>
      <w:r>
        <w:t>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14:paraId="460D5781" w14:textId="77777777" w:rsidR="00E61AF4" w:rsidRDefault="009556DC">
      <w:pPr>
        <w:pStyle w:val="Zkladntext1"/>
        <w:numPr>
          <w:ilvl w:val="0"/>
          <w:numId w:val="2"/>
        </w:numPr>
        <w:shd w:val="clear" w:color="auto" w:fill="auto"/>
        <w:tabs>
          <w:tab w:val="left" w:pos="289"/>
        </w:tabs>
        <w:spacing w:after="0" w:line="254" w:lineRule="auto"/>
        <w:ind w:left="220" w:hanging="220"/>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w:t>
      </w:r>
    </w:p>
    <w:p w14:paraId="08E2C882" w14:textId="77777777" w:rsidR="00E61AF4" w:rsidRDefault="009556DC">
      <w:pPr>
        <w:pStyle w:val="Zkladntext1"/>
        <w:shd w:val="clear" w:color="auto" w:fill="auto"/>
        <w:spacing w:line="254" w:lineRule="auto"/>
        <w:ind w:left="220" w:firstLine="20"/>
      </w:pPr>
      <w:r>
        <w:t xml:space="preserve">s </w:t>
      </w:r>
      <w:r>
        <w:t>nesprávným variabilním symbolem, nebo ji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14:paraId="7F32D221" w14:textId="77777777" w:rsidR="00E61AF4" w:rsidRDefault="009556DC">
      <w:pPr>
        <w:pStyle w:val="Zkladntext1"/>
        <w:numPr>
          <w:ilvl w:val="0"/>
          <w:numId w:val="2"/>
        </w:numPr>
        <w:shd w:val="clear" w:color="auto" w:fill="auto"/>
        <w:tabs>
          <w:tab w:val="left" w:pos="274"/>
        </w:tabs>
        <w:ind w:left="220" w:hanging="220"/>
      </w:pPr>
      <w:r>
        <w:t>Zaplacením plateb se rozumí připsání příslušné částky na bankovní účet dodavatele. Připadne-li den splatnosti faktury nebo zálohy na den pracovního volna nebo klidu, je dnem splatnosti nejbližší následující pracovní den.</w:t>
      </w:r>
    </w:p>
    <w:p w14:paraId="5BB430F3" w14:textId="77777777" w:rsidR="00E61AF4" w:rsidRDefault="009556DC">
      <w:pPr>
        <w:pStyle w:val="Zkladntext1"/>
        <w:numPr>
          <w:ilvl w:val="0"/>
          <w:numId w:val="2"/>
        </w:numPr>
        <w:shd w:val="clear" w:color="auto" w:fill="auto"/>
        <w:tabs>
          <w:tab w:val="left" w:pos="274"/>
        </w:tabs>
        <w:spacing w:line="240" w:lineRule="auto"/>
        <w:ind w:left="220" w:hanging="220"/>
      </w:pPr>
      <w:r>
        <w:lastRenderedPageBreak/>
        <w:t>V případě prodlení odběratele s úhradou jakékoliv částky vyplývající z uzavřeného burzovního obchodu (závěrkového listu), je odběratel povinen uhradit dodavateli úrok z prodlení ve výši 0,05 % z dlužné částky za každý den prodlení.</w:t>
      </w:r>
    </w:p>
    <w:p w14:paraId="2AC6C8F3" w14:textId="77777777" w:rsidR="00E61AF4" w:rsidRDefault="009556DC">
      <w:pPr>
        <w:pStyle w:val="Zkladntext1"/>
        <w:numPr>
          <w:ilvl w:val="0"/>
          <w:numId w:val="2"/>
        </w:numPr>
        <w:shd w:val="clear" w:color="auto" w:fill="auto"/>
        <w:tabs>
          <w:tab w:val="left" w:pos="274"/>
        </w:tabs>
        <w:ind w:left="220" w:hanging="220"/>
      </w:pPr>
      <w:r>
        <w:t>V případě, že je odběratel v prodlení s úhradou jakékoliv částky vyplývající z uzavřeného burzovního obchodu, má dodavatel právo zaslat odběrateli písemné výzvy či upomínky k placení. Odběratel je v takovém případě povinen uhradit dodavateli náklady spojené se zasláním písemné výzvy či upomínky k placení.</w:t>
      </w:r>
    </w:p>
    <w:p w14:paraId="2717D09F" w14:textId="77777777" w:rsidR="00E61AF4" w:rsidRDefault="009556DC">
      <w:pPr>
        <w:pStyle w:val="Zkladntext1"/>
        <w:numPr>
          <w:ilvl w:val="0"/>
          <w:numId w:val="2"/>
        </w:numPr>
        <w:shd w:val="clear" w:color="auto" w:fill="auto"/>
        <w:tabs>
          <w:tab w:val="left" w:pos="370"/>
        </w:tabs>
        <w:spacing w:line="240" w:lineRule="auto"/>
        <w:ind w:left="220" w:hanging="220"/>
      </w:pPr>
      <w:r>
        <w:t>V případě prodlení dodavatele s úhradou jakékoliv částky vyplývající z uzavřeného burzovního obchodu (závěrkového listu), je dodavatel povinen uhradit odběrateli úrok z prodlení ve výši 0,05 % z dlužné částky za každý den prodlení.</w:t>
      </w:r>
    </w:p>
    <w:p w14:paraId="57AB1C08" w14:textId="77777777" w:rsidR="00E61AF4" w:rsidRDefault="009556DC">
      <w:pPr>
        <w:pStyle w:val="Nadpis20"/>
        <w:keepNext/>
        <w:keepLines/>
        <w:shd w:val="clear" w:color="auto" w:fill="auto"/>
        <w:spacing w:line="240" w:lineRule="auto"/>
      </w:pPr>
      <w:bookmarkStart w:id="8" w:name="bookmark8"/>
      <w:bookmarkStart w:id="9" w:name="bookmark9"/>
      <w:r>
        <w:t>Reklamace</w:t>
      </w:r>
      <w:bookmarkEnd w:id="8"/>
      <w:bookmarkEnd w:id="9"/>
    </w:p>
    <w:p w14:paraId="5A5F488E" w14:textId="77777777" w:rsidR="00E61AF4" w:rsidRDefault="009556DC">
      <w:pPr>
        <w:pStyle w:val="Zkladntext1"/>
        <w:numPr>
          <w:ilvl w:val="0"/>
          <w:numId w:val="4"/>
        </w:numPr>
        <w:shd w:val="clear" w:color="auto" w:fill="auto"/>
        <w:tabs>
          <w:tab w:val="left" w:pos="265"/>
        </w:tabs>
        <w:ind w:left="220" w:hanging="220"/>
      </w:pPr>
      <w:r>
        <w:t>Zjistí-li odběratel chyby nebo omyly při vyúčtování dodávky plynu dle uzavřeného burzovního obchodu (závěrkového listu), má právo příslušné vyúčtování (fakturu) u dodavatele reklamovat, a to nejpozději do 30 kalendářních dnů od doručení faktury, v níž se reklamované skutečnosti vyskytly. Reklamace musí mít písemnou formu a její uplatnění nemá odkladný účinek na splatnost faktury, vyjma zcela zjevné chyby, nedohodne-li se odběratel a dodavatel jinak.</w:t>
      </w:r>
    </w:p>
    <w:p w14:paraId="146F4DC6" w14:textId="77777777" w:rsidR="00E61AF4" w:rsidRDefault="009556DC">
      <w:pPr>
        <w:pStyle w:val="Zkladntext1"/>
        <w:numPr>
          <w:ilvl w:val="0"/>
          <w:numId w:val="4"/>
        </w:numPr>
        <w:shd w:val="clear" w:color="auto" w:fill="auto"/>
        <w:tabs>
          <w:tab w:val="left" w:pos="279"/>
        </w:tabs>
        <w:ind w:left="220" w:hanging="220"/>
      </w:pPr>
      <w:r>
        <w:t>Dodavatel je povinen reklamaci přezkoumat a výsledek přezkoumání je povinen oznámit odběrateli ve lhůtě do 30 kalendářních dnů od doručení reklamace.</w:t>
      </w:r>
    </w:p>
    <w:p w14:paraId="0D0764C6" w14:textId="77777777" w:rsidR="00E61AF4" w:rsidRDefault="009556DC">
      <w:pPr>
        <w:pStyle w:val="Nadpis20"/>
        <w:keepNext/>
        <w:keepLines/>
        <w:shd w:val="clear" w:color="auto" w:fill="auto"/>
      </w:pPr>
      <w:bookmarkStart w:id="10" w:name="bookmark10"/>
      <w:bookmarkStart w:id="11" w:name="bookmark11"/>
      <w:r>
        <w:t>Omezení a přerušení dodávky</w:t>
      </w:r>
      <w:bookmarkEnd w:id="10"/>
      <w:bookmarkEnd w:id="11"/>
    </w:p>
    <w:p w14:paraId="6FB1AA1D" w14:textId="77777777" w:rsidR="00E61AF4" w:rsidRDefault="009556DC">
      <w:pPr>
        <w:pStyle w:val="Zkladntext1"/>
        <w:numPr>
          <w:ilvl w:val="0"/>
          <w:numId w:val="5"/>
        </w:numPr>
        <w:shd w:val="clear" w:color="auto" w:fill="auto"/>
        <w:tabs>
          <w:tab w:val="left" w:pos="260"/>
        </w:tabs>
        <w:ind w:left="220" w:hanging="220"/>
      </w:pPr>
      <w:r>
        <w:t xml:space="preserve">Dodavatel je oprávněn přerušit nebo omezit v nezbytném rozsahu dodávku plynu dle burzovního obchodu </w:t>
      </w:r>
      <w:r>
        <w:t>(závěrkového listu) v odběrném místě v případech neoprávněného odběru, který je definován příslušnými platnými právními předpisy.</w:t>
      </w:r>
    </w:p>
    <w:p w14:paraId="0DD7FE7E" w14:textId="77777777" w:rsidR="00E61AF4" w:rsidRDefault="009556DC">
      <w:pPr>
        <w:pStyle w:val="Zkladntext1"/>
        <w:numPr>
          <w:ilvl w:val="0"/>
          <w:numId w:val="5"/>
        </w:numPr>
        <w:shd w:val="clear" w:color="auto" w:fill="auto"/>
        <w:tabs>
          <w:tab w:val="left" w:pos="279"/>
        </w:tabs>
        <w:ind w:left="220" w:hanging="220"/>
      </w:pPr>
      <w:r>
        <w:t>Přerušení nebo omezení dodávky plynu z důvodu neoprávněného odběru bude provedeno provozovatelem distribuční soustavy na žádost dodavatele bezprostředně po zjištění neoprávněného odběru a bude provedeno na náklady odběratele.</w:t>
      </w:r>
    </w:p>
    <w:p w14:paraId="324AE73D" w14:textId="77777777" w:rsidR="00E61AF4" w:rsidRDefault="009556DC">
      <w:pPr>
        <w:pStyle w:val="Zkladntext1"/>
        <w:numPr>
          <w:ilvl w:val="0"/>
          <w:numId w:val="5"/>
        </w:numPr>
        <w:shd w:val="clear" w:color="auto" w:fill="auto"/>
        <w:tabs>
          <w:tab w:val="left" w:pos="279"/>
        </w:tabs>
        <w:ind w:left="220" w:hanging="220"/>
      </w:pPr>
      <w:r>
        <w:t>Přerušením nebo omezením dodávky plynu v případech neoprávněného odběru nevzniká odběrateli právo na náhradu škody a ušlého zisku na dodavateli a na provozovateli distribuční soustavy.</w:t>
      </w:r>
    </w:p>
    <w:p w14:paraId="7E95E33A" w14:textId="77777777" w:rsidR="00E61AF4" w:rsidRDefault="009556DC">
      <w:pPr>
        <w:pStyle w:val="Zkladntext1"/>
        <w:numPr>
          <w:ilvl w:val="0"/>
          <w:numId w:val="5"/>
        </w:numPr>
        <w:shd w:val="clear" w:color="auto" w:fill="auto"/>
        <w:tabs>
          <w:tab w:val="left" w:pos="284"/>
        </w:tabs>
        <w:ind w:left="220" w:hanging="220"/>
      </w:pPr>
      <w:r>
        <w:t>Odběratel je povinen uhradit dodavateli náklady spojené s přerušením, obnovením nebo ukončením dodávky plynu z důvodu neoprávněného odběru. Při neoprávněném odběru je zákazník povinen uhradit skutečně vzniklou škodu, nelze-li vzniklou škodu prokazatelně stanovit, je náhrada škody vypočtena podle Řádu provozovatele distribuční soustavy.</w:t>
      </w:r>
    </w:p>
    <w:p w14:paraId="573B20A1" w14:textId="77777777" w:rsidR="00E61AF4" w:rsidRDefault="009556DC">
      <w:pPr>
        <w:pStyle w:val="Nadpis20"/>
        <w:keepNext/>
        <w:keepLines/>
        <w:shd w:val="clear" w:color="auto" w:fill="auto"/>
      </w:pPr>
      <w:bookmarkStart w:id="12" w:name="bookmark12"/>
      <w:bookmarkStart w:id="13" w:name="bookmark13"/>
      <w:r>
        <w:t>Odstoupení od burzovního obchodu (závěrkového listu)</w:t>
      </w:r>
      <w:bookmarkEnd w:id="12"/>
      <w:bookmarkEnd w:id="13"/>
    </w:p>
    <w:p w14:paraId="125FA45F" w14:textId="77777777" w:rsidR="00E61AF4" w:rsidRDefault="009556DC">
      <w:pPr>
        <w:pStyle w:val="Zkladntext1"/>
        <w:numPr>
          <w:ilvl w:val="0"/>
          <w:numId w:val="6"/>
        </w:numPr>
        <w:shd w:val="clear" w:color="auto" w:fill="auto"/>
        <w:tabs>
          <w:tab w:val="left" w:pos="260"/>
        </w:tabs>
        <w:spacing w:after="0"/>
      </w:pPr>
      <w:r>
        <w:t>Dodavatel je oprávněn odstoupit od burzovního obchodu (závěrkového listu) v případě:</w:t>
      </w:r>
    </w:p>
    <w:p w14:paraId="7A3188DB" w14:textId="77777777" w:rsidR="00E61AF4" w:rsidRDefault="009556DC">
      <w:pPr>
        <w:pStyle w:val="Zkladntext1"/>
        <w:numPr>
          <w:ilvl w:val="0"/>
          <w:numId w:val="7"/>
        </w:numPr>
        <w:shd w:val="clear" w:color="auto" w:fill="auto"/>
        <w:tabs>
          <w:tab w:val="left" w:pos="514"/>
        </w:tabs>
        <w:spacing w:after="0"/>
        <w:ind w:firstLine="220"/>
      </w:pPr>
      <w:r>
        <w:t>podstatného porušení povinností - podmínek burzovního obchodu (závěrkového listu) odběratelem,</w:t>
      </w:r>
    </w:p>
    <w:p w14:paraId="595C2A2D" w14:textId="77777777" w:rsidR="00E61AF4" w:rsidRDefault="009556DC">
      <w:pPr>
        <w:pStyle w:val="Zkladntext1"/>
        <w:numPr>
          <w:ilvl w:val="0"/>
          <w:numId w:val="7"/>
        </w:numPr>
        <w:shd w:val="clear" w:color="auto" w:fill="auto"/>
        <w:tabs>
          <w:tab w:val="left" w:pos="514"/>
        </w:tabs>
        <w:spacing w:after="0"/>
        <w:ind w:firstLine="220"/>
      </w:pPr>
      <w:r>
        <w:t>neoprávněného odběru, který je definován příslušnými platnými právními předpisy,</w:t>
      </w:r>
    </w:p>
    <w:p w14:paraId="3FCADA7D" w14:textId="77777777" w:rsidR="00E61AF4" w:rsidRDefault="009556DC">
      <w:pPr>
        <w:pStyle w:val="Zkladntext1"/>
        <w:numPr>
          <w:ilvl w:val="0"/>
          <w:numId w:val="7"/>
        </w:numPr>
        <w:shd w:val="clear" w:color="auto" w:fill="auto"/>
        <w:tabs>
          <w:tab w:val="left" w:pos="514"/>
        </w:tabs>
        <w:ind w:firstLine="220"/>
      </w:pPr>
      <w:r>
        <w:t>je-li odběratel v úpadku neboje mu povoleno vyrovnání.</w:t>
      </w:r>
    </w:p>
    <w:p w14:paraId="642CB497" w14:textId="77777777" w:rsidR="00E61AF4" w:rsidRDefault="009556DC">
      <w:pPr>
        <w:pStyle w:val="Zkladntext1"/>
        <w:numPr>
          <w:ilvl w:val="0"/>
          <w:numId w:val="6"/>
        </w:numPr>
        <w:shd w:val="clear" w:color="auto" w:fill="auto"/>
        <w:tabs>
          <w:tab w:val="left" w:pos="274"/>
        </w:tabs>
        <w:spacing w:after="0"/>
        <w:ind w:left="220" w:hanging="220"/>
      </w:pPr>
      <w:r>
        <w:t xml:space="preserve">Za podstatné porušení </w:t>
      </w:r>
      <w:r>
        <w:t>povinností - podmínek burzovního obchodu (závěrkového listu) odběratelem se považuje zejména:</w:t>
      </w:r>
    </w:p>
    <w:p w14:paraId="2218F420" w14:textId="77777777" w:rsidR="00E61AF4" w:rsidRDefault="009556DC">
      <w:pPr>
        <w:pStyle w:val="Zkladntext1"/>
        <w:numPr>
          <w:ilvl w:val="0"/>
          <w:numId w:val="8"/>
        </w:numPr>
        <w:shd w:val="clear" w:color="auto" w:fill="auto"/>
        <w:tabs>
          <w:tab w:val="left" w:pos="529"/>
        </w:tabs>
        <w:spacing w:after="0"/>
        <w:ind w:left="440" w:hanging="200"/>
      </w:pPr>
      <w:r>
        <w:t xml:space="preserve">je-li odběratel i přes doručení </w:t>
      </w:r>
      <w:r>
        <w:rPr>
          <w:i/>
          <w:iCs/>
        </w:rPr>
        <w:t>výzvy</w:t>
      </w:r>
      <w:r>
        <w:t xml:space="preserve"> nebo upomínky k placení opakovaně v prodlení se zaplacením peněžitého závazku vyplývajícího ze závěrkového listu,</w:t>
      </w:r>
    </w:p>
    <w:p w14:paraId="325A3F5A" w14:textId="77777777" w:rsidR="00E61AF4" w:rsidRDefault="009556DC">
      <w:pPr>
        <w:pStyle w:val="Zkladntext1"/>
        <w:numPr>
          <w:ilvl w:val="0"/>
          <w:numId w:val="8"/>
        </w:numPr>
        <w:shd w:val="clear" w:color="auto" w:fill="auto"/>
        <w:tabs>
          <w:tab w:val="left" w:pos="529"/>
        </w:tabs>
        <w:spacing w:after="0"/>
        <w:ind w:left="440" w:hanging="200"/>
      </w:pPr>
      <w:r>
        <w:t>zjistí-li dodavatel nebo příslušný provozovatel distribuční soustavy neoprávněnou manipulaci s měřícím zařízením,</w:t>
      </w:r>
    </w:p>
    <w:p w14:paraId="4B3D1D5C" w14:textId="77777777" w:rsidR="00E61AF4" w:rsidRDefault="009556DC">
      <w:pPr>
        <w:pStyle w:val="Zkladntext1"/>
        <w:numPr>
          <w:ilvl w:val="0"/>
          <w:numId w:val="8"/>
        </w:numPr>
        <w:shd w:val="clear" w:color="auto" w:fill="auto"/>
        <w:tabs>
          <w:tab w:val="left" w:pos="529"/>
        </w:tabs>
        <w:ind w:left="440" w:hanging="200"/>
      </w:pPr>
      <w:r>
        <w:t>neumožní-li odběratel přístup k měřícímu zařízení ani po opakované písemné výzvě dodavatele nebo příslušného provozovatele distribuční soustavy,</w:t>
      </w:r>
    </w:p>
    <w:p w14:paraId="029C3F12" w14:textId="77777777" w:rsidR="00E61AF4" w:rsidRDefault="009556DC">
      <w:pPr>
        <w:pStyle w:val="Zkladntext1"/>
        <w:numPr>
          <w:ilvl w:val="0"/>
          <w:numId w:val="8"/>
        </w:numPr>
        <w:shd w:val="clear" w:color="auto" w:fill="auto"/>
        <w:tabs>
          <w:tab w:val="left" w:pos="565"/>
        </w:tabs>
        <w:spacing w:line="259" w:lineRule="auto"/>
        <w:ind w:left="460" w:hanging="220"/>
      </w:pPr>
      <w:r>
        <w:t>poruší-li odběratel podstatně povinnosti - podmínky zvlášť specifikované burzovním obchodem (závěrkovým listem).</w:t>
      </w:r>
    </w:p>
    <w:p w14:paraId="3F2C578D" w14:textId="77777777" w:rsidR="00E61AF4" w:rsidRDefault="009556DC">
      <w:pPr>
        <w:pStyle w:val="Zkladntext1"/>
        <w:numPr>
          <w:ilvl w:val="0"/>
          <w:numId w:val="6"/>
        </w:numPr>
        <w:shd w:val="clear" w:color="auto" w:fill="auto"/>
        <w:tabs>
          <w:tab w:val="left" w:pos="306"/>
        </w:tabs>
        <w:spacing w:after="0" w:line="259" w:lineRule="auto"/>
      </w:pPr>
      <w:r>
        <w:t>Odběratel je oprávněn odstoupit od burzovního obchodu (závěrkového listu) v případě:</w:t>
      </w:r>
    </w:p>
    <w:p w14:paraId="2327970A" w14:textId="77777777" w:rsidR="00E61AF4" w:rsidRDefault="009556DC">
      <w:pPr>
        <w:pStyle w:val="Zkladntext1"/>
        <w:numPr>
          <w:ilvl w:val="0"/>
          <w:numId w:val="9"/>
        </w:numPr>
        <w:shd w:val="clear" w:color="auto" w:fill="auto"/>
        <w:tabs>
          <w:tab w:val="left" w:pos="545"/>
        </w:tabs>
        <w:spacing w:after="0" w:line="259" w:lineRule="auto"/>
        <w:ind w:firstLine="220"/>
      </w:pPr>
      <w:r>
        <w:lastRenderedPageBreak/>
        <w:t>podstatného porušení povinností - podmínek burzovního obchodu (závěrkového listu) dodavatelem,</w:t>
      </w:r>
    </w:p>
    <w:p w14:paraId="40DA2ACE" w14:textId="77777777" w:rsidR="00E61AF4" w:rsidRDefault="009556DC">
      <w:pPr>
        <w:pStyle w:val="Zkladntext1"/>
        <w:numPr>
          <w:ilvl w:val="0"/>
          <w:numId w:val="9"/>
        </w:numPr>
        <w:shd w:val="clear" w:color="auto" w:fill="auto"/>
        <w:tabs>
          <w:tab w:val="left" w:pos="545"/>
        </w:tabs>
        <w:spacing w:line="259" w:lineRule="auto"/>
        <w:ind w:firstLine="220"/>
      </w:pPr>
      <w:r>
        <w:t>je-li dodavatel v úpadku nebo je mu povoleno vyrovnání.</w:t>
      </w:r>
    </w:p>
    <w:p w14:paraId="0CA90851" w14:textId="77777777" w:rsidR="00E61AF4" w:rsidRDefault="009556DC">
      <w:pPr>
        <w:pStyle w:val="Zkladntext1"/>
        <w:numPr>
          <w:ilvl w:val="0"/>
          <w:numId w:val="6"/>
        </w:numPr>
        <w:shd w:val="clear" w:color="auto" w:fill="auto"/>
        <w:tabs>
          <w:tab w:val="left" w:pos="311"/>
        </w:tabs>
        <w:spacing w:after="0" w:line="259" w:lineRule="auto"/>
        <w:ind w:left="220" w:hanging="220"/>
      </w:pPr>
      <w:r>
        <w:t xml:space="preserve">Za podstatné porušení povinností - </w:t>
      </w:r>
      <w:r>
        <w:t>podmínek burzovního obchodu (závěrkového listu) dodavatelem se považuje zejména:</w:t>
      </w:r>
    </w:p>
    <w:p w14:paraId="4BB0B8FB" w14:textId="77777777" w:rsidR="00E61AF4" w:rsidRDefault="009556DC">
      <w:pPr>
        <w:pStyle w:val="Zkladntext1"/>
        <w:numPr>
          <w:ilvl w:val="0"/>
          <w:numId w:val="10"/>
        </w:numPr>
        <w:shd w:val="clear" w:color="auto" w:fill="auto"/>
        <w:tabs>
          <w:tab w:val="left" w:pos="545"/>
        </w:tabs>
        <w:spacing w:after="0" w:line="259" w:lineRule="auto"/>
        <w:ind w:firstLine="220"/>
      </w:pPr>
      <w:r>
        <w:t>bezdůvodné přerušení, omezení nebo ukončení dodávky plynu dodavatelem,</w:t>
      </w:r>
    </w:p>
    <w:p w14:paraId="55B55FCE" w14:textId="77777777" w:rsidR="00E61AF4" w:rsidRDefault="009556DC">
      <w:pPr>
        <w:pStyle w:val="Zkladntext1"/>
        <w:numPr>
          <w:ilvl w:val="0"/>
          <w:numId w:val="10"/>
        </w:numPr>
        <w:shd w:val="clear" w:color="auto" w:fill="auto"/>
        <w:tabs>
          <w:tab w:val="left" w:pos="545"/>
        </w:tabs>
        <w:spacing w:after="0" w:line="259" w:lineRule="auto"/>
        <w:ind w:firstLine="220"/>
      </w:pPr>
      <w:r>
        <w:t>bezdůvodné nezajištění dopravy plynu a souvisejících služeb ze strany dodavatele,</w:t>
      </w:r>
    </w:p>
    <w:p w14:paraId="2A294DE2" w14:textId="77777777" w:rsidR="00E61AF4" w:rsidRDefault="009556DC">
      <w:pPr>
        <w:pStyle w:val="Zkladntext1"/>
        <w:numPr>
          <w:ilvl w:val="0"/>
          <w:numId w:val="10"/>
        </w:numPr>
        <w:shd w:val="clear" w:color="auto" w:fill="auto"/>
        <w:tabs>
          <w:tab w:val="left" w:pos="565"/>
        </w:tabs>
        <w:spacing w:after="0" w:line="259" w:lineRule="auto"/>
        <w:ind w:left="460" w:hanging="220"/>
      </w:pPr>
      <w:r>
        <w:t>je-li dodavatel i přes doručení výzvy nebo upomínky k placení opakovaně v prodlení se zaplacením peněžitého závazku vyplývajícího ze závěrkového listu,</w:t>
      </w:r>
    </w:p>
    <w:p w14:paraId="0D9DAE19" w14:textId="77777777" w:rsidR="00E61AF4" w:rsidRDefault="009556DC">
      <w:pPr>
        <w:pStyle w:val="Zkladntext1"/>
        <w:numPr>
          <w:ilvl w:val="0"/>
          <w:numId w:val="10"/>
        </w:numPr>
        <w:shd w:val="clear" w:color="auto" w:fill="auto"/>
        <w:tabs>
          <w:tab w:val="left" w:pos="570"/>
        </w:tabs>
        <w:spacing w:line="259" w:lineRule="auto"/>
        <w:ind w:left="460" w:hanging="220"/>
      </w:pPr>
      <w:r>
        <w:t>poruší-li dodavatel podstatně povinnosti - podmínky zvlášť specifikované burzovním obchodem (závěrkovým listem).</w:t>
      </w:r>
    </w:p>
    <w:p w14:paraId="752CA422" w14:textId="77777777" w:rsidR="00E61AF4" w:rsidRDefault="009556DC">
      <w:pPr>
        <w:pStyle w:val="Zkladntext1"/>
        <w:numPr>
          <w:ilvl w:val="0"/>
          <w:numId w:val="6"/>
        </w:numPr>
        <w:shd w:val="clear" w:color="auto" w:fill="auto"/>
        <w:tabs>
          <w:tab w:val="left" w:pos="311"/>
        </w:tabs>
        <w:spacing w:after="0" w:line="259" w:lineRule="auto"/>
        <w:ind w:left="220" w:hanging="220"/>
      </w:pPr>
      <w:r>
        <w:t>Odstoupení od burzovního obchodu (závěrkového listu) musí být provedeno písemně a je účinné dnem doručení písemného oznámení o odstoupení druhé smluvní straně, nebo pozdějším dnem, který je</w:t>
      </w:r>
    </w:p>
    <w:p w14:paraId="4CA1AF40" w14:textId="77777777" w:rsidR="00E61AF4" w:rsidRDefault="009556DC">
      <w:pPr>
        <w:pStyle w:val="Zkladntext1"/>
        <w:shd w:val="clear" w:color="auto" w:fill="auto"/>
        <w:spacing w:line="259" w:lineRule="auto"/>
        <w:ind w:left="220" w:firstLine="20"/>
      </w:pPr>
      <w:r>
        <w:t>v oznámení o odstoupení odstupující smluvní stranou stanoven. Odstupující smluvní strana je povinna oznámit odstoupení od burzovního obchodu (závěrkového listu) příslušnému provozovateli distribuční soustavy.</w:t>
      </w:r>
    </w:p>
    <w:p w14:paraId="71CD10AD" w14:textId="77777777" w:rsidR="00E61AF4" w:rsidRDefault="009556DC">
      <w:pPr>
        <w:pStyle w:val="Nadpis20"/>
        <w:keepNext/>
        <w:keepLines/>
        <w:shd w:val="clear" w:color="auto" w:fill="auto"/>
        <w:spacing w:line="259" w:lineRule="auto"/>
      </w:pPr>
      <w:bookmarkStart w:id="14" w:name="bookmark14"/>
      <w:bookmarkStart w:id="15" w:name="bookmark15"/>
      <w:r>
        <w:t>Komunikace a doručování</w:t>
      </w:r>
      <w:bookmarkEnd w:id="14"/>
      <w:bookmarkEnd w:id="15"/>
    </w:p>
    <w:p w14:paraId="6305A24C" w14:textId="77777777" w:rsidR="00E61AF4" w:rsidRDefault="009556DC">
      <w:pPr>
        <w:pStyle w:val="Zkladntext1"/>
        <w:numPr>
          <w:ilvl w:val="0"/>
          <w:numId w:val="11"/>
        </w:numPr>
        <w:shd w:val="clear" w:color="auto" w:fill="auto"/>
        <w:tabs>
          <w:tab w:val="left" w:pos="301"/>
        </w:tabs>
        <w:spacing w:line="257" w:lineRule="auto"/>
        <w:ind w:left="220" w:hanging="220"/>
      </w:pPr>
      <w:r>
        <w:t xml:space="preserve">Korespondence, oznámení či jiné sdělení učiněné mezi smluvními stranami na základě </w:t>
      </w:r>
      <w:r>
        <w:t>uzavřeného burzovního obchodu (závěrkového listu) musí mít písemnou podobu a musí být v českém jazyce (dále „písemnost“).</w:t>
      </w:r>
    </w:p>
    <w:p w14:paraId="6A303BB6" w14:textId="77777777" w:rsidR="00E61AF4" w:rsidRDefault="009556DC">
      <w:pPr>
        <w:pStyle w:val="Zkladntext1"/>
        <w:numPr>
          <w:ilvl w:val="0"/>
          <w:numId w:val="11"/>
        </w:numPr>
        <w:shd w:val="clear" w:color="auto" w:fill="auto"/>
        <w:tabs>
          <w:tab w:val="left" w:pos="306"/>
        </w:tabs>
        <w:spacing w:after="0"/>
      </w:pPr>
      <w:r>
        <w:t>Písemnosti se považují za doručené:</w:t>
      </w:r>
    </w:p>
    <w:p w14:paraId="576FA9DB" w14:textId="77777777" w:rsidR="00E61AF4" w:rsidRDefault="009556DC">
      <w:pPr>
        <w:pStyle w:val="Zkladntext1"/>
        <w:numPr>
          <w:ilvl w:val="0"/>
          <w:numId w:val="12"/>
        </w:numPr>
        <w:shd w:val="clear" w:color="auto" w:fill="auto"/>
        <w:tabs>
          <w:tab w:val="left" w:pos="545"/>
        </w:tabs>
        <w:spacing w:after="0"/>
        <w:ind w:firstLine="220"/>
      </w:pPr>
      <w:r>
        <w:t>osobním doručením a předáním kontaktní osobě smluvní strany, která je adresátem,</w:t>
      </w:r>
    </w:p>
    <w:p w14:paraId="71D4103F" w14:textId="77777777" w:rsidR="00E61AF4" w:rsidRDefault="009556DC">
      <w:pPr>
        <w:pStyle w:val="Zkladntext1"/>
        <w:numPr>
          <w:ilvl w:val="0"/>
          <w:numId w:val="12"/>
        </w:numPr>
        <w:shd w:val="clear" w:color="auto" w:fill="auto"/>
        <w:tabs>
          <w:tab w:val="left" w:pos="565"/>
        </w:tabs>
        <w:spacing w:after="0"/>
        <w:ind w:left="460" w:hanging="220"/>
      </w:pPr>
      <w:r>
        <w:t>pátým kalendářním dnem ode dne odeslání doporučeného dopisu na kontaktní adresu smluvní strany, která je adresátem, nebo dřívějším dnem doručení,</w:t>
      </w:r>
    </w:p>
    <w:p w14:paraId="6F802AFC" w14:textId="77777777" w:rsidR="00E61AF4" w:rsidRDefault="009556DC">
      <w:pPr>
        <w:pStyle w:val="Zkladntext1"/>
        <w:numPr>
          <w:ilvl w:val="0"/>
          <w:numId w:val="12"/>
        </w:numPr>
        <w:shd w:val="clear" w:color="auto" w:fill="auto"/>
        <w:tabs>
          <w:tab w:val="left" w:pos="565"/>
        </w:tabs>
        <w:ind w:left="460" w:hanging="220"/>
      </w:pPr>
      <w:r>
        <w:t>zpětným potvrzením faxové nebo elektronické zprávy, která byla odeslána na kontaktní faxové číslo nebo e-mailovou adresu smluvní strany, která je adresátem.</w:t>
      </w:r>
    </w:p>
    <w:p w14:paraId="22FDE72E" w14:textId="77777777" w:rsidR="00E61AF4" w:rsidRDefault="009556DC">
      <w:pPr>
        <w:pStyle w:val="Zkladntext1"/>
        <w:numPr>
          <w:ilvl w:val="0"/>
          <w:numId w:val="11"/>
        </w:numPr>
        <w:shd w:val="clear" w:color="auto" w:fill="auto"/>
        <w:tabs>
          <w:tab w:val="left" w:pos="311"/>
        </w:tabs>
        <w:spacing w:line="257" w:lineRule="auto"/>
        <w:ind w:left="220" w:hanging="220"/>
      </w:pPr>
      <w:r>
        <w:t>Smluvní strany jsou 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14:paraId="019A9D44" w14:textId="77777777" w:rsidR="00E61AF4" w:rsidRDefault="009556DC">
      <w:pPr>
        <w:pStyle w:val="Nadpis20"/>
        <w:keepNext/>
        <w:keepLines/>
        <w:shd w:val="clear" w:color="auto" w:fill="auto"/>
        <w:spacing w:line="259" w:lineRule="auto"/>
      </w:pPr>
      <w:bookmarkStart w:id="16" w:name="bookmark16"/>
      <w:bookmarkStart w:id="17" w:name="bookmark17"/>
      <w:r>
        <w:rPr>
          <w:u w:val="none"/>
        </w:rPr>
        <w:t>Kontaktní údaje:</w:t>
      </w:r>
      <w:bookmarkEnd w:id="16"/>
      <w:bookmarkEnd w:id="17"/>
    </w:p>
    <w:p w14:paraId="238FED1B" w14:textId="77777777" w:rsidR="00E61AF4" w:rsidRDefault="009556DC">
      <w:pPr>
        <w:pStyle w:val="Zkladntext1"/>
        <w:shd w:val="clear" w:color="auto" w:fill="auto"/>
        <w:spacing w:line="259" w:lineRule="auto"/>
      </w:pPr>
      <w:r>
        <w:t>Dodavatel:</w:t>
      </w:r>
    </w:p>
    <w:p w14:paraId="6387EF83" w14:textId="77777777" w:rsidR="00E61AF4" w:rsidRDefault="009556DC">
      <w:pPr>
        <w:pStyle w:val="Zkladntext1"/>
        <w:shd w:val="clear" w:color="auto" w:fill="auto"/>
        <w:spacing w:after="440" w:line="259" w:lineRule="auto"/>
      </w:pPr>
      <w:r>
        <w:t>Odběratel:</w:t>
      </w:r>
    </w:p>
    <w:p w14:paraId="70FC5D99" w14:textId="77777777" w:rsidR="00E61AF4" w:rsidRDefault="009556DC">
      <w:pPr>
        <w:pStyle w:val="Nadpis20"/>
        <w:keepNext/>
        <w:keepLines/>
        <w:shd w:val="clear" w:color="auto" w:fill="auto"/>
        <w:spacing w:line="257" w:lineRule="auto"/>
      </w:pPr>
      <w:bookmarkStart w:id="18" w:name="bookmark18"/>
      <w:bookmarkStart w:id="19" w:name="bookmark19"/>
      <w:r>
        <w:t>Mlčenlivost</w:t>
      </w:r>
      <w:bookmarkEnd w:id="18"/>
      <w:bookmarkEnd w:id="19"/>
    </w:p>
    <w:p w14:paraId="1C9FB969" w14:textId="77777777" w:rsidR="00E61AF4" w:rsidRDefault="009556DC">
      <w:pPr>
        <w:pStyle w:val="Zkladntext1"/>
        <w:numPr>
          <w:ilvl w:val="0"/>
          <w:numId w:val="13"/>
        </w:numPr>
        <w:shd w:val="clear" w:color="auto" w:fill="auto"/>
        <w:tabs>
          <w:tab w:val="left" w:pos="297"/>
        </w:tabs>
        <w:spacing w:line="257" w:lineRule="auto"/>
        <w:ind w:left="220" w:hanging="220"/>
      </w:pPr>
      <w:r>
        <w:t xml:space="preserve">Dodavatel a odběratel se zavazují, že neposkytnou závěrkový list jako celek ani jeho část (která není veřejně známa) a </w:t>
      </w:r>
      <w:r>
        <w:t>neveřejné informace z něho plynoucí třetí osobě bez předchozího písemného souhlasu druhé smluvní strany, kromě případů, kdy jim zveřejnění nebo poskytnutí třetí osobě určuje příslušný právní předpis.</w:t>
      </w:r>
    </w:p>
    <w:p w14:paraId="3698AA51" w14:textId="77777777" w:rsidR="00E61AF4" w:rsidRDefault="009556DC">
      <w:pPr>
        <w:pStyle w:val="Zkladntext1"/>
        <w:numPr>
          <w:ilvl w:val="0"/>
          <w:numId w:val="13"/>
        </w:numPr>
        <w:shd w:val="clear" w:color="auto" w:fill="auto"/>
        <w:tabs>
          <w:tab w:val="left" w:pos="306"/>
        </w:tabs>
        <w:spacing w:line="259" w:lineRule="auto"/>
        <w:ind w:left="220" w:hanging="220"/>
      </w:pPr>
      <w:r>
        <w:t>Dodavatel a odběratel se zavazují přijmout technická a organizační vnitřní opatření k ochraně neveřejných informací, zejména důvěrných informací a osobních údajů.</w:t>
      </w:r>
    </w:p>
    <w:p w14:paraId="19CAAF9C" w14:textId="77777777" w:rsidR="00E61AF4" w:rsidRDefault="009556DC">
      <w:pPr>
        <w:pStyle w:val="Nadpis20"/>
        <w:keepNext/>
        <w:keepLines/>
        <w:shd w:val="clear" w:color="auto" w:fill="auto"/>
        <w:spacing w:line="257" w:lineRule="auto"/>
      </w:pPr>
      <w:bookmarkStart w:id="20" w:name="bookmark20"/>
      <w:bookmarkStart w:id="21" w:name="bookmark21"/>
      <w:r>
        <w:t>Předcházení škodám</w:t>
      </w:r>
      <w:bookmarkEnd w:id="20"/>
      <w:bookmarkEnd w:id="21"/>
    </w:p>
    <w:p w14:paraId="0FBFA068" w14:textId="77777777" w:rsidR="00E61AF4" w:rsidRDefault="009556DC">
      <w:pPr>
        <w:pStyle w:val="Zkladntext1"/>
        <w:numPr>
          <w:ilvl w:val="0"/>
          <w:numId w:val="14"/>
        </w:numPr>
        <w:shd w:val="clear" w:color="auto" w:fill="auto"/>
        <w:tabs>
          <w:tab w:val="left" w:pos="297"/>
        </w:tabs>
        <w:ind w:left="220" w:hanging="220"/>
      </w:pPr>
      <w:r>
        <w:t>Dodavatel a odběratel se zavazují navzájem se informovat o všech skutečnostech, kterých jsou si vědomi, a které by mohly vést ke škodám a usilovat o odvrácení hrozících škod.</w:t>
      </w:r>
    </w:p>
    <w:p w14:paraId="45797A1E" w14:textId="77777777" w:rsidR="00E61AF4" w:rsidRDefault="009556DC">
      <w:pPr>
        <w:pStyle w:val="Zkladntext1"/>
        <w:numPr>
          <w:ilvl w:val="0"/>
          <w:numId w:val="14"/>
        </w:numPr>
        <w:shd w:val="clear" w:color="auto" w:fill="auto"/>
        <w:tabs>
          <w:tab w:val="left" w:pos="274"/>
        </w:tabs>
        <w:ind w:left="220" w:hanging="220"/>
      </w:pPr>
      <w:r>
        <w:t xml:space="preserve">Dodavatel a odběratel se zprostí povinnosti k náhradě škody za podmínek dle </w:t>
      </w:r>
      <w:proofErr w:type="spellStart"/>
      <w:r>
        <w:t>ust</w:t>
      </w:r>
      <w:proofErr w:type="spellEnd"/>
      <w:r>
        <w:t>. § 2913 zákona č. 89/2012 Sb., občanský zákoník v platném znění, nebo za podmínek vyplývajících ze zákona č. 458/2000 Sb., o podmínkách podnikání a o výkonu státní správy v energetických odvětvích v platném znění.</w:t>
      </w:r>
    </w:p>
    <w:p w14:paraId="604E9D8C" w14:textId="77777777" w:rsidR="00E61AF4" w:rsidRDefault="009556DC">
      <w:pPr>
        <w:pStyle w:val="Nadpis20"/>
        <w:keepNext/>
        <w:keepLines/>
        <w:shd w:val="clear" w:color="auto" w:fill="auto"/>
      </w:pPr>
      <w:bookmarkStart w:id="22" w:name="bookmark22"/>
      <w:bookmarkStart w:id="23" w:name="bookmark23"/>
      <w:r>
        <w:lastRenderedPageBreak/>
        <w:t>Ostatní ujednání</w:t>
      </w:r>
      <w:bookmarkEnd w:id="22"/>
      <w:bookmarkEnd w:id="23"/>
    </w:p>
    <w:p w14:paraId="42FEFD18" w14:textId="77777777" w:rsidR="00E61AF4" w:rsidRDefault="009556DC">
      <w:pPr>
        <w:pStyle w:val="Zkladntext1"/>
        <w:numPr>
          <w:ilvl w:val="0"/>
          <w:numId w:val="15"/>
        </w:numPr>
        <w:shd w:val="clear" w:color="auto" w:fill="auto"/>
        <w:tabs>
          <w:tab w:val="left" w:pos="265"/>
        </w:tabs>
        <w:ind w:left="220" w:hanging="220"/>
      </w:pPr>
      <w:r>
        <w:t xml:space="preserve">Závěrkový list je Smlouvou o sdružených službách dodávky zemního plynu mezi držitelem licence na obchod s plynem (dodavatelem) a zákazníkem </w:t>
      </w:r>
      <w:r>
        <w:t>(odběratelem),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4B405783" w14:textId="77777777" w:rsidR="00E61AF4" w:rsidRDefault="009556DC">
      <w:pPr>
        <w:pStyle w:val="Zkladntext1"/>
        <w:numPr>
          <w:ilvl w:val="0"/>
          <w:numId w:val="15"/>
        </w:numPr>
        <w:shd w:val="clear" w:color="auto" w:fill="auto"/>
        <w:tabs>
          <w:tab w:val="left" w:pos="279"/>
        </w:tabs>
        <w:ind w:left="220" w:hanging="220"/>
      </w:pPr>
      <w:r>
        <w:t>Dodavatel a odběratel jsou povinni postupovat při plnění podmínek burzovního obchodu (závěrkového listu) v souladu s podmínkami příslušného burzovního obchodu (závěrkového listu), platným Řádem provozovatele přepravní soustavy, platným Řádem provozovatele distribuční soustavy, příslušnými právními předpisy a technickými normami.</w:t>
      </w:r>
    </w:p>
    <w:p w14:paraId="7E6A159A" w14:textId="77777777" w:rsidR="00E61AF4" w:rsidRDefault="009556DC">
      <w:pPr>
        <w:pStyle w:val="Zkladntext1"/>
        <w:numPr>
          <w:ilvl w:val="0"/>
          <w:numId w:val="15"/>
        </w:numPr>
        <w:shd w:val="clear" w:color="auto" w:fill="auto"/>
        <w:tabs>
          <w:tab w:val="left" w:pos="279"/>
        </w:tabs>
        <w:spacing w:after="0"/>
      </w:pPr>
      <w:r>
        <w:t>Odběratel je oprávněn ukončit odběr plynu v odběrném místě v případě, kdy dodavateli doloží,</w:t>
      </w:r>
    </w:p>
    <w:p w14:paraId="46CBAD0E" w14:textId="77777777" w:rsidR="00E61AF4" w:rsidRDefault="009556DC">
      <w:pPr>
        <w:pStyle w:val="Zkladntext1"/>
        <w:shd w:val="clear" w:color="auto" w:fill="auto"/>
        <w:ind w:left="220" w:firstLine="20"/>
      </w:pPr>
      <w:r>
        <w:t xml:space="preserve">že ukončuje odběr plynu z důvodu změny převodu vlastnických práv k </w:t>
      </w:r>
      <w:r>
        <w:t>odběrnému místu nebo z důvodu fyzické likvidace odběrného místa (živelní pohroma, demolice). Odběratel se zavazuje před ukončením odběru plynu provést odhlášení odběru plynu a sjednat termín odpojení měřícího zařízení. Odběratel má povinnost při ukončení odběru plynu umožnit příslušnému provozovateli distribuční soustavy provést konečný odečet, popř. odebrat měřící zařízení. Pokud odběratel neumožní dodavateli nebo provozovateli distribuční soustavy nebo jím pověřené osobě provést konečný odečet nebo odpoji</w:t>
      </w:r>
      <w:r>
        <w:t>t měřící zařízení, odpovídá za celý odběr až do té doby, kdy dodavatel, nebo provozovatel distribuční soustavy nebojím pověřená osoba bude moci tak učinit.</w:t>
      </w:r>
    </w:p>
    <w:p w14:paraId="0EBAD286" w14:textId="77777777" w:rsidR="00E61AF4" w:rsidRDefault="009556DC">
      <w:pPr>
        <w:pStyle w:val="Zkladntext1"/>
        <w:numPr>
          <w:ilvl w:val="0"/>
          <w:numId w:val="15"/>
        </w:numPr>
        <w:shd w:val="clear" w:color="auto" w:fill="auto"/>
        <w:tabs>
          <w:tab w:val="left" w:pos="289"/>
        </w:tabs>
        <w:ind w:left="220" w:hanging="220"/>
      </w:pPr>
      <w:r>
        <w:t>Dodavatel a odběratel jsou se souhlasem burzy oprávněni ukončit plnění burzovního obchodu (závěrkového listu) rovněž vzájemnou písemnou dohodou.</w:t>
      </w:r>
    </w:p>
    <w:p w14:paraId="302B0964" w14:textId="77777777" w:rsidR="00E61AF4" w:rsidRDefault="009556DC">
      <w:pPr>
        <w:pStyle w:val="Zkladntext1"/>
        <w:numPr>
          <w:ilvl w:val="0"/>
          <w:numId w:val="15"/>
        </w:numPr>
        <w:shd w:val="clear" w:color="auto" w:fill="auto"/>
        <w:tabs>
          <w:tab w:val="left" w:pos="289"/>
        </w:tabs>
        <w:ind w:left="220" w:hanging="220"/>
      </w:pPr>
      <w:r>
        <w:t>Uzavřením burzovního obchodu (závěrkového listu) se ke dni zahájení sjednané dodávky plynu do odběrného místa ruší všechny smluvní vztahy související s dodávkou plynu do tohoto odběrného místa, které byly uzavřeny mezi dodavatelem a odběratelem nebo jejich právními předchůdci před uzavřením burzovního obchodu.</w:t>
      </w:r>
    </w:p>
    <w:p w14:paraId="7E140955" w14:textId="77777777" w:rsidR="00E61AF4" w:rsidRDefault="009556DC">
      <w:pPr>
        <w:pStyle w:val="Zkladntext1"/>
        <w:numPr>
          <w:ilvl w:val="0"/>
          <w:numId w:val="15"/>
        </w:numPr>
        <w:shd w:val="clear" w:color="auto" w:fill="auto"/>
        <w:tabs>
          <w:tab w:val="left" w:pos="289"/>
        </w:tabs>
        <w:ind w:left="220" w:hanging="220"/>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61B6F112" w14:textId="77777777" w:rsidR="00E61AF4" w:rsidRDefault="009556DC">
      <w:pPr>
        <w:pStyle w:val="Zkladntext1"/>
        <w:numPr>
          <w:ilvl w:val="0"/>
          <w:numId w:val="15"/>
        </w:numPr>
        <w:shd w:val="clear" w:color="auto" w:fill="auto"/>
        <w:tabs>
          <w:tab w:val="left" w:pos="289"/>
        </w:tabs>
        <w:spacing w:line="257" w:lineRule="auto"/>
        <w:ind w:left="220" w:hanging="220"/>
        <w:sectPr w:rsidR="00E61AF4">
          <w:pgSz w:w="11900" w:h="16840"/>
          <w:pgMar w:top="1450" w:right="1394" w:bottom="1250" w:left="1237" w:header="0" w:footer="3" w:gutter="0"/>
          <w:cols w:space="720"/>
          <w:noEndnote/>
          <w:docGrid w:linePitch="360"/>
        </w:sectPr>
      </w:pPr>
      <w:r>
        <w:t>Dodavatel a odběratel jsou povinni vynaložit veškeré úsilí k tomu, aby byly případné spory vyplývající z burzovního obchodu (závěrkového listu) urovnány smírnou cestou, k tomuto vyvinou vzájemnou součinnost.</w:t>
      </w:r>
    </w:p>
    <w:p w14:paraId="424B2EA8" w14:textId="77777777" w:rsidR="00E61AF4" w:rsidRDefault="009556DC">
      <w:pPr>
        <w:pStyle w:val="Nadpis20"/>
        <w:keepNext/>
        <w:keepLines/>
        <w:shd w:val="clear" w:color="auto" w:fill="auto"/>
        <w:spacing w:after="0"/>
      </w:pPr>
      <w:bookmarkStart w:id="24" w:name="bookmark24"/>
      <w:bookmarkStart w:id="25" w:name="bookmark25"/>
      <w:r>
        <w:rPr>
          <w:u w:val="none"/>
        </w:rPr>
        <w:lastRenderedPageBreak/>
        <w:t>Rozhodčí doložka:</w:t>
      </w:r>
      <w:bookmarkEnd w:id="24"/>
      <w:bookmarkEnd w:id="25"/>
    </w:p>
    <w:p w14:paraId="5949CB2E" w14:textId="77777777" w:rsidR="00E61AF4" w:rsidRDefault="009556DC">
      <w:pPr>
        <w:pStyle w:val="Zkladntext1"/>
        <w:shd w:val="clear" w:color="auto" w:fill="auto"/>
      </w:pPr>
      <w:r>
        <w:t xml:space="preserve">Veškeré spory vznikající z burzovního obchodu </w:t>
      </w:r>
      <w:r>
        <w:t>(závěrkového listu) a v souvislosti s ním, které se nepodaří odstranit jednáním mezi stranami, budou s konečnou platností rozhodnuty Mezinárodním rozhodčím soudem při Českomoravské komoditní burze, který je stálým rozhodčím soudem podle ustanovení § 13 zákona č. 216/1994 Sb. o rozhodčím řízení a o výkonu rozhodčích nálezů, podle jeho Řádu, a to jedním nebo třemi rozhodci ustanovenými v souladu s uvedeným Řádem.</w:t>
      </w:r>
    </w:p>
    <w:p w14:paraId="7F048FFB" w14:textId="77777777" w:rsidR="00E61AF4" w:rsidRDefault="009556DC">
      <w:pPr>
        <w:pStyle w:val="Zkladntext1"/>
        <w:shd w:val="clear" w:color="auto" w:fill="auto"/>
        <w:spacing w:after="1320" w:line="240" w:lineRule="auto"/>
      </w:pPr>
      <w:r>
        <w:t>V Kladně dne 29. 6. 2023</w:t>
      </w:r>
    </w:p>
    <w:p w14:paraId="6D147C14" w14:textId="77777777" w:rsidR="00E61AF4" w:rsidRDefault="009556DC">
      <w:pPr>
        <w:pStyle w:val="Zkladntext1"/>
        <w:shd w:val="clear" w:color="auto" w:fill="auto"/>
        <w:spacing w:after="1320" w:line="240" w:lineRule="auto"/>
        <w:ind w:firstLine="640"/>
      </w:pPr>
      <w:r>
        <w:rPr>
          <w:noProof/>
        </w:rPr>
        <mc:AlternateContent>
          <mc:Choice Requires="wps">
            <w:drawing>
              <wp:anchor distT="0" distB="0" distL="114300" distR="114300" simplePos="0" relativeHeight="125829378" behindDoc="0" locked="0" layoutInCell="1" allowOverlap="1" wp14:anchorId="40B07E5D" wp14:editId="4DEC99D0">
                <wp:simplePos x="0" y="0"/>
                <wp:positionH relativeFrom="page">
                  <wp:posOffset>5509260</wp:posOffset>
                </wp:positionH>
                <wp:positionV relativeFrom="paragraph">
                  <wp:posOffset>12700</wp:posOffset>
                </wp:positionV>
                <wp:extent cx="768350" cy="161290"/>
                <wp:effectExtent l="0" t="0" r="0" b="0"/>
                <wp:wrapSquare wrapText="left"/>
                <wp:docPr id="10" name="Shape 10"/>
                <wp:cNvGraphicFramePr/>
                <a:graphic xmlns:a="http://schemas.openxmlformats.org/drawingml/2006/main">
                  <a:graphicData uri="http://schemas.microsoft.com/office/word/2010/wordprocessingShape">
                    <wps:wsp>
                      <wps:cNvSpPr txBox="1"/>
                      <wps:spPr>
                        <a:xfrm>
                          <a:off x="0" y="0"/>
                          <a:ext cx="768350" cy="161290"/>
                        </a:xfrm>
                        <a:prstGeom prst="rect">
                          <a:avLst/>
                        </a:prstGeom>
                        <a:noFill/>
                      </wps:spPr>
                      <wps:txbx>
                        <w:txbxContent>
                          <w:p w14:paraId="7726ED88" w14:textId="77777777" w:rsidR="00E61AF4" w:rsidRDefault="009556DC">
                            <w:pPr>
                              <w:pStyle w:val="Zkladntext1"/>
                              <w:shd w:val="clear" w:color="auto" w:fill="auto"/>
                              <w:spacing w:after="0" w:line="240" w:lineRule="auto"/>
                            </w:pPr>
                            <w:r>
                              <w:t>za odběratele</w:t>
                            </w:r>
                          </w:p>
                        </w:txbxContent>
                      </wps:txbx>
                      <wps:bodyPr wrap="none" lIns="0" tIns="0" rIns="0" bIns="0"/>
                    </wps:wsp>
                  </a:graphicData>
                </a:graphic>
              </wp:anchor>
            </w:drawing>
          </mc:Choice>
          <mc:Fallback>
            <w:pict>
              <v:shape id="_x0000_s1036" type="#_x0000_t202" style="position:absolute;margin-left:433.80000000000001pt;margin-top:1.pt;width:60.5pt;height:12.699999999999999pt;z-index:-125829375;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odběratele</w:t>
                      </w:r>
                    </w:p>
                  </w:txbxContent>
                </v:textbox>
                <w10:wrap type="square" side="left" anchorx="page"/>
              </v:shape>
            </w:pict>
          </mc:Fallback>
        </mc:AlternateContent>
      </w:r>
      <w:r>
        <w:t>za dodavatele</w:t>
      </w:r>
    </w:p>
    <w:p w14:paraId="45E8FAAF" w14:textId="77777777" w:rsidR="00E61AF4" w:rsidRDefault="009556DC">
      <w:pPr>
        <w:pStyle w:val="Zkladntext1"/>
        <w:shd w:val="clear" w:color="auto" w:fill="auto"/>
        <w:spacing w:after="0"/>
        <w:jc w:val="center"/>
        <w:sectPr w:rsidR="00E61AF4">
          <w:pgSz w:w="11900" w:h="16840"/>
          <w:pgMar w:top="1422" w:right="1395" w:bottom="1422" w:left="1270" w:header="0" w:footer="3" w:gutter="0"/>
          <w:cols w:space="720"/>
          <w:noEndnote/>
          <w:docGrid w:linePitch="360"/>
        </w:sectPr>
      </w:pPr>
      <w:r>
        <w:t xml:space="preserve">Mgr. Petra </w:t>
      </w:r>
      <w:proofErr w:type="spellStart"/>
      <w:r>
        <w:t>Mošovská</w:t>
      </w:r>
      <w:proofErr w:type="spellEnd"/>
      <w:r>
        <w:br/>
        <w:t>za ČMKB</w:t>
      </w:r>
    </w:p>
    <w:p w14:paraId="15E5E950" w14:textId="77777777" w:rsidR="00E61AF4" w:rsidRDefault="009556DC">
      <w:pPr>
        <w:pStyle w:val="Titulektabulky0"/>
        <w:shd w:val="clear" w:color="auto" w:fill="auto"/>
        <w:spacing w:line="254" w:lineRule="auto"/>
        <w:rPr>
          <w:sz w:val="13"/>
          <w:szCs w:val="13"/>
        </w:rPr>
      </w:pPr>
      <w:r>
        <w:rPr>
          <w:sz w:val="13"/>
          <w:szCs w:val="13"/>
        </w:rPr>
        <w:lastRenderedPageBreak/>
        <w:t>Příloha č. 1 závěrkového listu Soupis odběrných míst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4"/>
        <w:gridCol w:w="6370"/>
        <w:gridCol w:w="1363"/>
        <w:gridCol w:w="6370"/>
        <w:gridCol w:w="437"/>
        <w:gridCol w:w="826"/>
      </w:tblGrid>
      <w:tr w:rsidR="00E61AF4" w14:paraId="05C6D51B" w14:textId="77777777">
        <w:tblPrEx>
          <w:tblCellMar>
            <w:top w:w="0" w:type="dxa"/>
            <w:bottom w:w="0" w:type="dxa"/>
          </w:tblCellMar>
        </w:tblPrEx>
        <w:trPr>
          <w:trHeight w:hRule="exact" w:val="389"/>
          <w:jc w:val="center"/>
        </w:trPr>
        <w:tc>
          <w:tcPr>
            <w:tcW w:w="274" w:type="dxa"/>
            <w:tcBorders>
              <w:top w:val="single" w:sz="4" w:space="0" w:color="auto"/>
              <w:left w:val="single" w:sz="4" w:space="0" w:color="auto"/>
            </w:tcBorders>
            <w:shd w:val="clear" w:color="auto" w:fill="FFFFFF"/>
          </w:tcPr>
          <w:p w14:paraId="30345E75" w14:textId="77777777" w:rsidR="00E61AF4" w:rsidRDefault="009556DC">
            <w:pPr>
              <w:pStyle w:val="Jin0"/>
              <w:shd w:val="clear" w:color="auto" w:fill="auto"/>
              <w:spacing w:after="0" w:line="240" w:lineRule="auto"/>
              <w:rPr>
                <w:sz w:val="13"/>
                <w:szCs w:val="13"/>
              </w:rPr>
            </w:pPr>
            <w:proofErr w:type="spellStart"/>
            <w:r>
              <w:rPr>
                <w:sz w:val="13"/>
                <w:szCs w:val="13"/>
              </w:rPr>
              <w:t>Poř</w:t>
            </w:r>
            <w:proofErr w:type="spellEnd"/>
            <w:r>
              <w:rPr>
                <w:sz w:val="13"/>
                <w:szCs w:val="13"/>
              </w:rPr>
              <w:t>.</w:t>
            </w:r>
          </w:p>
        </w:tc>
        <w:tc>
          <w:tcPr>
            <w:tcW w:w="6370" w:type="dxa"/>
            <w:tcBorders>
              <w:top w:val="single" w:sz="4" w:space="0" w:color="auto"/>
              <w:left w:val="single" w:sz="4" w:space="0" w:color="auto"/>
            </w:tcBorders>
            <w:shd w:val="clear" w:color="auto" w:fill="FFFFFF"/>
          </w:tcPr>
          <w:p w14:paraId="6418716A" w14:textId="77777777" w:rsidR="00E61AF4" w:rsidRDefault="009556DC">
            <w:pPr>
              <w:pStyle w:val="Jin0"/>
              <w:shd w:val="clear" w:color="auto" w:fill="auto"/>
              <w:spacing w:after="0" w:line="240" w:lineRule="auto"/>
              <w:jc w:val="center"/>
              <w:rPr>
                <w:sz w:val="13"/>
                <w:szCs w:val="13"/>
              </w:rPr>
            </w:pPr>
            <w:r>
              <w:rPr>
                <w:sz w:val="13"/>
                <w:szCs w:val="13"/>
              </w:rPr>
              <w:t>Adresa místa spotřeby</w:t>
            </w:r>
          </w:p>
        </w:tc>
        <w:tc>
          <w:tcPr>
            <w:tcW w:w="1363" w:type="dxa"/>
            <w:tcBorders>
              <w:top w:val="single" w:sz="4" w:space="0" w:color="auto"/>
              <w:left w:val="single" w:sz="4" w:space="0" w:color="auto"/>
            </w:tcBorders>
            <w:shd w:val="clear" w:color="auto" w:fill="FFFFFF"/>
          </w:tcPr>
          <w:p w14:paraId="18C3D138" w14:textId="77777777" w:rsidR="00E61AF4" w:rsidRDefault="009556DC">
            <w:pPr>
              <w:pStyle w:val="Jin0"/>
              <w:shd w:val="clear" w:color="auto" w:fill="auto"/>
              <w:spacing w:after="0" w:line="240" w:lineRule="auto"/>
              <w:jc w:val="center"/>
              <w:rPr>
                <w:sz w:val="13"/>
                <w:szCs w:val="13"/>
              </w:rPr>
            </w:pPr>
            <w:r>
              <w:rPr>
                <w:sz w:val="13"/>
                <w:szCs w:val="13"/>
              </w:rPr>
              <w:t>EIC</w:t>
            </w:r>
          </w:p>
        </w:tc>
        <w:tc>
          <w:tcPr>
            <w:tcW w:w="6370" w:type="dxa"/>
            <w:tcBorders>
              <w:top w:val="single" w:sz="4" w:space="0" w:color="auto"/>
              <w:left w:val="single" w:sz="4" w:space="0" w:color="auto"/>
            </w:tcBorders>
            <w:shd w:val="clear" w:color="auto" w:fill="FFFFFF"/>
          </w:tcPr>
          <w:p w14:paraId="2B3DFF6D" w14:textId="77777777" w:rsidR="00E61AF4" w:rsidRDefault="009556DC">
            <w:pPr>
              <w:pStyle w:val="Jin0"/>
              <w:shd w:val="clear" w:color="auto" w:fill="auto"/>
              <w:spacing w:after="0" w:line="240" w:lineRule="auto"/>
              <w:jc w:val="center"/>
              <w:rPr>
                <w:sz w:val="13"/>
                <w:szCs w:val="13"/>
              </w:rPr>
            </w:pPr>
            <w:r>
              <w:rPr>
                <w:sz w:val="13"/>
                <w:szCs w:val="13"/>
              </w:rPr>
              <w:t>Adresa pro zasílání faktur</w:t>
            </w:r>
          </w:p>
        </w:tc>
        <w:tc>
          <w:tcPr>
            <w:tcW w:w="437" w:type="dxa"/>
            <w:tcBorders>
              <w:top w:val="single" w:sz="4" w:space="0" w:color="auto"/>
              <w:left w:val="single" w:sz="4" w:space="0" w:color="auto"/>
            </w:tcBorders>
            <w:shd w:val="clear" w:color="auto" w:fill="FFFFFF"/>
            <w:vAlign w:val="bottom"/>
          </w:tcPr>
          <w:p w14:paraId="047CC747" w14:textId="77777777" w:rsidR="00E61AF4" w:rsidRDefault="009556DC">
            <w:pPr>
              <w:pStyle w:val="Jin0"/>
              <w:shd w:val="clear" w:color="auto" w:fill="auto"/>
              <w:spacing w:after="0" w:line="233" w:lineRule="auto"/>
              <w:jc w:val="center"/>
              <w:rPr>
                <w:sz w:val="13"/>
                <w:szCs w:val="13"/>
              </w:rPr>
            </w:pPr>
            <w:r>
              <w:rPr>
                <w:sz w:val="13"/>
                <w:szCs w:val="13"/>
              </w:rPr>
              <w:t>Typ měř.</w:t>
            </w:r>
          </w:p>
        </w:tc>
        <w:tc>
          <w:tcPr>
            <w:tcW w:w="826" w:type="dxa"/>
            <w:tcBorders>
              <w:top w:val="single" w:sz="4" w:space="0" w:color="auto"/>
              <w:left w:val="single" w:sz="4" w:space="0" w:color="auto"/>
              <w:right w:val="single" w:sz="4" w:space="0" w:color="auto"/>
            </w:tcBorders>
            <w:shd w:val="clear" w:color="auto" w:fill="FFFFFF"/>
            <w:vAlign w:val="bottom"/>
          </w:tcPr>
          <w:p w14:paraId="41F597A1" w14:textId="77777777" w:rsidR="00E61AF4" w:rsidRDefault="009556DC">
            <w:pPr>
              <w:pStyle w:val="Jin0"/>
              <w:shd w:val="clear" w:color="auto" w:fill="auto"/>
              <w:spacing w:after="0" w:line="262" w:lineRule="auto"/>
              <w:jc w:val="center"/>
              <w:rPr>
                <w:sz w:val="13"/>
                <w:szCs w:val="13"/>
              </w:rPr>
            </w:pPr>
            <w:r>
              <w:rPr>
                <w:sz w:val="13"/>
                <w:szCs w:val="13"/>
              </w:rPr>
              <w:t>Roční odběr [</w:t>
            </w:r>
            <w:proofErr w:type="spellStart"/>
            <w:r>
              <w:rPr>
                <w:sz w:val="13"/>
                <w:szCs w:val="13"/>
              </w:rPr>
              <w:t>MWh</w:t>
            </w:r>
            <w:proofErr w:type="spellEnd"/>
            <w:r>
              <w:rPr>
                <w:sz w:val="13"/>
                <w:szCs w:val="13"/>
              </w:rPr>
              <w:t>]</w:t>
            </w:r>
          </w:p>
        </w:tc>
      </w:tr>
      <w:tr w:rsidR="00E61AF4" w14:paraId="6BE87265" w14:textId="77777777">
        <w:tblPrEx>
          <w:tblCellMar>
            <w:top w:w="0" w:type="dxa"/>
            <w:bottom w:w="0" w:type="dxa"/>
          </w:tblCellMar>
        </w:tblPrEx>
        <w:trPr>
          <w:trHeight w:hRule="exact" w:val="216"/>
          <w:jc w:val="center"/>
        </w:trPr>
        <w:tc>
          <w:tcPr>
            <w:tcW w:w="274" w:type="dxa"/>
            <w:tcBorders>
              <w:top w:val="single" w:sz="4" w:space="0" w:color="auto"/>
              <w:left w:val="single" w:sz="4" w:space="0" w:color="auto"/>
            </w:tcBorders>
            <w:shd w:val="clear" w:color="auto" w:fill="FFFFFF"/>
            <w:vAlign w:val="bottom"/>
          </w:tcPr>
          <w:p w14:paraId="37EA2994" w14:textId="77777777" w:rsidR="00E61AF4" w:rsidRDefault="009556DC">
            <w:pPr>
              <w:pStyle w:val="Jin0"/>
              <w:shd w:val="clear" w:color="auto" w:fill="auto"/>
              <w:spacing w:after="0" w:line="240" w:lineRule="auto"/>
              <w:jc w:val="both"/>
              <w:rPr>
                <w:sz w:val="13"/>
                <w:szCs w:val="13"/>
              </w:rPr>
            </w:pPr>
            <w:r>
              <w:rPr>
                <w:sz w:val="13"/>
                <w:szCs w:val="13"/>
              </w:rPr>
              <w:t>1</w:t>
            </w:r>
          </w:p>
        </w:tc>
        <w:tc>
          <w:tcPr>
            <w:tcW w:w="6370" w:type="dxa"/>
            <w:tcBorders>
              <w:top w:val="single" w:sz="4" w:space="0" w:color="auto"/>
              <w:left w:val="single" w:sz="4" w:space="0" w:color="auto"/>
            </w:tcBorders>
            <w:shd w:val="clear" w:color="auto" w:fill="FFFFFF"/>
          </w:tcPr>
          <w:p w14:paraId="2D49D228" w14:textId="77777777" w:rsidR="00E61AF4" w:rsidRDefault="009556DC">
            <w:pPr>
              <w:pStyle w:val="Jin0"/>
              <w:shd w:val="clear" w:color="auto" w:fill="auto"/>
              <w:spacing w:after="0" w:line="240" w:lineRule="auto"/>
              <w:rPr>
                <w:sz w:val="13"/>
                <w:szCs w:val="13"/>
              </w:rPr>
            </w:pPr>
            <w:r>
              <w:rPr>
                <w:sz w:val="13"/>
                <w:szCs w:val="13"/>
              </w:rPr>
              <w:t>Havlíčkův Brod, Žižkova 1018</w:t>
            </w:r>
          </w:p>
        </w:tc>
        <w:tc>
          <w:tcPr>
            <w:tcW w:w="1363" w:type="dxa"/>
            <w:tcBorders>
              <w:top w:val="single" w:sz="4" w:space="0" w:color="auto"/>
              <w:left w:val="single" w:sz="4" w:space="0" w:color="auto"/>
            </w:tcBorders>
            <w:shd w:val="clear" w:color="auto" w:fill="FFFFFF"/>
          </w:tcPr>
          <w:p w14:paraId="041015A3" w14:textId="77777777" w:rsidR="00E61AF4" w:rsidRDefault="009556DC">
            <w:pPr>
              <w:pStyle w:val="Jin0"/>
              <w:shd w:val="clear" w:color="auto" w:fill="auto"/>
              <w:spacing w:after="0" w:line="240" w:lineRule="auto"/>
              <w:jc w:val="both"/>
              <w:rPr>
                <w:sz w:val="13"/>
                <w:szCs w:val="13"/>
              </w:rPr>
            </w:pPr>
            <w:r>
              <w:rPr>
                <w:sz w:val="13"/>
                <w:szCs w:val="13"/>
              </w:rPr>
              <w:t>27ZG500Z00672948</w:t>
            </w:r>
          </w:p>
        </w:tc>
        <w:tc>
          <w:tcPr>
            <w:tcW w:w="6370" w:type="dxa"/>
            <w:tcBorders>
              <w:top w:val="single" w:sz="4" w:space="0" w:color="auto"/>
              <w:left w:val="single" w:sz="4" w:space="0" w:color="auto"/>
            </w:tcBorders>
            <w:shd w:val="clear" w:color="auto" w:fill="FFFFFF"/>
          </w:tcPr>
          <w:p w14:paraId="781ABE2A"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34FE5B0D"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1CF7DD10" w14:textId="77777777" w:rsidR="00E61AF4" w:rsidRDefault="009556DC">
            <w:pPr>
              <w:pStyle w:val="Jin0"/>
              <w:shd w:val="clear" w:color="auto" w:fill="auto"/>
              <w:spacing w:after="0" w:line="240" w:lineRule="auto"/>
              <w:jc w:val="right"/>
              <w:rPr>
                <w:sz w:val="13"/>
                <w:szCs w:val="13"/>
              </w:rPr>
            </w:pPr>
            <w:r>
              <w:rPr>
                <w:sz w:val="13"/>
                <w:szCs w:val="13"/>
              </w:rPr>
              <w:t>4,980</w:t>
            </w:r>
          </w:p>
        </w:tc>
      </w:tr>
      <w:tr w:rsidR="00E61AF4" w14:paraId="3BE590DA" w14:textId="77777777">
        <w:tblPrEx>
          <w:tblCellMar>
            <w:top w:w="0" w:type="dxa"/>
            <w:bottom w:w="0" w:type="dxa"/>
          </w:tblCellMar>
        </w:tblPrEx>
        <w:trPr>
          <w:trHeight w:hRule="exact" w:val="211"/>
          <w:jc w:val="center"/>
        </w:trPr>
        <w:tc>
          <w:tcPr>
            <w:tcW w:w="274" w:type="dxa"/>
            <w:tcBorders>
              <w:top w:val="single" w:sz="4" w:space="0" w:color="auto"/>
              <w:left w:val="single" w:sz="4" w:space="0" w:color="auto"/>
            </w:tcBorders>
            <w:shd w:val="clear" w:color="auto" w:fill="FFFFFF"/>
            <w:vAlign w:val="bottom"/>
          </w:tcPr>
          <w:p w14:paraId="4F7986C0" w14:textId="77777777" w:rsidR="00E61AF4" w:rsidRDefault="009556DC">
            <w:pPr>
              <w:pStyle w:val="Jin0"/>
              <w:shd w:val="clear" w:color="auto" w:fill="auto"/>
              <w:spacing w:after="0" w:line="240" w:lineRule="auto"/>
              <w:jc w:val="both"/>
              <w:rPr>
                <w:sz w:val="13"/>
                <w:szCs w:val="13"/>
              </w:rPr>
            </w:pPr>
            <w:r>
              <w:rPr>
                <w:sz w:val="13"/>
                <w:szCs w:val="13"/>
              </w:rPr>
              <w:t>2</w:t>
            </w:r>
          </w:p>
        </w:tc>
        <w:tc>
          <w:tcPr>
            <w:tcW w:w="6370" w:type="dxa"/>
            <w:tcBorders>
              <w:top w:val="single" w:sz="4" w:space="0" w:color="auto"/>
              <w:left w:val="single" w:sz="4" w:space="0" w:color="auto"/>
            </w:tcBorders>
            <w:shd w:val="clear" w:color="auto" w:fill="FFFFFF"/>
          </w:tcPr>
          <w:p w14:paraId="0433498C" w14:textId="77777777" w:rsidR="00E61AF4" w:rsidRDefault="009556DC">
            <w:pPr>
              <w:pStyle w:val="Jin0"/>
              <w:shd w:val="clear" w:color="auto" w:fill="auto"/>
              <w:spacing w:after="0" w:line="240" w:lineRule="auto"/>
              <w:rPr>
                <w:sz w:val="13"/>
                <w:szCs w:val="13"/>
              </w:rPr>
            </w:pPr>
            <w:r>
              <w:rPr>
                <w:sz w:val="13"/>
                <w:szCs w:val="13"/>
              </w:rPr>
              <w:t xml:space="preserve">Habry, </w:t>
            </w:r>
            <w:r>
              <w:rPr>
                <w:sz w:val="13"/>
                <w:szCs w:val="13"/>
              </w:rPr>
              <w:t>Sázavská 399</w:t>
            </w:r>
          </w:p>
        </w:tc>
        <w:tc>
          <w:tcPr>
            <w:tcW w:w="1363" w:type="dxa"/>
            <w:tcBorders>
              <w:top w:val="single" w:sz="4" w:space="0" w:color="auto"/>
              <w:left w:val="single" w:sz="4" w:space="0" w:color="auto"/>
            </w:tcBorders>
            <w:shd w:val="clear" w:color="auto" w:fill="FFFFFF"/>
          </w:tcPr>
          <w:p w14:paraId="3E993283" w14:textId="77777777" w:rsidR="00E61AF4" w:rsidRDefault="009556DC">
            <w:pPr>
              <w:pStyle w:val="Jin0"/>
              <w:shd w:val="clear" w:color="auto" w:fill="auto"/>
              <w:spacing w:after="0" w:line="240" w:lineRule="auto"/>
              <w:jc w:val="both"/>
              <w:rPr>
                <w:sz w:val="13"/>
                <w:szCs w:val="13"/>
              </w:rPr>
            </w:pPr>
            <w:r>
              <w:rPr>
                <w:sz w:val="13"/>
                <w:szCs w:val="13"/>
              </w:rPr>
              <w:t>27ZG500Z00672956</w:t>
            </w:r>
          </w:p>
        </w:tc>
        <w:tc>
          <w:tcPr>
            <w:tcW w:w="6370" w:type="dxa"/>
            <w:tcBorders>
              <w:top w:val="single" w:sz="4" w:space="0" w:color="auto"/>
              <w:left w:val="single" w:sz="4" w:space="0" w:color="auto"/>
            </w:tcBorders>
            <w:shd w:val="clear" w:color="auto" w:fill="FFFFFF"/>
          </w:tcPr>
          <w:p w14:paraId="16339D57"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5527CC99"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72E0FA0C" w14:textId="77777777" w:rsidR="00E61AF4" w:rsidRDefault="009556DC">
            <w:pPr>
              <w:pStyle w:val="Jin0"/>
              <w:shd w:val="clear" w:color="auto" w:fill="auto"/>
              <w:spacing w:after="0" w:line="240" w:lineRule="auto"/>
              <w:jc w:val="right"/>
              <w:rPr>
                <w:sz w:val="13"/>
                <w:szCs w:val="13"/>
              </w:rPr>
            </w:pPr>
            <w:r>
              <w:rPr>
                <w:sz w:val="13"/>
                <w:szCs w:val="13"/>
              </w:rPr>
              <w:t>46,520</w:t>
            </w:r>
          </w:p>
        </w:tc>
      </w:tr>
      <w:tr w:rsidR="00E61AF4" w14:paraId="394E84CF" w14:textId="77777777">
        <w:tblPrEx>
          <w:tblCellMar>
            <w:top w:w="0" w:type="dxa"/>
            <w:bottom w:w="0" w:type="dxa"/>
          </w:tblCellMar>
        </w:tblPrEx>
        <w:trPr>
          <w:trHeight w:hRule="exact" w:val="206"/>
          <w:jc w:val="center"/>
        </w:trPr>
        <w:tc>
          <w:tcPr>
            <w:tcW w:w="274" w:type="dxa"/>
            <w:tcBorders>
              <w:top w:val="single" w:sz="4" w:space="0" w:color="auto"/>
              <w:left w:val="single" w:sz="4" w:space="0" w:color="auto"/>
            </w:tcBorders>
            <w:shd w:val="clear" w:color="auto" w:fill="FFFFFF"/>
          </w:tcPr>
          <w:p w14:paraId="70F2C3A6" w14:textId="77777777" w:rsidR="00E61AF4" w:rsidRDefault="009556DC">
            <w:pPr>
              <w:pStyle w:val="Jin0"/>
              <w:shd w:val="clear" w:color="auto" w:fill="auto"/>
              <w:spacing w:after="0" w:line="240" w:lineRule="auto"/>
              <w:jc w:val="both"/>
              <w:rPr>
                <w:sz w:val="13"/>
                <w:szCs w:val="13"/>
              </w:rPr>
            </w:pPr>
            <w:r>
              <w:rPr>
                <w:sz w:val="13"/>
                <w:szCs w:val="13"/>
              </w:rPr>
              <w:t>3</w:t>
            </w:r>
          </w:p>
        </w:tc>
        <w:tc>
          <w:tcPr>
            <w:tcW w:w="6370" w:type="dxa"/>
            <w:tcBorders>
              <w:top w:val="single" w:sz="4" w:space="0" w:color="auto"/>
              <w:left w:val="single" w:sz="4" w:space="0" w:color="auto"/>
            </w:tcBorders>
            <w:shd w:val="clear" w:color="auto" w:fill="FFFFFF"/>
          </w:tcPr>
          <w:p w14:paraId="2C48A9F2" w14:textId="77777777" w:rsidR="00E61AF4" w:rsidRDefault="009556DC">
            <w:pPr>
              <w:pStyle w:val="Jin0"/>
              <w:shd w:val="clear" w:color="auto" w:fill="auto"/>
              <w:spacing w:after="0" w:line="240" w:lineRule="auto"/>
              <w:rPr>
                <w:sz w:val="13"/>
                <w:szCs w:val="13"/>
              </w:rPr>
            </w:pPr>
            <w:r>
              <w:rPr>
                <w:sz w:val="13"/>
                <w:szCs w:val="13"/>
              </w:rPr>
              <w:t>Chotěboř, Partyzánská 31</w:t>
            </w:r>
          </w:p>
        </w:tc>
        <w:tc>
          <w:tcPr>
            <w:tcW w:w="1363" w:type="dxa"/>
            <w:tcBorders>
              <w:top w:val="single" w:sz="4" w:space="0" w:color="auto"/>
              <w:left w:val="single" w:sz="4" w:space="0" w:color="auto"/>
            </w:tcBorders>
            <w:shd w:val="clear" w:color="auto" w:fill="FFFFFF"/>
          </w:tcPr>
          <w:p w14:paraId="7AAC7F74" w14:textId="77777777" w:rsidR="00E61AF4" w:rsidRDefault="009556DC">
            <w:pPr>
              <w:pStyle w:val="Jin0"/>
              <w:shd w:val="clear" w:color="auto" w:fill="auto"/>
              <w:spacing w:after="0" w:line="240" w:lineRule="auto"/>
              <w:jc w:val="both"/>
              <w:rPr>
                <w:sz w:val="13"/>
                <w:szCs w:val="13"/>
              </w:rPr>
            </w:pPr>
            <w:r>
              <w:rPr>
                <w:sz w:val="13"/>
                <w:szCs w:val="13"/>
              </w:rPr>
              <w:t>27ZG500Z00672964</w:t>
            </w:r>
          </w:p>
        </w:tc>
        <w:tc>
          <w:tcPr>
            <w:tcW w:w="6370" w:type="dxa"/>
            <w:tcBorders>
              <w:top w:val="single" w:sz="4" w:space="0" w:color="auto"/>
              <w:left w:val="single" w:sz="4" w:space="0" w:color="auto"/>
            </w:tcBorders>
            <w:shd w:val="clear" w:color="auto" w:fill="FFFFFF"/>
          </w:tcPr>
          <w:p w14:paraId="46A27D7A"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62B4805E"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41AD8831" w14:textId="77777777" w:rsidR="00E61AF4" w:rsidRDefault="009556DC">
            <w:pPr>
              <w:pStyle w:val="Jin0"/>
              <w:shd w:val="clear" w:color="auto" w:fill="auto"/>
              <w:spacing w:after="0" w:line="240" w:lineRule="auto"/>
              <w:jc w:val="right"/>
              <w:rPr>
                <w:sz w:val="13"/>
                <w:szCs w:val="13"/>
              </w:rPr>
            </w:pPr>
            <w:r>
              <w:rPr>
                <w:sz w:val="13"/>
                <w:szCs w:val="13"/>
              </w:rPr>
              <w:t>144,830</w:t>
            </w:r>
          </w:p>
        </w:tc>
      </w:tr>
      <w:tr w:rsidR="00E61AF4" w14:paraId="685F3BA4" w14:textId="77777777">
        <w:tblPrEx>
          <w:tblCellMar>
            <w:top w:w="0" w:type="dxa"/>
            <w:bottom w:w="0" w:type="dxa"/>
          </w:tblCellMar>
        </w:tblPrEx>
        <w:trPr>
          <w:trHeight w:hRule="exact" w:val="211"/>
          <w:jc w:val="center"/>
        </w:trPr>
        <w:tc>
          <w:tcPr>
            <w:tcW w:w="274" w:type="dxa"/>
            <w:tcBorders>
              <w:top w:val="single" w:sz="4" w:space="0" w:color="auto"/>
              <w:left w:val="single" w:sz="4" w:space="0" w:color="auto"/>
            </w:tcBorders>
            <w:shd w:val="clear" w:color="auto" w:fill="FFFFFF"/>
          </w:tcPr>
          <w:p w14:paraId="1449DE35" w14:textId="77777777" w:rsidR="00E61AF4" w:rsidRDefault="009556DC">
            <w:pPr>
              <w:pStyle w:val="Jin0"/>
              <w:shd w:val="clear" w:color="auto" w:fill="auto"/>
              <w:spacing w:after="0" w:line="240" w:lineRule="auto"/>
              <w:jc w:val="both"/>
              <w:rPr>
                <w:sz w:val="13"/>
                <w:szCs w:val="13"/>
              </w:rPr>
            </w:pPr>
            <w:r>
              <w:rPr>
                <w:sz w:val="13"/>
                <w:szCs w:val="13"/>
              </w:rPr>
              <w:t>4</w:t>
            </w:r>
          </w:p>
        </w:tc>
        <w:tc>
          <w:tcPr>
            <w:tcW w:w="6370" w:type="dxa"/>
            <w:tcBorders>
              <w:top w:val="single" w:sz="4" w:space="0" w:color="auto"/>
              <w:left w:val="single" w:sz="4" w:space="0" w:color="auto"/>
            </w:tcBorders>
            <w:shd w:val="clear" w:color="auto" w:fill="FFFFFF"/>
          </w:tcPr>
          <w:p w14:paraId="70DE4508" w14:textId="77777777" w:rsidR="00E61AF4" w:rsidRDefault="009556DC">
            <w:pPr>
              <w:pStyle w:val="Jin0"/>
              <w:shd w:val="clear" w:color="auto" w:fill="auto"/>
              <w:spacing w:after="0" w:line="240" w:lineRule="auto"/>
              <w:rPr>
                <w:sz w:val="13"/>
                <w:szCs w:val="13"/>
              </w:rPr>
            </w:pPr>
            <w:r>
              <w:rPr>
                <w:sz w:val="13"/>
                <w:szCs w:val="13"/>
              </w:rPr>
              <w:t>Havlíčkův Brod, Žižkova 1018</w:t>
            </w:r>
          </w:p>
        </w:tc>
        <w:tc>
          <w:tcPr>
            <w:tcW w:w="1363" w:type="dxa"/>
            <w:tcBorders>
              <w:top w:val="single" w:sz="4" w:space="0" w:color="auto"/>
              <w:left w:val="single" w:sz="4" w:space="0" w:color="auto"/>
            </w:tcBorders>
            <w:shd w:val="clear" w:color="auto" w:fill="FFFFFF"/>
          </w:tcPr>
          <w:p w14:paraId="1A0B4370" w14:textId="77777777" w:rsidR="00E61AF4" w:rsidRDefault="009556DC">
            <w:pPr>
              <w:pStyle w:val="Jin0"/>
              <w:shd w:val="clear" w:color="auto" w:fill="auto"/>
              <w:spacing w:after="0" w:line="240" w:lineRule="auto"/>
              <w:jc w:val="both"/>
              <w:rPr>
                <w:sz w:val="13"/>
                <w:szCs w:val="13"/>
              </w:rPr>
            </w:pPr>
            <w:r>
              <w:rPr>
                <w:sz w:val="13"/>
                <w:szCs w:val="13"/>
              </w:rPr>
              <w:t>27ZG500Z0067442J</w:t>
            </w:r>
          </w:p>
        </w:tc>
        <w:tc>
          <w:tcPr>
            <w:tcW w:w="6370" w:type="dxa"/>
            <w:tcBorders>
              <w:top w:val="single" w:sz="4" w:space="0" w:color="auto"/>
              <w:left w:val="single" w:sz="4" w:space="0" w:color="auto"/>
            </w:tcBorders>
            <w:shd w:val="clear" w:color="auto" w:fill="FFFFFF"/>
          </w:tcPr>
          <w:p w14:paraId="3D26D928"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1665B996"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578D721A" w14:textId="77777777" w:rsidR="00E61AF4" w:rsidRDefault="009556DC">
            <w:pPr>
              <w:pStyle w:val="Jin0"/>
              <w:shd w:val="clear" w:color="auto" w:fill="auto"/>
              <w:spacing w:after="0" w:line="240" w:lineRule="auto"/>
              <w:jc w:val="right"/>
              <w:rPr>
                <w:sz w:val="13"/>
                <w:szCs w:val="13"/>
              </w:rPr>
            </w:pPr>
            <w:r>
              <w:rPr>
                <w:sz w:val="13"/>
                <w:szCs w:val="13"/>
              </w:rPr>
              <w:t>351,320</w:t>
            </w:r>
          </w:p>
        </w:tc>
      </w:tr>
      <w:tr w:rsidR="00E61AF4" w14:paraId="72FC958D" w14:textId="77777777">
        <w:tblPrEx>
          <w:tblCellMar>
            <w:top w:w="0" w:type="dxa"/>
            <w:bottom w:w="0" w:type="dxa"/>
          </w:tblCellMar>
        </w:tblPrEx>
        <w:trPr>
          <w:trHeight w:hRule="exact" w:val="206"/>
          <w:jc w:val="center"/>
        </w:trPr>
        <w:tc>
          <w:tcPr>
            <w:tcW w:w="274" w:type="dxa"/>
            <w:tcBorders>
              <w:top w:val="single" w:sz="4" w:space="0" w:color="auto"/>
              <w:left w:val="single" w:sz="4" w:space="0" w:color="auto"/>
            </w:tcBorders>
            <w:shd w:val="clear" w:color="auto" w:fill="FFFFFF"/>
          </w:tcPr>
          <w:p w14:paraId="287FE782" w14:textId="77777777" w:rsidR="00E61AF4" w:rsidRDefault="009556DC">
            <w:pPr>
              <w:pStyle w:val="Jin0"/>
              <w:shd w:val="clear" w:color="auto" w:fill="auto"/>
              <w:spacing w:after="0" w:line="240" w:lineRule="auto"/>
              <w:jc w:val="both"/>
              <w:rPr>
                <w:sz w:val="13"/>
                <w:szCs w:val="13"/>
              </w:rPr>
            </w:pPr>
            <w:r>
              <w:rPr>
                <w:sz w:val="13"/>
                <w:szCs w:val="13"/>
              </w:rPr>
              <w:t>5</w:t>
            </w:r>
          </w:p>
        </w:tc>
        <w:tc>
          <w:tcPr>
            <w:tcW w:w="6370" w:type="dxa"/>
            <w:tcBorders>
              <w:top w:val="single" w:sz="4" w:space="0" w:color="auto"/>
              <w:left w:val="single" w:sz="4" w:space="0" w:color="auto"/>
            </w:tcBorders>
            <w:shd w:val="clear" w:color="auto" w:fill="FFFFFF"/>
          </w:tcPr>
          <w:p w14:paraId="4DE13367" w14:textId="77777777" w:rsidR="00E61AF4" w:rsidRDefault="009556DC">
            <w:pPr>
              <w:pStyle w:val="Jin0"/>
              <w:shd w:val="clear" w:color="auto" w:fill="auto"/>
              <w:spacing w:after="0" w:line="240" w:lineRule="auto"/>
              <w:rPr>
                <w:sz w:val="13"/>
                <w:szCs w:val="13"/>
              </w:rPr>
            </w:pPr>
            <w:r>
              <w:rPr>
                <w:sz w:val="13"/>
                <w:szCs w:val="13"/>
              </w:rPr>
              <w:t>Ledeč nad Sázavou, Na Pláckách 1302</w:t>
            </w:r>
          </w:p>
        </w:tc>
        <w:tc>
          <w:tcPr>
            <w:tcW w:w="1363" w:type="dxa"/>
            <w:tcBorders>
              <w:top w:val="single" w:sz="4" w:space="0" w:color="auto"/>
              <w:left w:val="single" w:sz="4" w:space="0" w:color="auto"/>
            </w:tcBorders>
            <w:shd w:val="clear" w:color="auto" w:fill="FFFFFF"/>
          </w:tcPr>
          <w:p w14:paraId="537DD3B4" w14:textId="77777777" w:rsidR="00E61AF4" w:rsidRDefault="009556DC">
            <w:pPr>
              <w:pStyle w:val="Jin0"/>
              <w:shd w:val="clear" w:color="auto" w:fill="auto"/>
              <w:spacing w:after="0" w:line="240" w:lineRule="auto"/>
              <w:jc w:val="both"/>
              <w:rPr>
                <w:sz w:val="13"/>
                <w:szCs w:val="13"/>
              </w:rPr>
            </w:pPr>
            <w:r>
              <w:rPr>
                <w:sz w:val="13"/>
                <w:szCs w:val="13"/>
              </w:rPr>
              <w:t>27ZG500Z0301999F</w:t>
            </w:r>
          </w:p>
        </w:tc>
        <w:tc>
          <w:tcPr>
            <w:tcW w:w="6370" w:type="dxa"/>
            <w:tcBorders>
              <w:top w:val="single" w:sz="4" w:space="0" w:color="auto"/>
              <w:left w:val="single" w:sz="4" w:space="0" w:color="auto"/>
            </w:tcBorders>
            <w:shd w:val="clear" w:color="auto" w:fill="FFFFFF"/>
          </w:tcPr>
          <w:p w14:paraId="1D2F7FB4"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4242D1AA"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18724638" w14:textId="77777777" w:rsidR="00E61AF4" w:rsidRDefault="009556DC">
            <w:pPr>
              <w:pStyle w:val="Jin0"/>
              <w:shd w:val="clear" w:color="auto" w:fill="auto"/>
              <w:spacing w:after="0" w:line="240" w:lineRule="auto"/>
              <w:jc w:val="right"/>
              <w:rPr>
                <w:sz w:val="13"/>
                <w:szCs w:val="13"/>
              </w:rPr>
            </w:pPr>
            <w:r>
              <w:rPr>
                <w:sz w:val="13"/>
                <w:szCs w:val="13"/>
              </w:rPr>
              <w:t>78,740</w:t>
            </w:r>
          </w:p>
        </w:tc>
      </w:tr>
      <w:tr w:rsidR="00E61AF4" w14:paraId="5A676FF7" w14:textId="77777777">
        <w:tblPrEx>
          <w:tblCellMar>
            <w:top w:w="0" w:type="dxa"/>
            <w:bottom w:w="0" w:type="dxa"/>
          </w:tblCellMar>
        </w:tblPrEx>
        <w:trPr>
          <w:trHeight w:hRule="exact" w:val="206"/>
          <w:jc w:val="center"/>
        </w:trPr>
        <w:tc>
          <w:tcPr>
            <w:tcW w:w="274" w:type="dxa"/>
            <w:tcBorders>
              <w:top w:val="single" w:sz="4" w:space="0" w:color="auto"/>
              <w:left w:val="single" w:sz="4" w:space="0" w:color="auto"/>
            </w:tcBorders>
            <w:shd w:val="clear" w:color="auto" w:fill="FFFFFF"/>
            <w:vAlign w:val="bottom"/>
          </w:tcPr>
          <w:p w14:paraId="5F023FCD" w14:textId="77777777" w:rsidR="00E61AF4" w:rsidRDefault="009556DC">
            <w:pPr>
              <w:pStyle w:val="Jin0"/>
              <w:shd w:val="clear" w:color="auto" w:fill="auto"/>
              <w:spacing w:after="0" w:line="240" w:lineRule="auto"/>
              <w:jc w:val="both"/>
              <w:rPr>
                <w:sz w:val="13"/>
                <w:szCs w:val="13"/>
              </w:rPr>
            </w:pPr>
            <w:r>
              <w:rPr>
                <w:sz w:val="13"/>
                <w:szCs w:val="13"/>
              </w:rPr>
              <w:t>6</w:t>
            </w:r>
          </w:p>
        </w:tc>
        <w:tc>
          <w:tcPr>
            <w:tcW w:w="6370" w:type="dxa"/>
            <w:tcBorders>
              <w:top w:val="single" w:sz="4" w:space="0" w:color="auto"/>
              <w:left w:val="single" w:sz="4" w:space="0" w:color="auto"/>
            </w:tcBorders>
            <w:shd w:val="clear" w:color="auto" w:fill="FFFFFF"/>
          </w:tcPr>
          <w:p w14:paraId="745685CB" w14:textId="77777777" w:rsidR="00E61AF4" w:rsidRDefault="009556DC">
            <w:pPr>
              <w:pStyle w:val="Jin0"/>
              <w:shd w:val="clear" w:color="auto" w:fill="auto"/>
              <w:spacing w:after="0" w:line="240" w:lineRule="auto"/>
              <w:rPr>
                <w:sz w:val="13"/>
                <w:szCs w:val="13"/>
              </w:rPr>
            </w:pPr>
            <w:r>
              <w:rPr>
                <w:sz w:val="13"/>
                <w:szCs w:val="13"/>
              </w:rPr>
              <w:t>Přibyslav, Malínského 281</w:t>
            </w:r>
          </w:p>
        </w:tc>
        <w:tc>
          <w:tcPr>
            <w:tcW w:w="1363" w:type="dxa"/>
            <w:tcBorders>
              <w:top w:val="single" w:sz="4" w:space="0" w:color="auto"/>
              <w:left w:val="single" w:sz="4" w:space="0" w:color="auto"/>
            </w:tcBorders>
            <w:shd w:val="clear" w:color="auto" w:fill="FFFFFF"/>
          </w:tcPr>
          <w:p w14:paraId="3657B349" w14:textId="77777777" w:rsidR="00E61AF4" w:rsidRDefault="009556DC">
            <w:pPr>
              <w:pStyle w:val="Jin0"/>
              <w:shd w:val="clear" w:color="auto" w:fill="auto"/>
              <w:spacing w:after="0" w:line="240" w:lineRule="auto"/>
              <w:jc w:val="both"/>
              <w:rPr>
                <w:sz w:val="13"/>
                <w:szCs w:val="13"/>
              </w:rPr>
            </w:pPr>
            <w:r>
              <w:rPr>
                <w:sz w:val="13"/>
                <w:szCs w:val="13"/>
              </w:rPr>
              <w:t>27ZG500Z0337235L</w:t>
            </w:r>
          </w:p>
        </w:tc>
        <w:tc>
          <w:tcPr>
            <w:tcW w:w="6370" w:type="dxa"/>
            <w:tcBorders>
              <w:top w:val="single" w:sz="4" w:space="0" w:color="auto"/>
              <w:left w:val="single" w:sz="4" w:space="0" w:color="auto"/>
            </w:tcBorders>
            <w:shd w:val="clear" w:color="auto" w:fill="FFFFFF"/>
          </w:tcPr>
          <w:p w14:paraId="5D85B8C8"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6E0EB283"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44E32DF9" w14:textId="77777777" w:rsidR="00E61AF4" w:rsidRDefault="009556DC">
            <w:pPr>
              <w:pStyle w:val="Jin0"/>
              <w:shd w:val="clear" w:color="auto" w:fill="auto"/>
              <w:spacing w:after="0" w:line="240" w:lineRule="auto"/>
              <w:jc w:val="right"/>
              <w:rPr>
                <w:sz w:val="13"/>
                <w:szCs w:val="13"/>
              </w:rPr>
            </w:pPr>
            <w:r>
              <w:rPr>
                <w:sz w:val="13"/>
                <w:szCs w:val="13"/>
              </w:rPr>
              <w:t>8,540</w:t>
            </w:r>
          </w:p>
        </w:tc>
      </w:tr>
      <w:tr w:rsidR="00E61AF4" w14:paraId="506C8A5F" w14:textId="77777777">
        <w:tblPrEx>
          <w:tblCellMar>
            <w:top w:w="0" w:type="dxa"/>
            <w:bottom w:w="0" w:type="dxa"/>
          </w:tblCellMar>
        </w:tblPrEx>
        <w:trPr>
          <w:trHeight w:hRule="exact" w:val="206"/>
          <w:jc w:val="center"/>
        </w:trPr>
        <w:tc>
          <w:tcPr>
            <w:tcW w:w="274" w:type="dxa"/>
            <w:tcBorders>
              <w:top w:val="single" w:sz="4" w:space="0" w:color="auto"/>
              <w:left w:val="single" w:sz="4" w:space="0" w:color="auto"/>
            </w:tcBorders>
            <w:shd w:val="clear" w:color="auto" w:fill="FFFFFF"/>
          </w:tcPr>
          <w:p w14:paraId="4D3F2DA6" w14:textId="77777777" w:rsidR="00E61AF4" w:rsidRDefault="009556DC">
            <w:pPr>
              <w:pStyle w:val="Jin0"/>
              <w:shd w:val="clear" w:color="auto" w:fill="auto"/>
              <w:spacing w:after="0" w:line="240" w:lineRule="auto"/>
              <w:jc w:val="both"/>
              <w:rPr>
                <w:sz w:val="13"/>
                <w:szCs w:val="13"/>
              </w:rPr>
            </w:pPr>
            <w:r>
              <w:rPr>
                <w:sz w:val="13"/>
                <w:szCs w:val="13"/>
              </w:rPr>
              <w:t>7</w:t>
            </w:r>
          </w:p>
        </w:tc>
        <w:tc>
          <w:tcPr>
            <w:tcW w:w="6370" w:type="dxa"/>
            <w:tcBorders>
              <w:top w:val="single" w:sz="4" w:space="0" w:color="auto"/>
              <w:left w:val="single" w:sz="4" w:space="0" w:color="auto"/>
            </w:tcBorders>
            <w:shd w:val="clear" w:color="auto" w:fill="FFFFFF"/>
          </w:tcPr>
          <w:p w14:paraId="0BC707C2" w14:textId="77777777" w:rsidR="00E61AF4" w:rsidRDefault="009556DC">
            <w:pPr>
              <w:pStyle w:val="Jin0"/>
              <w:shd w:val="clear" w:color="auto" w:fill="auto"/>
              <w:spacing w:after="0" w:line="240" w:lineRule="auto"/>
              <w:rPr>
                <w:sz w:val="13"/>
                <w:szCs w:val="13"/>
              </w:rPr>
            </w:pPr>
            <w:r>
              <w:rPr>
                <w:sz w:val="13"/>
                <w:szCs w:val="13"/>
              </w:rPr>
              <w:t>Hrotovice, Brněnská 600</w:t>
            </w:r>
          </w:p>
        </w:tc>
        <w:tc>
          <w:tcPr>
            <w:tcW w:w="1363" w:type="dxa"/>
            <w:tcBorders>
              <w:top w:val="single" w:sz="4" w:space="0" w:color="auto"/>
              <w:left w:val="single" w:sz="4" w:space="0" w:color="auto"/>
            </w:tcBorders>
            <w:shd w:val="clear" w:color="auto" w:fill="FFFFFF"/>
          </w:tcPr>
          <w:p w14:paraId="6D8157C5" w14:textId="77777777" w:rsidR="00E61AF4" w:rsidRDefault="009556DC">
            <w:pPr>
              <w:pStyle w:val="Jin0"/>
              <w:shd w:val="clear" w:color="auto" w:fill="auto"/>
              <w:spacing w:after="0" w:line="240" w:lineRule="auto"/>
              <w:jc w:val="both"/>
              <w:rPr>
                <w:sz w:val="13"/>
                <w:szCs w:val="13"/>
              </w:rPr>
            </w:pPr>
            <w:r>
              <w:rPr>
                <w:sz w:val="13"/>
                <w:szCs w:val="13"/>
              </w:rPr>
              <w:t>27ZG600Z00034971</w:t>
            </w:r>
          </w:p>
        </w:tc>
        <w:tc>
          <w:tcPr>
            <w:tcW w:w="6370" w:type="dxa"/>
            <w:tcBorders>
              <w:top w:val="single" w:sz="4" w:space="0" w:color="auto"/>
              <w:left w:val="single" w:sz="4" w:space="0" w:color="auto"/>
            </w:tcBorders>
            <w:shd w:val="clear" w:color="auto" w:fill="FFFFFF"/>
          </w:tcPr>
          <w:p w14:paraId="1611068C" w14:textId="77777777" w:rsidR="00E61AF4" w:rsidRDefault="009556DC">
            <w:pPr>
              <w:pStyle w:val="Jin0"/>
              <w:shd w:val="clear" w:color="auto" w:fill="auto"/>
              <w:spacing w:after="0" w:line="240" w:lineRule="auto"/>
              <w:rPr>
                <w:sz w:val="13"/>
                <w:szCs w:val="13"/>
              </w:rPr>
            </w:pPr>
            <w:r>
              <w:rPr>
                <w:sz w:val="13"/>
                <w:szCs w:val="13"/>
              </w:rPr>
              <w:t xml:space="preserve">Kosovská </w:t>
            </w:r>
            <w:r>
              <w:rPr>
                <w:sz w:val="13"/>
                <w:szCs w:val="13"/>
              </w:rPr>
              <w:t>1122/16, 586 01 Jihlava</w:t>
            </w:r>
          </w:p>
        </w:tc>
        <w:tc>
          <w:tcPr>
            <w:tcW w:w="437" w:type="dxa"/>
            <w:tcBorders>
              <w:top w:val="single" w:sz="4" w:space="0" w:color="auto"/>
              <w:left w:val="single" w:sz="4" w:space="0" w:color="auto"/>
            </w:tcBorders>
            <w:shd w:val="clear" w:color="auto" w:fill="FFFFFF"/>
          </w:tcPr>
          <w:p w14:paraId="2634E494"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5631D2B0" w14:textId="77777777" w:rsidR="00E61AF4" w:rsidRDefault="009556DC">
            <w:pPr>
              <w:pStyle w:val="Jin0"/>
              <w:shd w:val="clear" w:color="auto" w:fill="auto"/>
              <w:spacing w:after="0" w:line="240" w:lineRule="auto"/>
              <w:jc w:val="right"/>
              <w:rPr>
                <w:sz w:val="13"/>
                <w:szCs w:val="13"/>
              </w:rPr>
            </w:pPr>
            <w:r>
              <w:rPr>
                <w:sz w:val="13"/>
                <w:szCs w:val="13"/>
              </w:rPr>
              <w:t>164,870</w:t>
            </w:r>
          </w:p>
        </w:tc>
      </w:tr>
      <w:tr w:rsidR="00E61AF4" w14:paraId="0605AE7C" w14:textId="77777777">
        <w:tblPrEx>
          <w:tblCellMar>
            <w:top w:w="0" w:type="dxa"/>
            <w:bottom w:w="0" w:type="dxa"/>
          </w:tblCellMar>
        </w:tblPrEx>
        <w:trPr>
          <w:trHeight w:hRule="exact" w:val="206"/>
          <w:jc w:val="center"/>
        </w:trPr>
        <w:tc>
          <w:tcPr>
            <w:tcW w:w="274" w:type="dxa"/>
            <w:tcBorders>
              <w:top w:val="single" w:sz="4" w:space="0" w:color="auto"/>
              <w:left w:val="single" w:sz="4" w:space="0" w:color="auto"/>
            </w:tcBorders>
            <w:shd w:val="clear" w:color="auto" w:fill="FFFFFF"/>
            <w:vAlign w:val="bottom"/>
          </w:tcPr>
          <w:p w14:paraId="6F052F95" w14:textId="77777777" w:rsidR="00E61AF4" w:rsidRDefault="009556DC">
            <w:pPr>
              <w:pStyle w:val="Jin0"/>
              <w:shd w:val="clear" w:color="auto" w:fill="auto"/>
              <w:spacing w:after="0" w:line="240" w:lineRule="auto"/>
              <w:jc w:val="both"/>
              <w:rPr>
                <w:sz w:val="13"/>
                <w:szCs w:val="13"/>
              </w:rPr>
            </w:pPr>
            <w:r>
              <w:rPr>
                <w:sz w:val="13"/>
                <w:szCs w:val="13"/>
              </w:rPr>
              <w:t>8</w:t>
            </w:r>
          </w:p>
        </w:tc>
        <w:tc>
          <w:tcPr>
            <w:tcW w:w="6370" w:type="dxa"/>
            <w:tcBorders>
              <w:top w:val="single" w:sz="4" w:space="0" w:color="auto"/>
              <w:left w:val="single" w:sz="4" w:space="0" w:color="auto"/>
            </w:tcBorders>
            <w:shd w:val="clear" w:color="auto" w:fill="FFFFFF"/>
          </w:tcPr>
          <w:p w14:paraId="34FF5580" w14:textId="77777777" w:rsidR="00E61AF4" w:rsidRDefault="009556DC">
            <w:pPr>
              <w:pStyle w:val="Jin0"/>
              <w:shd w:val="clear" w:color="auto" w:fill="auto"/>
              <w:spacing w:after="0" w:line="240" w:lineRule="auto"/>
              <w:rPr>
                <w:sz w:val="13"/>
                <w:szCs w:val="13"/>
              </w:rPr>
            </w:pPr>
            <w:r>
              <w:rPr>
                <w:sz w:val="13"/>
                <w:szCs w:val="13"/>
              </w:rPr>
              <w:t>Moravské Budějovice, Partyzánská 368</w:t>
            </w:r>
          </w:p>
        </w:tc>
        <w:tc>
          <w:tcPr>
            <w:tcW w:w="1363" w:type="dxa"/>
            <w:tcBorders>
              <w:top w:val="single" w:sz="4" w:space="0" w:color="auto"/>
              <w:left w:val="single" w:sz="4" w:space="0" w:color="auto"/>
            </w:tcBorders>
            <w:shd w:val="clear" w:color="auto" w:fill="FFFFFF"/>
          </w:tcPr>
          <w:p w14:paraId="427FD868" w14:textId="77777777" w:rsidR="00E61AF4" w:rsidRDefault="009556DC">
            <w:pPr>
              <w:pStyle w:val="Jin0"/>
              <w:shd w:val="clear" w:color="auto" w:fill="auto"/>
              <w:spacing w:after="0" w:line="240" w:lineRule="auto"/>
              <w:jc w:val="both"/>
              <w:rPr>
                <w:sz w:val="13"/>
                <w:szCs w:val="13"/>
              </w:rPr>
            </w:pPr>
            <w:r>
              <w:rPr>
                <w:sz w:val="13"/>
                <w:szCs w:val="13"/>
              </w:rPr>
              <w:t>27ZG600Z0015297U</w:t>
            </w:r>
          </w:p>
        </w:tc>
        <w:tc>
          <w:tcPr>
            <w:tcW w:w="6370" w:type="dxa"/>
            <w:tcBorders>
              <w:top w:val="single" w:sz="4" w:space="0" w:color="auto"/>
              <w:left w:val="single" w:sz="4" w:space="0" w:color="auto"/>
            </w:tcBorders>
            <w:shd w:val="clear" w:color="auto" w:fill="FFFFFF"/>
          </w:tcPr>
          <w:p w14:paraId="3D9DDD81"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6C4781E4"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0E4EF47A" w14:textId="77777777" w:rsidR="00E61AF4" w:rsidRDefault="009556DC">
            <w:pPr>
              <w:pStyle w:val="Jin0"/>
              <w:shd w:val="clear" w:color="auto" w:fill="auto"/>
              <w:spacing w:after="0" w:line="240" w:lineRule="auto"/>
              <w:jc w:val="right"/>
              <w:rPr>
                <w:sz w:val="13"/>
                <w:szCs w:val="13"/>
              </w:rPr>
            </w:pPr>
            <w:r>
              <w:rPr>
                <w:sz w:val="13"/>
                <w:szCs w:val="13"/>
              </w:rPr>
              <w:t>162,470</w:t>
            </w:r>
          </w:p>
        </w:tc>
      </w:tr>
      <w:tr w:rsidR="00E61AF4" w14:paraId="1EB6A212" w14:textId="77777777">
        <w:tblPrEx>
          <w:tblCellMar>
            <w:top w:w="0" w:type="dxa"/>
            <w:bottom w:w="0" w:type="dxa"/>
          </w:tblCellMar>
        </w:tblPrEx>
        <w:trPr>
          <w:trHeight w:hRule="exact" w:val="216"/>
          <w:jc w:val="center"/>
        </w:trPr>
        <w:tc>
          <w:tcPr>
            <w:tcW w:w="274" w:type="dxa"/>
            <w:tcBorders>
              <w:top w:val="single" w:sz="4" w:space="0" w:color="auto"/>
              <w:left w:val="single" w:sz="4" w:space="0" w:color="auto"/>
            </w:tcBorders>
            <w:shd w:val="clear" w:color="auto" w:fill="FFFFFF"/>
          </w:tcPr>
          <w:p w14:paraId="23038D6F" w14:textId="77777777" w:rsidR="00E61AF4" w:rsidRDefault="009556DC">
            <w:pPr>
              <w:pStyle w:val="Jin0"/>
              <w:shd w:val="clear" w:color="auto" w:fill="auto"/>
              <w:spacing w:after="0" w:line="240" w:lineRule="auto"/>
              <w:jc w:val="both"/>
              <w:rPr>
                <w:sz w:val="13"/>
                <w:szCs w:val="13"/>
              </w:rPr>
            </w:pPr>
            <w:r>
              <w:rPr>
                <w:sz w:val="13"/>
                <w:szCs w:val="13"/>
              </w:rPr>
              <w:t>9</w:t>
            </w:r>
          </w:p>
        </w:tc>
        <w:tc>
          <w:tcPr>
            <w:tcW w:w="6370" w:type="dxa"/>
            <w:tcBorders>
              <w:top w:val="single" w:sz="4" w:space="0" w:color="auto"/>
              <w:left w:val="single" w:sz="4" w:space="0" w:color="auto"/>
            </w:tcBorders>
            <w:shd w:val="clear" w:color="auto" w:fill="FFFFFF"/>
          </w:tcPr>
          <w:p w14:paraId="5A55B29D" w14:textId="77777777" w:rsidR="00E61AF4" w:rsidRDefault="009556DC">
            <w:pPr>
              <w:pStyle w:val="Jin0"/>
              <w:shd w:val="clear" w:color="auto" w:fill="auto"/>
              <w:spacing w:after="0" w:line="240" w:lineRule="auto"/>
              <w:rPr>
                <w:sz w:val="13"/>
                <w:szCs w:val="13"/>
              </w:rPr>
            </w:pPr>
            <w:r>
              <w:rPr>
                <w:sz w:val="13"/>
                <w:szCs w:val="13"/>
              </w:rPr>
              <w:t>Telč, Radkovská 498</w:t>
            </w:r>
          </w:p>
        </w:tc>
        <w:tc>
          <w:tcPr>
            <w:tcW w:w="1363" w:type="dxa"/>
            <w:tcBorders>
              <w:top w:val="single" w:sz="4" w:space="0" w:color="auto"/>
              <w:left w:val="single" w:sz="4" w:space="0" w:color="auto"/>
            </w:tcBorders>
            <w:shd w:val="clear" w:color="auto" w:fill="FFFFFF"/>
          </w:tcPr>
          <w:p w14:paraId="24B22254" w14:textId="77777777" w:rsidR="00E61AF4" w:rsidRDefault="009556DC">
            <w:pPr>
              <w:pStyle w:val="Jin0"/>
              <w:shd w:val="clear" w:color="auto" w:fill="auto"/>
              <w:spacing w:after="0" w:line="240" w:lineRule="auto"/>
              <w:jc w:val="both"/>
              <w:rPr>
                <w:sz w:val="13"/>
                <w:szCs w:val="13"/>
              </w:rPr>
            </w:pPr>
            <w:r>
              <w:rPr>
                <w:sz w:val="13"/>
                <w:szCs w:val="13"/>
              </w:rPr>
              <w:t>27ZG600Z00153458</w:t>
            </w:r>
          </w:p>
        </w:tc>
        <w:tc>
          <w:tcPr>
            <w:tcW w:w="6370" w:type="dxa"/>
            <w:tcBorders>
              <w:top w:val="single" w:sz="4" w:space="0" w:color="auto"/>
              <w:left w:val="single" w:sz="4" w:space="0" w:color="auto"/>
            </w:tcBorders>
            <w:shd w:val="clear" w:color="auto" w:fill="FFFFFF"/>
          </w:tcPr>
          <w:p w14:paraId="60DBBC91"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68DDEE86"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25148171" w14:textId="77777777" w:rsidR="00E61AF4" w:rsidRDefault="009556DC">
            <w:pPr>
              <w:pStyle w:val="Jin0"/>
              <w:shd w:val="clear" w:color="auto" w:fill="auto"/>
              <w:spacing w:after="0" w:line="240" w:lineRule="auto"/>
              <w:jc w:val="right"/>
              <w:rPr>
                <w:sz w:val="13"/>
                <w:szCs w:val="13"/>
              </w:rPr>
            </w:pPr>
            <w:r>
              <w:rPr>
                <w:sz w:val="13"/>
                <w:szCs w:val="13"/>
              </w:rPr>
              <w:t>256,380</w:t>
            </w:r>
          </w:p>
        </w:tc>
      </w:tr>
      <w:tr w:rsidR="00E61AF4" w14:paraId="3E0091E7" w14:textId="77777777">
        <w:tblPrEx>
          <w:tblCellMar>
            <w:top w:w="0" w:type="dxa"/>
            <w:bottom w:w="0" w:type="dxa"/>
          </w:tblCellMar>
        </w:tblPrEx>
        <w:trPr>
          <w:trHeight w:hRule="exact" w:val="206"/>
          <w:jc w:val="center"/>
        </w:trPr>
        <w:tc>
          <w:tcPr>
            <w:tcW w:w="274" w:type="dxa"/>
            <w:tcBorders>
              <w:top w:val="single" w:sz="4" w:space="0" w:color="auto"/>
              <w:left w:val="single" w:sz="4" w:space="0" w:color="auto"/>
            </w:tcBorders>
            <w:shd w:val="clear" w:color="auto" w:fill="FFFFFF"/>
            <w:vAlign w:val="bottom"/>
          </w:tcPr>
          <w:p w14:paraId="5F745418" w14:textId="77777777" w:rsidR="00E61AF4" w:rsidRDefault="009556DC">
            <w:pPr>
              <w:pStyle w:val="Jin0"/>
              <w:shd w:val="clear" w:color="auto" w:fill="auto"/>
              <w:spacing w:after="0" w:line="240" w:lineRule="auto"/>
              <w:jc w:val="both"/>
              <w:rPr>
                <w:sz w:val="13"/>
                <w:szCs w:val="13"/>
              </w:rPr>
            </w:pPr>
            <w:r>
              <w:rPr>
                <w:sz w:val="13"/>
                <w:szCs w:val="13"/>
              </w:rPr>
              <w:t>10</w:t>
            </w:r>
          </w:p>
        </w:tc>
        <w:tc>
          <w:tcPr>
            <w:tcW w:w="6370" w:type="dxa"/>
            <w:tcBorders>
              <w:top w:val="single" w:sz="4" w:space="0" w:color="auto"/>
              <w:left w:val="single" w:sz="4" w:space="0" w:color="auto"/>
            </w:tcBorders>
            <w:shd w:val="clear" w:color="auto" w:fill="FFFFFF"/>
          </w:tcPr>
          <w:p w14:paraId="0CCB0878" w14:textId="77777777" w:rsidR="00E61AF4" w:rsidRDefault="009556DC">
            <w:pPr>
              <w:pStyle w:val="Jin0"/>
              <w:shd w:val="clear" w:color="auto" w:fill="auto"/>
              <w:spacing w:after="0" w:line="240" w:lineRule="auto"/>
              <w:rPr>
                <w:sz w:val="13"/>
                <w:szCs w:val="13"/>
              </w:rPr>
            </w:pPr>
            <w:r>
              <w:rPr>
                <w:sz w:val="13"/>
                <w:szCs w:val="13"/>
              </w:rPr>
              <w:t xml:space="preserve">Velké Meziříčí, Františky </w:t>
            </w:r>
            <w:r>
              <w:rPr>
                <w:sz w:val="13"/>
                <w:szCs w:val="13"/>
              </w:rPr>
              <w:t>Stránecké 40</w:t>
            </w:r>
          </w:p>
        </w:tc>
        <w:tc>
          <w:tcPr>
            <w:tcW w:w="1363" w:type="dxa"/>
            <w:tcBorders>
              <w:top w:val="single" w:sz="4" w:space="0" w:color="auto"/>
              <w:left w:val="single" w:sz="4" w:space="0" w:color="auto"/>
            </w:tcBorders>
            <w:shd w:val="clear" w:color="auto" w:fill="FFFFFF"/>
          </w:tcPr>
          <w:p w14:paraId="64109EB6" w14:textId="77777777" w:rsidR="00E61AF4" w:rsidRDefault="009556DC">
            <w:pPr>
              <w:pStyle w:val="Jin0"/>
              <w:shd w:val="clear" w:color="auto" w:fill="auto"/>
              <w:spacing w:after="0" w:line="240" w:lineRule="auto"/>
              <w:jc w:val="both"/>
              <w:rPr>
                <w:sz w:val="13"/>
                <w:szCs w:val="13"/>
              </w:rPr>
            </w:pPr>
            <w:r>
              <w:rPr>
                <w:sz w:val="13"/>
                <w:szCs w:val="13"/>
              </w:rPr>
              <w:t>27ZG600Z00153806</w:t>
            </w:r>
          </w:p>
        </w:tc>
        <w:tc>
          <w:tcPr>
            <w:tcW w:w="6370" w:type="dxa"/>
            <w:tcBorders>
              <w:top w:val="single" w:sz="4" w:space="0" w:color="auto"/>
              <w:left w:val="single" w:sz="4" w:space="0" w:color="auto"/>
            </w:tcBorders>
            <w:shd w:val="clear" w:color="auto" w:fill="FFFFFF"/>
          </w:tcPr>
          <w:p w14:paraId="6CA59204"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26DFA4DB"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6CC433B5" w14:textId="77777777" w:rsidR="00E61AF4" w:rsidRDefault="009556DC">
            <w:pPr>
              <w:pStyle w:val="Jin0"/>
              <w:shd w:val="clear" w:color="auto" w:fill="auto"/>
              <w:spacing w:after="0" w:line="240" w:lineRule="auto"/>
              <w:jc w:val="right"/>
              <w:rPr>
                <w:sz w:val="13"/>
                <w:szCs w:val="13"/>
              </w:rPr>
            </w:pPr>
            <w:r>
              <w:rPr>
                <w:sz w:val="13"/>
                <w:szCs w:val="13"/>
              </w:rPr>
              <w:t>98,620</w:t>
            </w:r>
          </w:p>
        </w:tc>
      </w:tr>
      <w:tr w:rsidR="00E61AF4" w14:paraId="6CF82B6C" w14:textId="77777777">
        <w:tblPrEx>
          <w:tblCellMar>
            <w:top w:w="0" w:type="dxa"/>
            <w:bottom w:w="0" w:type="dxa"/>
          </w:tblCellMar>
        </w:tblPrEx>
        <w:trPr>
          <w:trHeight w:hRule="exact" w:val="211"/>
          <w:jc w:val="center"/>
        </w:trPr>
        <w:tc>
          <w:tcPr>
            <w:tcW w:w="274" w:type="dxa"/>
            <w:tcBorders>
              <w:top w:val="single" w:sz="4" w:space="0" w:color="auto"/>
              <w:left w:val="single" w:sz="4" w:space="0" w:color="auto"/>
            </w:tcBorders>
            <w:shd w:val="clear" w:color="auto" w:fill="FFFFFF"/>
            <w:vAlign w:val="bottom"/>
          </w:tcPr>
          <w:p w14:paraId="36EA1B2B" w14:textId="77777777" w:rsidR="00E61AF4" w:rsidRDefault="009556DC">
            <w:pPr>
              <w:pStyle w:val="Jin0"/>
              <w:shd w:val="clear" w:color="auto" w:fill="auto"/>
              <w:spacing w:after="0" w:line="240" w:lineRule="auto"/>
              <w:jc w:val="both"/>
              <w:rPr>
                <w:sz w:val="13"/>
                <w:szCs w:val="13"/>
              </w:rPr>
            </w:pPr>
            <w:r>
              <w:rPr>
                <w:sz w:val="13"/>
                <w:szCs w:val="13"/>
              </w:rPr>
              <w:t>11</w:t>
            </w:r>
          </w:p>
        </w:tc>
        <w:tc>
          <w:tcPr>
            <w:tcW w:w="6370" w:type="dxa"/>
            <w:tcBorders>
              <w:top w:val="single" w:sz="4" w:space="0" w:color="auto"/>
              <w:left w:val="single" w:sz="4" w:space="0" w:color="auto"/>
            </w:tcBorders>
            <w:shd w:val="clear" w:color="auto" w:fill="FFFFFF"/>
          </w:tcPr>
          <w:p w14:paraId="4E2108B4" w14:textId="77777777" w:rsidR="00E61AF4" w:rsidRDefault="009556DC">
            <w:pPr>
              <w:pStyle w:val="Jin0"/>
              <w:shd w:val="clear" w:color="auto" w:fill="auto"/>
              <w:spacing w:after="0" w:line="240" w:lineRule="auto"/>
              <w:rPr>
                <w:sz w:val="13"/>
                <w:szCs w:val="13"/>
              </w:rPr>
            </w:pPr>
            <w:r>
              <w:rPr>
                <w:sz w:val="13"/>
                <w:szCs w:val="13"/>
              </w:rPr>
              <w:t>Želetava, Znojemská 79</w:t>
            </w:r>
          </w:p>
        </w:tc>
        <w:tc>
          <w:tcPr>
            <w:tcW w:w="1363" w:type="dxa"/>
            <w:tcBorders>
              <w:top w:val="single" w:sz="4" w:space="0" w:color="auto"/>
              <w:left w:val="single" w:sz="4" w:space="0" w:color="auto"/>
            </w:tcBorders>
            <w:shd w:val="clear" w:color="auto" w:fill="FFFFFF"/>
          </w:tcPr>
          <w:p w14:paraId="6457B130" w14:textId="77777777" w:rsidR="00E61AF4" w:rsidRDefault="009556DC">
            <w:pPr>
              <w:pStyle w:val="Jin0"/>
              <w:shd w:val="clear" w:color="auto" w:fill="auto"/>
              <w:spacing w:after="0" w:line="240" w:lineRule="auto"/>
              <w:jc w:val="both"/>
              <w:rPr>
                <w:sz w:val="13"/>
                <w:szCs w:val="13"/>
              </w:rPr>
            </w:pPr>
            <w:r>
              <w:rPr>
                <w:sz w:val="13"/>
                <w:szCs w:val="13"/>
              </w:rPr>
              <w:t>27ZG600Z0015399M</w:t>
            </w:r>
          </w:p>
        </w:tc>
        <w:tc>
          <w:tcPr>
            <w:tcW w:w="6370" w:type="dxa"/>
            <w:tcBorders>
              <w:top w:val="single" w:sz="4" w:space="0" w:color="auto"/>
              <w:left w:val="single" w:sz="4" w:space="0" w:color="auto"/>
            </w:tcBorders>
            <w:shd w:val="clear" w:color="auto" w:fill="FFFFFF"/>
          </w:tcPr>
          <w:p w14:paraId="13356970"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031AAFDA"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31D90095" w14:textId="77777777" w:rsidR="00E61AF4" w:rsidRDefault="009556DC">
            <w:pPr>
              <w:pStyle w:val="Jin0"/>
              <w:shd w:val="clear" w:color="auto" w:fill="auto"/>
              <w:spacing w:after="0" w:line="240" w:lineRule="auto"/>
              <w:jc w:val="right"/>
              <w:rPr>
                <w:sz w:val="13"/>
                <w:szCs w:val="13"/>
              </w:rPr>
            </w:pPr>
            <w:r>
              <w:rPr>
                <w:sz w:val="13"/>
                <w:szCs w:val="13"/>
              </w:rPr>
              <w:t>31,970</w:t>
            </w:r>
          </w:p>
        </w:tc>
      </w:tr>
      <w:tr w:rsidR="00E61AF4" w14:paraId="7EAF35AF" w14:textId="77777777">
        <w:tblPrEx>
          <w:tblCellMar>
            <w:top w:w="0" w:type="dxa"/>
            <w:bottom w:w="0" w:type="dxa"/>
          </w:tblCellMar>
        </w:tblPrEx>
        <w:trPr>
          <w:trHeight w:hRule="exact" w:val="202"/>
          <w:jc w:val="center"/>
        </w:trPr>
        <w:tc>
          <w:tcPr>
            <w:tcW w:w="274" w:type="dxa"/>
            <w:tcBorders>
              <w:top w:val="single" w:sz="4" w:space="0" w:color="auto"/>
              <w:left w:val="single" w:sz="4" w:space="0" w:color="auto"/>
            </w:tcBorders>
            <w:shd w:val="clear" w:color="auto" w:fill="FFFFFF"/>
            <w:vAlign w:val="bottom"/>
          </w:tcPr>
          <w:p w14:paraId="07A6B02B" w14:textId="77777777" w:rsidR="00E61AF4" w:rsidRDefault="009556DC">
            <w:pPr>
              <w:pStyle w:val="Jin0"/>
              <w:shd w:val="clear" w:color="auto" w:fill="auto"/>
              <w:spacing w:after="0" w:line="240" w:lineRule="auto"/>
              <w:jc w:val="both"/>
              <w:rPr>
                <w:sz w:val="13"/>
                <w:szCs w:val="13"/>
              </w:rPr>
            </w:pPr>
            <w:r>
              <w:rPr>
                <w:sz w:val="13"/>
                <w:szCs w:val="13"/>
              </w:rPr>
              <w:t>12</w:t>
            </w:r>
          </w:p>
        </w:tc>
        <w:tc>
          <w:tcPr>
            <w:tcW w:w="6370" w:type="dxa"/>
            <w:tcBorders>
              <w:top w:val="single" w:sz="4" w:space="0" w:color="auto"/>
              <w:left w:val="single" w:sz="4" w:space="0" w:color="auto"/>
            </w:tcBorders>
            <w:shd w:val="clear" w:color="auto" w:fill="FFFFFF"/>
          </w:tcPr>
          <w:p w14:paraId="20C124AF" w14:textId="77777777" w:rsidR="00E61AF4" w:rsidRDefault="009556DC">
            <w:pPr>
              <w:pStyle w:val="Jin0"/>
              <w:shd w:val="clear" w:color="auto" w:fill="auto"/>
              <w:spacing w:after="0" w:line="240" w:lineRule="auto"/>
              <w:rPr>
                <w:sz w:val="13"/>
                <w:szCs w:val="13"/>
              </w:rPr>
            </w:pPr>
            <w:r>
              <w:rPr>
                <w:sz w:val="13"/>
                <w:szCs w:val="13"/>
              </w:rPr>
              <w:t>Bystřice nad Pernštejnem, Nádražní 470</w:t>
            </w:r>
          </w:p>
        </w:tc>
        <w:tc>
          <w:tcPr>
            <w:tcW w:w="1363" w:type="dxa"/>
            <w:tcBorders>
              <w:top w:val="single" w:sz="4" w:space="0" w:color="auto"/>
              <w:left w:val="single" w:sz="4" w:space="0" w:color="auto"/>
            </w:tcBorders>
            <w:shd w:val="clear" w:color="auto" w:fill="FFFFFF"/>
          </w:tcPr>
          <w:p w14:paraId="2CA916DB" w14:textId="77777777" w:rsidR="00E61AF4" w:rsidRDefault="009556DC">
            <w:pPr>
              <w:pStyle w:val="Jin0"/>
              <w:shd w:val="clear" w:color="auto" w:fill="auto"/>
              <w:spacing w:after="0" w:line="240" w:lineRule="auto"/>
              <w:jc w:val="both"/>
              <w:rPr>
                <w:sz w:val="13"/>
                <w:szCs w:val="13"/>
              </w:rPr>
            </w:pPr>
            <w:r>
              <w:rPr>
                <w:sz w:val="13"/>
                <w:szCs w:val="13"/>
              </w:rPr>
              <w:t>27ZG600Z0015937K</w:t>
            </w:r>
          </w:p>
        </w:tc>
        <w:tc>
          <w:tcPr>
            <w:tcW w:w="6370" w:type="dxa"/>
            <w:tcBorders>
              <w:top w:val="single" w:sz="4" w:space="0" w:color="auto"/>
              <w:left w:val="single" w:sz="4" w:space="0" w:color="auto"/>
            </w:tcBorders>
            <w:shd w:val="clear" w:color="auto" w:fill="FFFFFF"/>
          </w:tcPr>
          <w:p w14:paraId="6DDE9BC2" w14:textId="77777777" w:rsidR="00E61AF4" w:rsidRDefault="009556DC">
            <w:pPr>
              <w:pStyle w:val="Jin0"/>
              <w:shd w:val="clear" w:color="auto" w:fill="auto"/>
              <w:spacing w:after="0" w:line="240" w:lineRule="auto"/>
              <w:rPr>
                <w:sz w:val="13"/>
                <w:szCs w:val="13"/>
              </w:rPr>
            </w:pPr>
            <w:r>
              <w:rPr>
                <w:sz w:val="13"/>
                <w:szCs w:val="13"/>
              </w:rPr>
              <w:t xml:space="preserve">Kosovská 1122/16, 586 01 </w:t>
            </w:r>
            <w:r>
              <w:rPr>
                <w:sz w:val="13"/>
                <w:szCs w:val="13"/>
              </w:rPr>
              <w:t>Jihlava</w:t>
            </w:r>
          </w:p>
        </w:tc>
        <w:tc>
          <w:tcPr>
            <w:tcW w:w="437" w:type="dxa"/>
            <w:tcBorders>
              <w:top w:val="single" w:sz="4" w:space="0" w:color="auto"/>
              <w:left w:val="single" w:sz="4" w:space="0" w:color="auto"/>
            </w:tcBorders>
            <w:shd w:val="clear" w:color="auto" w:fill="FFFFFF"/>
          </w:tcPr>
          <w:p w14:paraId="100A5744"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77C293DB" w14:textId="77777777" w:rsidR="00E61AF4" w:rsidRDefault="009556DC">
            <w:pPr>
              <w:pStyle w:val="Jin0"/>
              <w:shd w:val="clear" w:color="auto" w:fill="auto"/>
              <w:spacing w:after="0" w:line="240" w:lineRule="auto"/>
              <w:jc w:val="right"/>
              <w:rPr>
                <w:sz w:val="13"/>
                <w:szCs w:val="13"/>
              </w:rPr>
            </w:pPr>
            <w:r>
              <w:rPr>
                <w:sz w:val="13"/>
                <w:szCs w:val="13"/>
              </w:rPr>
              <w:t>15,430</w:t>
            </w:r>
          </w:p>
        </w:tc>
      </w:tr>
      <w:tr w:rsidR="00E61AF4" w14:paraId="14A77DAA" w14:textId="77777777">
        <w:tblPrEx>
          <w:tblCellMar>
            <w:top w:w="0" w:type="dxa"/>
            <w:bottom w:w="0" w:type="dxa"/>
          </w:tblCellMar>
        </w:tblPrEx>
        <w:trPr>
          <w:trHeight w:hRule="exact" w:val="211"/>
          <w:jc w:val="center"/>
        </w:trPr>
        <w:tc>
          <w:tcPr>
            <w:tcW w:w="274" w:type="dxa"/>
            <w:tcBorders>
              <w:top w:val="single" w:sz="4" w:space="0" w:color="auto"/>
              <w:left w:val="single" w:sz="4" w:space="0" w:color="auto"/>
            </w:tcBorders>
            <w:shd w:val="clear" w:color="auto" w:fill="FFFFFF"/>
          </w:tcPr>
          <w:p w14:paraId="22AB87F7" w14:textId="77777777" w:rsidR="00E61AF4" w:rsidRDefault="009556DC">
            <w:pPr>
              <w:pStyle w:val="Jin0"/>
              <w:shd w:val="clear" w:color="auto" w:fill="auto"/>
              <w:spacing w:after="0" w:line="240" w:lineRule="auto"/>
              <w:jc w:val="both"/>
              <w:rPr>
                <w:sz w:val="13"/>
                <w:szCs w:val="13"/>
              </w:rPr>
            </w:pPr>
            <w:r>
              <w:rPr>
                <w:sz w:val="13"/>
                <w:szCs w:val="13"/>
              </w:rPr>
              <w:t>13</w:t>
            </w:r>
          </w:p>
        </w:tc>
        <w:tc>
          <w:tcPr>
            <w:tcW w:w="6370" w:type="dxa"/>
            <w:tcBorders>
              <w:top w:val="single" w:sz="4" w:space="0" w:color="auto"/>
              <w:left w:val="single" w:sz="4" w:space="0" w:color="auto"/>
            </w:tcBorders>
            <w:shd w:val="clear" w:color="auto" w:fill="FFFFFF"/>
          </w:tcPr>
          <w:p w14:paraId="298BDF48" w14:textId="77777777" w:rsidR="00E61AF4" w:rsidRDefault="009556DC">
            <w:pPr>
              <w:pStyle w:val="Jin0"/>
              <w:shd w:val="clear" w:color="auto" w:fill="auto"/>
              <w:spacing w:after="0" w:line="240" w:lineRule="auto"/>
              <w:rPr>
                <w:sz w:val="13"/>
                <w:szCs w:val="13"/>
              </w:rPr>
            </w:pPr>
            <w:r>
              <w:rPr>
                <w:sz w:val="13"/>
                <w:szCs w:val="13"/>
              </w:rPr>
              <w:t>Žďár nad Sázavou, Jihlavská 841/1</w:t>
            </w:r>
          </w:p>
        </w:tc>
        <w:tc>
          <w:tcPr>
            <w:tcW w:w="1363" w:type="dxa"/>
            <w:tcBorders>
              <w:top w:val="single" w:sz="4" w:space="0" w:color="auto"/>
              <w:left w:val="single" w:sz="4" w:space="0" w:color="auto"/>
            </w:tcBorders>
            <w:shd w:val="clear" w:color="auto" w:fill="FFFFFF"/>
          </w:tcPr>
          <w:p w14:paraId="76018ABF" w14:textId="77777777" w:rsidR="00E61AF4" w:rsidRDefault="009556DC">
            <w:pPr>
              <w:pStyle w:val="Jin0"/>
              <w:shd w:val="clear" w:color="auto" w:fill="auto"/>
              <w:spacing w:after="0" w:line="240" w:lineRule="auto"/>
              <w:jc w:val="both"/>
              <w:rPr>
                <w:sz w:val="13"/>
                <w:szCs w:val="13"/>
              </w:rPr>
            </w:pPr>
            <w:r>
              <w:rPr>
                <w:sz w:val="13"/>
                <w:szCs w:val="13"/>
              </w:rPr>
              <w:t>27ZG600Z0017663L</w:t>
            </w:r>
          </w:p>
        </w:tc>
        <w:tc>
          <w:tcPr>
            <w:tcW w:w="6370" w:type="dxa"/>
            <w:tcBorders>
              <w:top w:val="single" w:sz="4" w:space="0" w:color="auto"/>
              <w:left w:val="single" w:sz="4" w:space="0" w:color="auto"/>
            </w:tcBorders>
            <w:shd w:val="clear" w:color="auto" w:fill="FFFFFF"/>
          </w:tcPr>
          <w:p w14:paraId="3434A711"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62F9FD62"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2B7A7A03" w14:textId="77777777" w:rsidR="00E61AF4" w:rsidRDefault="009556DC">
            <w:pPr>
              <w:pStyle w:val="Jin0"/>
              <w:shd w:val="clear" w:color="auto" w:fill="auto"/>
              <w:spacing w:after="0" w:line="240" w:lineRule="auto"/>
              <w:jc w:val="right"/>
              <w:rPr>
                <w:sz w:val="13"/>
                <w:szCs w:val="13"/>
              </w:rPr>
            </w:pPr>
            <w:r>
              <w:rPr>
                <w:sz w:val="13"/>
                <w:szCs w:val="13"/>
              </w:rPr>
              <w:t>230,110</w:t>
            </w:r>
          </w:p>
        </w:tc>
      </w:tr>
      <w:tr w:rsidR="00E61AF4" w14:paraId="322C9671" w14:textId="77777777">
        <w:tblPrEx>
          <w:tblCellMar>
            <w:top w:w="0" w:type="dxa"/>
            <w:bottom w:w="0" w:type="dxa"/>
          </w:tblCellMar>
        </w:tblPrEx>
        <w:trPr>
          <w:trHeight w:hRule="exact" w:val="206"/>
          <w:jc w:val="center"/>
        </w:trPr>
        <w:tc>
          <w:tcPr>
            <w:tcW w:w="274" w:type="dxa"/>
            <w:tcBorders>
              <w:top w:val="single" w:sz="4" w:space="0" w:color="auto"/>
              <w:left w:val="single" w:sz="4" w:space="0" w:color="auto"/>
            </w:tcBorders>
            <w:shd w:val="clear" w:color="auto" w:fill="FFFFFF"/>
          </w:tcPr>
          <w:p w14:paraId="788C9B8D" w14:textId="77777777" w:rsidR="00E61AF4" w:rsidRDefault="009556DC">
            <w:pPr>
              <w:pStyle w:val="Jin0"/>
              <w:shd w:val="clear" w:color="auto" w:fill="auto"/>
              <w:spacing w:after="0" w:line="240" w:lineRule="auto"/>
              <w:jc w:val="both"/>
              <w:rPr>
                <w:sz w:val="13"/>
                <w:szCs w:val="13"/>
              </w:rPr>
            </w:pPr>
            <w:r>
              <w:rPr>
                <w:sz w:val="13"/>
                <w:szCs w:val="13"/>
              </w:rPr>
              <w:t>14</w:t>
            </w:r>
          </w:p>
        </w:tc>
        <w:tc>
          <w:tcPr>
            <w:tcW w:w="6370" w:type="dxa"/>
            <w:tcBorders>
              <w:top w:val="single" w:sz="4" w:space="0" w:color="auto"/>
              <w:left w:val="single" w:sz="4" w:space="0" w:color="auto"/>
            </w:tcBorders>
            <w:shd w:val="clear" w:color="auto" w:fill="FFFFFF"/>
          </w:tcPr>
          <w:p w14:paraId="45386449" w14:textId="77777777" w:rsidR="00E61AF4" w:rsidRDefault="009556DC">
            <w:pPr>
              <w:pStyle w:val="Jin0"/>
              <w:shd w:val="clear" w:color="auto" w:fill="auto"/>
              <w:spacing w:after="0" w:line="240" w:lineRule="auto"/>
              <w:rPr>
                <w:sz w:val="13"/>
                <w:szCs w:val="13"/>
              </w:rPr>
            </w:pPr>
            <w:r>
              <w:rPr>
                <w:sz w:val="13"/>
                <w:szCs w:val="13"/>
              </w:rPr>
              <w:t>Jemnice, U Černého mostu 1125</w:t>
            </w:r>
          </w:p>
        </w:tc>
        <w:tc>
          <w:tcPr>
            <w:tcW w:w="1363" w:type="dxa"/>
            <w:tcBorders>
              <w:top w:val="single" w:sz="4" w:space="0" w:color="auto"/>
              <w:left w:val="single" w:sz="4" w:space="0" w:color="auto"/>
            </w:tcBorders>
            <w:shd w:val="clear" w:color="auto" w:fill="FFFFFF"/>
          </w:tcPr>
          <w:p w14:paraId="1F6C2C4C" w14:textId="77777777" w:rsidR="00E61AF4" w:rsidRDefault="009556DC">
            <w:pPr>
              <w:pStyle w:val="Jin0"/>
              <w:shd w:val="clear" w:color="auto" w:fill="auto"/>
              <w:spacing w:after="0" w:line="240" w:lineRule="auto"/>
              <w:jc w:val="both"/>
              <w:rPr>
                <w:sz w:val="13"/>
                <w:szCs w:val="13"/>
              </w:rPr>
            </w:pPr>
            <w:r>
              <w:rPr>
                <w:sz w:val="13"/>
                <w:szCs w:val="13"/>
              </w:rPr>
              <w:t>27ZG600Z0028710R</w:t>
            </w:r>
          </w:p>
        </w:tc>
        <w:tc>
          <w:tcPr>
            <w:tcW w:w="6370" w:type="dxa"/>
            <w:tcBorders>
              <w:top w:val="single" w:sz="4" w:space="0" w:color="auto"/>
              <w:left w:val="single" w:sz="4" w:space="0" w:color="auto"/>
            </w:tcBorders>
            <w:shd w:val="clear" w:color="auto" w:fill="FFFFFF"/>
          </w:tcPr>
          <w:p w14:paraId="13EC290B"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65EF3EC5"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2647F91D" w14:textId="77777777" w:rsidR="00E61AF4" w:rsidRDefault="009556DC">
            <w:pPr>
              <w:pStyle w:val="Jin0"/>
              <w:shd w:val="clear" w:color="auto" w:fill="auto"/>
              <w:spacing w:after="0" w:line="240" w:lineRule="auto"/>
              <w:jc w:val="right"/>
              <w:rPr>
                <w:sz w:val="13"/>
                <w:szCs w:val="13"/>
              </w:rPr>
            </w:pPr>
            <w:r>
              <w:rPr>
                <w:sz w:val="13"/>
                <w:szCs w:val="13"/>
              </w:rPr>
              <w:t>31,340</w:t>
            </w:r>
          </w:p>
        </w:tc>
      </w:tr>
      <w:tr w:rsidR="00E61AF4" w14:paraId="120AB708" w14:textId="77777777">
        <w:tblPrEx>
          <w:tblCellMar>
            <w:top w:w="0" w:type="dxa"/>
            <w:bottom w:w="0" w:type="dxa"/>
          </w:tblCellMar>
        </w:tblPrEx>
        <w:trPr>
          <w:trHeight w:hRule="exact" w:val="216"/>
          <w:jc w:val="center"/>
        </w:trPr>
        <w:tc>
          <w:tcPr>
            <w:tcW w:w="274" w:type="dxa"/>
            <w:tcBorders>
              <w:top w:val="single" w:sz="4" w:space="0" w:color="auto"/>
              <w:left w:val="single" w:sz="4" w:space="0" w:color="auto"/>
            </w:tcBorders>
            <w:shd w:val="clear" w:color="auto" w:fill="FFFFFF"/>
          </w:tcPr>
          <w:p w14:paraId="73943CC6" w14:textId="77777777" w:rsidR="00E61AF4" w:rsidRDefault="009556DC">
            <w:pPr>
              <w:pStyle w:val="Jin0"/>
              <w:shd w:val="clear" w:color="auto" w:fill="auto"/>
              <w:spacing w:after="0" w:line="240" w:lineRule="auto"/>
              <w:jc w:val="both"/>
              <w:rPr>
                <w:sz w:val="13"/>
                <w:szCs w:val="13"/>
              </w:rPr>
            </w:pPr>
            <w:r>
              <w:rPr>
                <w:sz w:val="13"/>
                <w:szCs w:val="13"/>
              </w:rPr>
              <w:t>15</w:t>
            </w:r>
          </w:p>
        </w:tc>
        <w:tc>
          <w:tcPr>
            <w:tcW w:w="6370" w:type="dxa"/>
            <w:tcBorders>
              <w:top w:val="single" w:sz="4" w:space="0" w:color="auto"/>
              <w:left w:val="single" w:sz="4" w:space="0" w:color="auto"/>
            </w:tcBorders>
            <w:shd w:val="clear" w:color="auto" w:fill="FFFFFF"/>
          </w:tcPr>
          <w:p w14:paraId="18EC5BF6" w14:textId="77777777" w:rsidR="00E61AF4" w:rsidRDefault="009556DC">
            <w:pPr>
              <w:pStyle w:val="Jin0"/>
              <w:shd w:val="clear" w:color="auto" w:fill="auto"/>
              <w:spacing w:after="0" w:line="240" w:lineRule="auto"/>
              <w:rPr>
                <w:sz w:val="13"/>
                <w:szCs w:val="13"/>
              </w:rPr>
            </w:pPr>
            <w:r>
              <w:rPr>
                <w:sz w:val="13"/>
                <w:szCs w:val="13"/>
              </w:rPr>
              <w:t xml:space="preserve">Náměšť nad Oslavou, </w:t>
            </w:r>
            <w:proofErr w:type="spellStart"/>
            <w:r>
              <w:rPr>
                <w:sz w:val="13"/>
                <w:szCs w:val="13"/>
              </w:rPr>
              <w:t>Ocmanická</w:t>
            </w:r>
            <w:proofErr w:type="spellEnd"/>
            <w:r>
              <w:rPr>
                <w:sz w:val="13"/>
                <w:szCs w:val="13"/>
              </w:rPr>
              <w:t xml:space="preserve"> 93</w:t>
            </w:r>
          </w:p>
        </w:tc>
        <w:tc>
          <w:tcPr>
            <w:tcW w:w="1363" w:type="dxa"/>
            <w:tcBorders>
              <w:top w:val="single" w:sz="4" w:space="0" w:color="auto"/>
              <w:left w:val="single" w:sz="4" w:space="0" w:color="auto"/>
            </w:tcBorders>
            <w:shd w:val="clear" w:color="auto" w:fill="FFFFFF"/>
          </w:tcPr>
          <w:p w14:paraId="3E90B2BA" w14:textId="77777777" w:rsidR="00E61AF4" w:rsidRDefault="009556DC">
            <w:pPr>
              <w:pStyle w:val="Jin0"/>
              <w:shd w:val="clear" w:color="auto" w:fill="auto"/>
              <w:spacing w:after="0" w:line="240" w:lineRule="auto"/>
              <w:jc w:val="both"/>
              <w:rPr>
                <w:sz w:val="13"/>
                <w:szCs w:val="13"/>
              </w:rPr>
            </w:pPr>
            <w:r>
              <w:rPr>
                <w:sz w:val="13"/>
                <w:szCs w:val="13"/>
              </w:rPr>
              <w:t>27ZG600Z00289183</w:t>
            </w:r>
          </w:p>
        </w:tc>
        <w:tc>
          <w:tcPr>
            <w:tcW w:w="6370" w:type="dxa"/>
            <w:tcBorders>
              <w:top w:val="single" w:sz="4" w:space="0" w:color="auto"/>
              <w:left w:val="single" w:sz="4" w:space="0" w:color="auto"/>
            </w:tcBorders>
            <w:shd w:val="clear" w:color="auto" w:fill="FFFFFF"/>
          </w:tcPr>
          <w:p w14:paraId="5025528D"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42DCC1EA"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2A080DEB" w14:textId="77777777" w:rsidR="00E61AF4" w:rsidRDefault="009556DC">
            <w:pPr>
              <w:pStyle w:val="Jin0"/>
              <w:shd w:val="clear" w:color="auto" w:fill="auto"/>
              <w:spacing w:after="0" w:line="240" w:lineRule="auto"/>
              <w:jc w:val="right"/>
              <w:rPr>
                <w:sz w:val="13"/>
                <w:szCs w:val="13"/>
              </w:rPr>
            </w:pPr>
            <w:r>
              <w:rPr>
                <w:sz w:val="13"/>
                <w:szCs w:val="13"/>
              </w:rPr>
              <w:t>173,980</w:t>
            </w:r>
          </w:p>
        </w:tc>
      </w:tr>
      <w:tr w:rsidR="00E61AF4" w14:paraId="5A8C8185" w14:textId="77777777">
        <w:tblPrEx>
          <w:tblCellMar>
            <w:top w:w="0" w:type="dxa"/>
            <w:bottom w:w="0" w:type="dxa"/>
          </w:tblCellMar>
        </w:tblPrEx>
        <w:trPr>
          <w:trHeight w:hRule="exact" w:val="206"/>
          <w:jc w:val="center"/>
        </w:trPr>
        <w:tc>
          <w:tcPr>
            <w:tcW w:w="274" w:type="dxa"/>
            <w:tcBorders>
              <w:top w:val="single" w:sz="4" w:space="0" w:color="auto"/>
              <w:left w:val="single" w:sz="4" w:space="0" w:color="auto"/>
            </w:tcBorders>
            <w:shd w:val="clear" w:color="auto" w:fill="FFFFFF"/>
            <w:vAlign w:val="bottom"/>
          </w:tcPr>
          <w:p w14:paraId="401C6C66" w14:textId="77777777" w:rsidR="00E61AF4" w:rsidRDefault="009556DC">
            <w:pPr>
              <w:pStyle w:val="Jin0"/>
              <w:shd w:val="clear" w:color="auto" w:fill="auto"/>
              <w:spacing w:after="0" w:line="240" w:lineRule="auto"/>
              <w:jc w:val="both"/>
              <w:rPr>
                <w:sz w:val="13"/>
                <w:szCs w:val="13"/>
              </w:rPr>
            </w:pPr>
            <w:r>
              <w:rPr>
                <w:sz w:val="13"/>
                <w:szCs w:val="13"/>
              </w:rPr>
              <w:t>16</w:t>
            </w:r>
          </w:p>
        </w:tc>
        <w:tc>
          <w:tcPr>
            <w:tcW w:w="6370" w:type="dxa"/>
            <w:tcBorders>
              <w:top w:val="single" w:sz="4" w:space="0" w:color="auto"/>
              <w:left w:val="single" w:sz="4" w:space="0" w:color="auto"/>
            </w:tcBorders>
            <w:shd w:val="clear" w:color="auto" w:fill="FFFFFF"/>
          </w:tcPr>
          <w:p w14:paraId="1D774B44" w14:textId="77777777" w:rsidR="00E61AF4" w:rsidRDefault="009556DC">
            <w:pPr>
              <w:pStyle w:val="Jin0"/>
              <w:shd w:val="clear" w:color="auto" w:fill="auto"/>
              <w:spacing w:after="0" w:line="240" w:lineRule="auto"/>
              <w:rPr>
                <w:sz w:val="13"/>
                <w:szCs w:val="13"/>
              </w:rPr>
            </w:pPr>
            <w:r>
              <w:rPr>
                <w:sz w:val="13"/>
                <w:szCs w:val="13"/>
              </w:rPr>
              <w:t>Polná, Malá cihelna 1146</w:t>
            </w:r>
          </w:p>
        </w:tc>
        <w:tc>
          <w:tcPr>
            <w:tcW w:w="1363" w:type="dxa"/>
            <w:tcBorders>
              <w:top w:val="single" w:sz="4" w:space="0" w:color="auto"/>
              <w:left w:val="single" w:sz="4" w:space="0" w:color="auto"/>
            </w:tcBorders>
            <w:shd w:val="clear" w:color="auto" w:fill="FFFFFF"/>
          </w:tcPr>
          <w:p w14:paraId="048F2AC0" w14:textId="77777777" w:rsidR="00E61AF4" w:rsidRDefault="009556DC">
            <w:pPr>
              <w:pStyle w:val="Jin0"/>
              <w:shd w:val="clear" w:color="auto" w:fill="auto"/>
              <w:spacing w:after="0" w:line="240" w:lineRule="auto"/>
              <w:jc w:val="both"/>
              <w:rPr>
                <w:sz w:val="13"/>
                <w:szCs w:val="13"/>
              </w:rPr>
            </w:pPr>
            <w:r>
              <w:rPr>
                <w:sz w:val="13"/>
                <w:szCs w:val="13"/>
              </w:rPr>
              <w:t>27ZG600Z0030804F</w:t>
            </w:r>
          </w:p>
        </w:tc>
        <w:tc>
          <w:tcPr>
            <w:tcW w:w="6370" w:type="dxa"/>
            <w:tcBorders>
              <w:top w:val="single" w:sz="4" w:space="0" w:color="auto"/>
              <w:left w:val="single" w:sz="4" w:space="0" w:color="auto"/>
            </w:tcBorders>
            <w:shd w:val="clear" w:color="auto" w:fill="FFFFFF"/>
          </w:tcPr>
          <w:p w14:paraId="0367C053"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3E49E8F3"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347A7FFB" w14:textId="77777777" w:rsidR="00E61AF4" w:rsidRDefault="009556DC">
            <w:pPr>
              <w:pStyle w:val="Jin0"/>
              <w:shd w:val="clear" w:color="auto" w:fill="auto"/>
              <w:spacing w:after="0" w:line="240" w:lineRule="auto"/>
              <w:jc w:val="right"/>
              <w:rPr>
                <w:sz w:val="13"/>
                <w:szCs w:val="13"/>
              </w:rPr>
            </w:pPr>
            <w:r>
              <w:rPr>
                <w:sz w:val="13"/>
                <w:szCs w:val="13"/>
              </w:rPr>
              <w:t>97,750</w:t>
            </w:r>
          </w:p>
        </w:tc>
      </w:tr>
      <w:tr w:rsidR="00E61AF4" w14:paraId="42FDA7EA" w14:textId="77777777">
        <w:tblPrEx>
          <w:tblCellMar>
            <w:top w:w="0" w:type="dxa"/>
            <w:bottom w:w="0" w:type="dxa"/>
          </w:tblCellMar>
        </w:tblPrEx>
        <w:trPr>
          <w:trHeight w:hRule="exact" w:val="211"/>
          <w:jc w:val="center"/>
        </w:trPr>
        <w:tc>
          <w:tcPr>
            <w:tcW w:w="274" w:type="dxa"/>
            <w:tcBorders>
              <w:top w:val="single" w:sz="4" w:space="0" w:color="auto"/>
              <w:left w:val="single" w:sz="4" w:space="0" w:color="auto"/>
            </w:tcBorders>
            <w:shd w:val="clear" w:color="auto" w:fill="FFFFFF"/>
          </w:tcPr>
          <w:p w14:paraId="5B51B424" w14:textId="77777777" w:rsidR="00E61AF4" w:rsidRDefault="009556DC">
            <w:pPr>
              <w:pStyle w:val="Jin0"/>
              <w:shd w:val="clear" w:color="auto" w:fill="auto"/>
              <w:spacing w:after="0" w:line="240" w:lineRule="auto"/>
              <w:jc w:val="both"/>
              <w:rPr>
                <w:sz w:val="13"/>
                <w:szCs w:val="13"/>
              </w:rPr>
            </w:pPr>
            <w:r>
              <w:rPr>
                <w:sz w:val="13"/>
                <w:szCs w:val="13"/>
              </w:rPr>
              <w:t>17</w:t>
            </w:r>
          </w:p>
        </w:tc>
        <w:tc>
          <w:tcPr>
            <w:tcW w:w="6370" w:type="dxa"/>
            <w:tcBorders>
              <w:top w:val="single" w:sz="4" w:space="0" w:color="auto"/>
              <w:left w:val="single" w:sz="4" w:space="0" w:color="auto"/>
            </w:tcBorders>
            <w:shd w:val="clear" w:color="auto" w:fill="FFFFFF"/>
          </w:tcPr>
          <w:p w14:paraId="6878A756" w14:textId="77777777" w:rsidR="00E61AF4" w:rsidRDefault="009556DC">
            <w:pPr>
              <w:pStyle w:val="Jin0"/>
              <w:shd w:val="clear" w:color="auto" w:fill="auto"/>
              <w:spacing w:after="0" w:line="240" w:lineRule="auto"/>
              <w:rPr>
                <w:sz w:val="13"/>
                <w:szCs w:val="13"/>
              </w:rPr>
            </w:pPr>
            <w:r>
              <w:rPr>
                <w:sz w:val="13"/>
                <w:szCs w:val="13"/>
              </w:rPr>
              <w:t>Velká Bíteš, Kpt. Jaroše 146</w:t>
            </w:r>
          </w:p>
        </w:tc>
        <w:tc>
          <w:tcPr>
            <w:tcW w:w="1363" w:type="dxa"/>
            <w:tcBorders>
              <w:top w:val="single" w:sz="4" w:space="0" w:color="auto"/>
              <w:left w:val="single" w:sz="4" w:space="0" w:color="auto"/>
            </w:tcBorders>
            <w:shd w:val="clear" w:color="auto" w:fill="FFFFFF"/>
          </w:tcPr>
          <w:p w14:paraId="77B87B69" w14:textId="77777777" w:rsidR="00E61AF4" w:rsidRDefault="009556DC">
            <w:pPr>
              <w:pStyle w:val="Jin0"/>
              <w:shd w:val="clear" w:color="auto" w:fill="auto"/>
              <w:spacing w:after="0" w:line="240" w:lineRule="auto"/>
              <w:jc w:val="both"/>
              <w:rPr>
                <w:sz w:val="13"/>
                <w:szCs w:val="13"/>
              </w:rPr>
            </w:pPr>
            <w:r>
              <w:rPr>
                <w:sz w:val="13"/>
                <w:szCs w:val="13"/>
              </w:rPr>
              <w:t>27ZG600Z0032712A</w:t>
            </w:r>
          </w:p>
        </w:tc>
        <w:tc>
          <w:tcPr>
            <w:tcW w:w="6370" w:type="dxa"/>
            <w:tcBorders>
              <w:top w:val="single" w:sz="4" w:space="0" w:color="auto"/>
              <w:left w:val="single" w:sz="4" w:space="0" w:color="auto"/>
            </w:tcBorders>
            <w:shd w:val="clear" w:color="auto" w:fill="FFFFFF"/>
          </w:tcPr>
          <w:p w14:paraId="7B635DEE"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2E177E28"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564F8066" w14:textId="77777777" w:rsidR="00E61AF4" w:rsidRDefault="009556DC">
            <w:pPr>
              <w:pStyle w:val="Jin0"/>
              <w:shd w:val="clear" w:color="auto" w:fill="auto"/>
              <w:spacing w:after="0" w:line="240" w:lineRule="auto"/>
              <w:jc w:val="right"/>
              <w:rPr>
                <w:sz w:val="13"/>
                <w:szCs w:val="13"/>
              </w:rPr>
            </w:pPr>
            <w:r>
              <w:rPr>
                <w:sz w:val="13"/>
                <w:szCs w:val="13"/>
              </w:rPr>
              <w:t>134,590</w:t>
            </w:r>
          </w:p>
        </w:tc>
      </w:tr>
      <w:tr w:rsidR="00E61AF4" w14:paraId="629D770A" w14:textId="77777777">
        <w:tblPrEx>
          <w:tblCellMar>
            <w:top w:w="0" w:type="dxa"/>
            <w:bottom w:w="0" w:type="dxa"/>
          </w:tblCellMar>
        </w:tblPrEx>
        <w:trPr>
          <w:trHeight w:hRule="exact" w:val="206"/>
          <w:jc w:val="center"/>
        </w:trPr>
        <w:tc>
          <w:tcPr>
            <w:tcW w:w="274" w:type="dxa"/>
            <w:tcBorders>
              <w:top w:val="single" w:sz="4" w:space="0" w:color="auto"/>
              <w:left w:val="single" w:sz="4" w:space="0" w:color="auto"/>
            </w:tcBorders>
            <w:shd w:val="clear" w:color="auto" w:fill="FFFFFF"/>
            <w:vAlign w:val="bottom"/>
          </w:tcPr>
          <w:p w14:paraId="181F9434" w14:textId="77777777" w:rsidR="00E61AF4" w:rsidRDefault="009556DC">
            <w:pPr>
              <w:pStyle w:val="Jin0"/>
              <w:shd w:val="clear" w:color="auto" w:fill="auto"/>
              <w:spacing w:after="0" w:line="240" w:lineRule="auto"/>
              <w:jc w:val="both"/>
              <w:rPr>
                <w:sz w:val="13"/>
                <w:szCs w:val="13"/>
              </w:rPr>
            </w:pPr>
            <w:r>
              <w:rPr>
                <w:sz w:val="13"/>
                <w:szCs w:val="13"/>
              </w:rPr>
              <w:t>18</w:t>
            </w:r>
          </w:p>
        </w:tc>
        <w:tc>
          <w:tcPr>
            <w:tcW w:w="6370" w:type="dxa"/>
            <w:tcBorders>
              <w:top w:val="single" w:sz="4" w:space="0" w:color="auto"/>
              <w:left w:val="single" w:sz="4" w:space="0" w:color="auto"/>
            </w:tcBorders>
            <w:shd w:val="clear" w:color="auto" w:fill="FFFFFF"/>
          </w:tcPr>
          <w:p w14:paraId="0E853A5A" w14:textId="77777777" w:rsidR="00E61AF4" w:rsidRDefault="009556DC">
            <w:pPr>
              <w:pStyle w:val="Jin0"/>
              <w:shd w:val="clear" w:color="auto" w:fill="auto"/>
              <w:spacing w:after="0" w:line="240" w:lineRule="auto"/>
              <w:rPr>
                <w:sz w:val="13"/>
                <w:szCs w:val="13"/>
              </w:rPr>
            </w:pPr>
            <w:r>
              <w:rPr>
                <w:sz w:val="13"/>
                <w:szCs w:val="13"/>
              </w:rPr>
              <w:t>Bystřice nad Pernštejnem, Nádražní 470</w:t>
            </w:r>
          </w:p>
        </w:tc>
        <w:tc>
          <w:tcPr>
            <w:tcW w:w="1363" w:type="dxa"/>
            <w:tcBorders>
              <w:top w:val="single" w:sz="4" w:space="0" w:color="auto"/>
              <w:left w:val="single" w:sz="4" w:space="0" w:color="auto"/>
            </w:tcBorders>
            <w:shd w:val="clear" w:color="auto" w:fill="FFFFFF"/>
          </w:tcPr>
          <w:p w14:paraId="281C4FA9" w14:textId="77777777" w:rsidR="00E61AF4" w:rsidRDefault="009556DC">
            <w:pPr>
              <w:pStyle w:val="Jin0"/>
              <w:shd w:val="clear" w:color="auto" w:fill="auto"/>
              <w:spacing w:after="0" w:line="240" w:lineRule="auto"/>
              <w:jc w:val="both"/>
              <w:rPr>
                <w:sz w:val="13"/>
                <w:szCs w:val="13"/>
              </w:rPr>
            </w:pPr>
            <w:r>
              <w:rPr>
                <w:sz w:val="13"/>
                <w:szCs w:val="13"/>
              </w:rPr>
              <w:t>27ZG600Z00395714</w:t>
            </w:r>
          </w:p>
        </w:tc>
        <w:tc>
          <w:tcPr>
            <w:tcW w:w="6370" w:type="dxa"/>
            <w:tcBorders>
              <w:top w:val="single" w:sz="4" w:space="0" w:color="auto"/>
              <w:left w:val="single" w:sz="4" w:space="0" w:color="auto"/>
            </w:tcBorders>
            <w:shd w:val="clear" w:color="auto" w:fill="FFFFFF"/>
          </w:tcPr>
          <w:p w14:paraId="6128CC60"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753571BD"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1E594AF6" w14:textId="77777777" w:rsidR="00E61AF4" w:rsidRDefault="009556DC">
            <w:pPr>
              <w:pStyle w:val="Jin0"/>
              <w:shd w:val="clear" w:color="auto" w:fill="auto"/>
              <w:spacing w:after="0" w:line="240" w:lineRule="auto"/>
              <w:jc w:val="right"/>
              <w:rPr>
                <w:sz w:val="13"/>
                <w:szCs w:val="13"/>
              </w:rPr>
            </w:pPr>
            <w:r>
              <w:rPr>
                <w:sz w:val="13"/>
                <w:szCs w:val="13"/>
              </w:rPr>
              <w:t>174,120</w:t>
            </w:r>
          </w:p>
        </w:tc>
      </w:tr>
      <w:tr w:rsidR="00E61AF4" w14:paraId="76BED48F" w14:textId="77777777">
        <w:tblPrEx>
          <w:tblCellMar>
            <w:top w:w="0" w:type="dxa"/>
            <w:bottom w:w="0" w:type="dxa"/>
          </w:tblCellMar>
        </w:tblPrEx>
        <w:trPr>
          <w:trHeight w:hRule="exact" w:val="206"/>
          <w:jc w:val="center"/>
        </w:trPr>
        <w:tc>
          <w:tcPr>
            <w:tcW w:w="274" w:type="dxa"/>
            <w:tcBorders>
              <w:top w:val="single" w:sz="4" w:space="0" w:color="auto"/>
              <w:left w:val="single" w:sz="4" w:space="0" w:color="auto"/>
            </w:tcBorders>
            <w:shd w:val="clear" w:color="auto" w:fill="FFFFFF"/>
          </w:tcPr>
          <w:p w14:paraId="4DEC92E6" w14:textId="77777777" w:rsidR="00E61AF4" w:rsidRDefault="009556DC">
            <w:pPr>
              <w:pStyle w:val="Jin0"/>
              <w:shd w:val="clear" w:color="auto" w:fill="auto"/>
              <w:spacing w:after="0" w:line="240" w:lineRule="auto"/>
              <w:jc w:val="both"/>
              <w:rPr>
                <w:sz w:val="13"/>
                <w:szCs w:val="13"/>
              </w:rPr>
            </w:pPr>
            <w:r>
              <w:rPr>
                <w:sz w:val="13"/>
                <w:szCs w:val="13"/>
              </w:rPr>
              <w:t>19</w:t>
            </w:r>
          </w:p>
        </w:tc>
        <w:tc>
          <w:tcPr>
            <w:tcW w:w="6370" w:type="dxa"/>
            <w:tcBorders>
              <w:top w:val="single" w:sz="4" w:space="0" w:color="auto"/>
              <w:left w:val="single" w:sz="4" w:space="0" w:color="auto"/>
            </w:tcBorders>
            <w:shd w:val="clear" w:color="auto" w:fill="FFFFFF"/>
          </w:tcPr>
          <w:p w14:paraId="07CC5A59" w14:textId="77777777" w:rsidR="00E61AF4" w:rsidRDefault="009556DC">
            <w:pPr>
              <w:pStyle w:val="Jin0"/>
              <w:shd w:val="clear" w:color="auto" w:fill="auto"/>
              <w:spacing w:after="0" w:line="240" w:lineRule="auto"/>
              <w:rPr>
                <w:sz w:val="13"/>
                <w:szCs w:val="13"/>
              </w:rPr>
            </w:pPr>
            <w:r>
              <w:rPr>
                <w:sz w:val="13"/>
                <w:szCs w:val="13"/>
              </w:rPr>
              <w:t>Pacov, Nádražní 1065</w:t>
            </w:r>
          </w:p>
        </w:tc>
        <w:tc>
          <w:tcPr>
            <w:tcW w:w="1363" w:type="dxa"/>
            <w:tcBorders>
              <w:top w:val="single" w:sz="4" w:space="0" w:color="auto"/>
              <w:left w:val="single" w:sz="4" w:space="0" w:color="auto"/>
            </w:tcBorders>
            <w:shd w:val="clear" w:color="auto" w:fill="FFFFFF"/>
          </w:tcPr>
          <w:p w14:paraId="45B2C52C" w14:textId="77777777" w:rsidR="00E61AF4" w:rsidRDefault="009556DC">
            <w:pPr>
              <w:pStyle w:val="Jin0"/>
              <w:shd w:val="clear" w:color="auto" w:fill="auto"/>
              <w:spacing w:after="0" w:line="240" w:lineRule="auto"/>
              <w:jc w:val="both"/>
              <w:rPr>
                <w:sz w:val="13"/>
                <w:szCs w:val="13"/>
              </w:rPr>
            </w:pPr>
            <w:r>
              <w:rPr>
                <w:sz w:val="13"/>
                <w:szCs w:val="13"/>
              </w:rPr>
              <w:t>27ZG900Z10012080</w:t>
            </w:r>
          </w:p>
        </w:tc>
        <w:tc>
          <w:tcPr>
            <w:tcW w:w="6370" w:type="dxa"/>
            <w:tcBorders>
              <w:top w:val="single" w:sz="4" w:space="0" w:color="auto"/>
              <w:left w:val="single" w:sz="4" w:space="0" w:color="auto"/>
            </w:tcBorders>
            <w:shd w:val="clear" w:color="auto" w:fill="FFFFFF"/>
          </w:tcPr>
          <w:p w14:paraId="764315B4"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tcBorders>
            <w:shd w:val="clear" w:color="auto" w:fill="FFFFFF"/>
          </w:tcPr>
          <w:p w14:paraId="06A489BD"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7144C823" w14:textId="77777777" w:rsidR="00E61AF4" w:rsidRDefault="009556DC">
            <w:pPr>
              <w:pStyle w:val="Jin0"/>
              <w:shd w:val="clear" w:color="auto" w:fill="auto"/>
              <w:spacing w:after="0" w:line="240" w:lineRule="auto"/>
              <w:jc w:val="right"/>
              <w:rPr>
                <w:sz w:val="13"/>
                <w:szCs w:val="13"/>
              </w:rPr>
            </w:pPr>
            <w:r>
              <w:rPr>
                <w:sz w:val="13"/>
                <w:szCs w:val="13"/>
              </w:rPr>
              <w:t>134,460</w:t>
            </w:r>
          </w:p>
        </w:tc>
      </w:tr>
      <w:tr w:rsidR="00E61AF4" w14:paraId="01EAE8BE" w14:textId="77777777">
        <w:tblPrEx>
          <w:tblCellMar>
            <w:top w:w="0" w:type="dxa"/>
            <w:bottom w:w="0" w:type="dxa"/>
          </w:tblCellMar>
        </w:tblPrEx>
        <w:trPr>
          <w:trHeight w:hRule="exact" w:val="206"/>
          <w:jc w:val="center"/>
        </w:trPr>
        <w:tc>
          <w:tcPr>
            <w:tcW w:w="274" w:type="dxa"/>
            <w:tcBorders>
              <w:top w:val="single" w:sz="4" w:space="0" w:color="auto"/>
              <w:left w:val="single" w:sz="4" w:space="0" w:color="auto"/>
            </w:tcBorders>
            <w:shd w:val="clear" w:color="auto" w:fill="FFFFFF"/>
            <w:vAlign w:val="bottom"/>
          </w:tcPr>
          <w:p w14:paraId="11ED56E1" w14:textId="77777777" w:rsidR="00E61AF4" w:rsidRDefault="009556DC">
            <w:pPr>
              <w:pStyle w:val="Jin0"/>
              <w:shd w:val="clear" w:color="auto" w:fill="auto"/>
              <w:spacing w:after="0" w:line="240" w:lineRule="auto"/>
              <w:jc w:val="both"/>
              <w:rPr>
                <w:sz w:val="13"/>
                <w:szCs w:val="13"/>
              </w:rPr>
            </w:pPr>
            <w:r>
              <w:rPr>
                <w:sz w:val="13"/>
                <w:szCs w:val="13"/>
              </w:rPr>
              <w:t>20</w:t>
            </w:r>
          </w:p>
        </w:tc>
        <w:tc>
          <w:tcPr>
            <w:tcW w:w="6370" w:type="dxa"/>
            <w:tcBorders>
              <w:top w:val="single" w:sz="4" w:space="0" w:color="auto"/>
              <w:left w:val="single" w:sz="4" w:space="0" w:color="auto"/>
            </w:tcBorders>
            <w:shd w:val="clear" w:color="auto" w:fill="FFFFFF"/>
          </w:tcPr>
          <w:p w14:paraId="592AC2FD" w14:textId="77777777" w:rsidR="00E61AF4" w:rsidRDefault="009556DC">
            <w:pPr>
              <w:pStyle w:val="Jin0"/>
              <w:shd w:val="clear" w:color="auto" w:fill="auto"/>
              <w:spacing w:after="0" w:line="240" w:lineRule="auto"/>
              <w:rPr>
                <w:sz w:val="13"/>
                <w:szCs w:val="13"/>
              </w:rPr>
            </w:pPr>
            <w:r>
              <w:rPr>
                <w:sz w:val="13"/>
                <w:szCs w:val="13"/>
              </w:rPr>
              <w:t>Humpolec, Spojovací 1622</w:t>
            </w:r>
          </w:p>
        </w:tc>
        <w:tc>
          <w:tcPr>
            <w:tcW w:w="1363" w:type="dxa"/>
            <w:tcBorders>
              <w:top w:val="single" w:sz="4" w:space="0" w:color="auto"/>
              <w:left w:val="single" w:sz="4" w:space="0" w:color="auto"/>
            </w:tcBorders>
            <w:shd w:val="clear" w:color="auto" w:fill="FFFFFF"/>
          </w:tcPr>
          <w:p w14:paraId="5887482A" w14:textId="77777777" w:rsidR="00E61AF4" w:rsidRDefault="009556DC">
            <w:pPr>
              <w:pStyle w:val="Jin0"/>
              <w:shd w:val="clear" w:color="auto" w:fill="auto"/>
              <w:spacing w:after="0" w:line="240" w:lineRule="auto"/>
              <w:jc w:val="both"/>
              <w:rPr>
                <w:sz w:val="13"/>
                <w:szCs w:val="13"/>
              </w:rPr>
            </w:pPr>
            <w:r>
              <w:rPr>
                <w:sz w:val="13"/>
                <w:szCs w:val="13"/>
              </w:rPr>
              <w:t>27ZG900Z1005654V</w:t>
            </w:r>
          </w:p>
        </w:tc>
        <w:tc>
          <w:tcPr>
            <w:tcW w:w="6370" w:type="dxa"/>
            <w:tcBorders>
              <w:top w:val="single" w:sz="4" w:space="0" w:color="auto"/>
              <w:left w:val="single" w:sz="4" w:space="0" w:color="auto"/>
            </w:tcBorders>
            <w:shd w:val="clear" w:color="auto" w:fill="FFFFFF"/>
          </w:tcPr>
          <w:p w14:paraId="58E84E72" w14:textId="77777777" w:rsidR="00E61AF4" w:rsidRDefault="009556DC">
            <w:pPr>
              <w:pStyle w:val="Jin0"/>
              <w:shd w:val="clear" w:color="auto" w:fill="auto"/>
              <w:spacing w:after="0" w:line="240" w:lineRule="auto"/>
              <w:rPr>
                <w:sz w:val="13"/>
                <w:szCs w:val="13"/>
              </w:rPr>
            </w:pPr>
            <w:r>
              <w:rPr>
                <w:sz w:val="13"/>
                <w:szCs w:val="13"/>
              </w:rPr>
              <w:t xml:space="preserve">Kosovská 1122/16, 586 01 </w:t>
            </w:r>
            <w:r>
              <w:rPr>
                <w:sz w:val="13"/>
                <w:szCs w:val="13"/>
              </w:rPr>
              <w:t>Jihlava</w:t>
            </w:r>
          </w:p>
        </w:tc>
        <w:tc>
          <w:tcPr>
            <w:tcW w:w="437" w:type="dxa"/>
            <w:tcBorders>
              <w:top w:val="single" w:sz="4" w:space="0" w:color="auto"/>
              <w:left w:val="single" w:sz="4" w:space="0" w:color="auto"/>
            </w:tcBorders>
            <w:shd w:val="clear" w:color="auto" w:fill="FFFFFF"/>
          </w:tcPr>
          <w:p w14:paraId="6316476D"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right w:val="single" w:sz="4" w:space="0" w:color="auto"/>
            </w:tcBorders>
            <w:shd w:val="clear" w:color="auto" w:fill="FFFFFF"/>
          </w:tcPr>
          <w:p w14:paraId="68BEFC88" w14:textId="77777777" w:rsidR="00E61AF4" w:rsidRDefault="009556DC">
            <w:pPr>
              <w:pStyle w:val="Jin0"/>
              <w:shd w:val="clear" w:color="auto" w:fill="auto"/>
              <w:spacing w:after="0" w:line="240" w:lineRule="auto"/>
              <w:jc w:val="right"/>
              <w:rPr>
                <w:sz w:val="13"/>
                <w:szCs w:val="13"/>
              </w:rPr>
            </w:pPr>
            <w:r>
              <w:rPr>
                <w:sz w:val="13"/>
                <w:szCs w:val="13"/>
              </w:rPr>
              <w:t>136,700</w:t>
            </w:r>
          </w:p>
        </w:tc>
      </w:tr>
      <w:tr w:rsidR="00E61AF4" w14:paraId="2F702D7C" w14:textId="77777777">
        <w:tblPrEx>
          <w:tblCellMar>
            <w:top w:w="0" w:type="dxa"/>
            <w:bottom w:w="0" w:type="dxa"/>
          </w:tblCellMar>
        </w:tblPrEx>
        <w:trPr>
          <w:trHeight w:hRule="exact" w:val="230"/>
          <w:jc w:val="center"/>
        </w:trPr>
        <w:tc>
          <w:tcPr>
            <w:tcW w:w="274" w:type="dxa"/>
            <w:tcBorders>
              <w:top w:val="single" w:sz="4" w:space="0" w:color="auto"/>
              <w:left w:val="single" w:sz="4" w:space="0" w:color="auto"/>
              <w:bottom w:val="single" w:sz="4" w:space="0" w:color="auto"/>
            </w:tcBorders>
            <w:shd w:val="clear" w:color="auto" w:fill="FFFFFF"/>
            <w:vAlign w:val="center"/>
          </w:tcPr>
          <w:p w14:paraId="2BEF73C0" w14:textId="77777777" w:rsidR="00E61AF4" w:rsidRDefault="009556DC">
            <w:pPr>
              <w:pStyle w:val="Jin0"/>
              <w:shd w:val="clear" w:color="auto" w:fill="auto"/>
              <w:spacing w:after="0" w:line="240" w:lineRule="auto"/>
              <w:jc w:val="both"/>
              <w:rPr>
                <w:sz w:val="13"/>
                <w:szCs w:val="13"/>
              </w:rPr>
            </w:pPr>
            <w:r>
              <w:rPr>
                <w:sz w:val="13"/>
                <w:szCs w:val="13"/>
              </w:rPr>
              <w:t>21</w:t>
            </w:r>
          </w:p>
        </w:tc>
        <w:tc>
          <w:tcPr>
            <w:tcW w:w="6370" w:type="dxa"/>
            <w:tcBorders>
              <w:top w:val="single" w:sz="4" w:space="0" w:color="auto"/>
              <w:left w:val="single" w:sz="4" w:space="0" w:color="auto"/>
              <w:bottom w:val="single" w:sz="4" w:space="0" w:color="auto"/>
            </w:tcBorders>
            <w:shd w:val="clear" w:color="auto" w:fill="FFFFFF"/>
          </w:tcPr>
          <w:p w14:paraId="1C386578" w14:textId="77777777" w:rsidR="00E61AF4" w:rsidRDefault="009556DC">
            <w:pPr>
              <w:pStyle w:val="Jin0"/>
              <w:shd w:val="clear" w:color="auto" w:fill="auto"/>
              <w:spacing w:after="0" w:line="240" w:lineRule="auto"/>
              <w:rPr>
                <w:sz w:val="13"/>
                <w:szCs w:val="13"/>
              </w:rPr>
            </w:pPr>
            <w:r>
              <w:rPr>
                <w:sz w:val="13"/>
                <w:szCs w:val="13"/>
              </w:rPr>
              <w:t xml:space="preserve">Pelhřimov, </w:t>
            </w:r>
            <w:proofErr w:type="spellStart"/>
            <w:r>
              <w:rPr>
                <w:sz w:val="13"/>
                <w:szCs w:val="13"/>
              </w:rPr>
              <w:t>Myslotínská</w:t>
            </w:r>
            <w:proofErr w:type="spellEnd"/>
            <w:r>
              <w:rPr>
                <w:sz w:val="13"/>
                <w:szCs w:val="13"/>
              </w:rPr>
              <w:t xml:space="preserve"> 1887</w:t>
            </w:r>
          </w:p>
        </w:tc>
        <w:tc>
          <w:tcPr>
            <w:tcW w:w="1363" w:type="dxa"/>
            <w:tcBorders>
              <w:top w:val="single" w:sz="4" w:space="0" w:color="auto"/>
              <w:left w:val="single" w:sz="4" w:space="0" w:color="auto"/>
              <w:bottom w:val="single" w:sz="4" w:space="0" w:color="auto"/>
            </w:tcBorders>
            <w:shd w:val="clear" w:color="auto" w:fill="FFFFFF"/>
          </w:tcPr>
          <w:p w14:paraId="3A997979" w14:textId="77777777" w:rsidR="00E61AF4" w:rsidRDefault="009556DC">
            <w:pPr>
              <w:pStyle w:val="Jin0"/>
              <w:shd w:val="clear" w:color="auto" w:fill="auto"/>
              <w:spacing w:after="0" w:line="240" w:lineRule="auto"/>
              <w:jc w:val="both"/>
              <w:rPr>
                <w:sz w:val="13"/>
                <w:szCs w:val="13"/>
              </w:rPr>
            </w:pPr>
            <w:r>
              <w:rPr>
                <w:sz w:val="13"/>
                <w:szCs w:val="13"/>
              </w:rPr>
              <w:t>27ZG900Z1011021A</w:t>
            </w:r>
          </w:p>
        </w:tc>
        <w:tc>
          <w:tcPr>
            <w:tcW w:w="6370" w:type="dxa"/>
            <w:tcBorders>
              <w:top w:val="single" w:sz="4" w:space="0" w:color="auto"/>
              <w:left w:val="single" w:sz="4" w:space="0" w:color="auto"/>
              <w:bottom w:val="single" w:sz="4" w:space="0" w:color="auto"/>
            </w:tcBorders>
            <w:shd w:val="clear" w:color="auto" w:fill="FFFFFF"/>
          </w:tcPr>
          <w:p w14:paraId="2CD5D85F" w14:textId="77777777" w:rsidR="00E61AF4" w:rsidRDefault="009556DC">
            <w:pPr>
              <w:pStyle w:val="Jin0"/>
              <w:shd w:val="clear" w:color="auto" w:fill="auto"/>
              <w:spacing w:after="0" w:line="240" w:lineRule="auto"/>
              <w:rPr>
                <w:sz w:val="13"/>
                <w:szCs w:val="13"/>
              </w:rPr>
            </w:pPr>
            <w:r>
              <w:rPr>
                <w:sz w:val="13"/>
                <w:szCs w:val="13"/>
              </w:rPr>
              <w:t>Kosovská 1122/16, 586 01 Jihlava</w:t>
            </w:r>
          </w:p>
        </w:tc>
        <w:tc>
          <w:tcPr>
            <w:tcW w:w="437" w:type="dxa"/>
            <w:tcBorders>
              <w:top w:val="single" w:sz="4" w:space="0" w:color="auto"/>
              <w:left w:val="single" w:sz="4" w:space="0" w:color="auto"/>
              <w:bottom w:val="single" w:sz="4" w:space="0" w:color="auto"/>
            </w:tcBorders>
            <w:shd w:val="clear" w:color="auto" w:fill="FFFFFF"/>
          </w:tcPr>
          <w:p w14:paraId="22DA7DF2" w14:textId="77777777" w:rsidR="00E61AF4" w:rsidRDefault="009556DC">
            <w:pPr>
              <w:pStyle w:val="Jin0"/>
              <w:shd w:val="clear" w:color="auto" w:fill="auto"/>
              <w:spacing w:after="0" w:line="240" w:lineRule="auto"/>
              <w:ind w:firstLine="160"/>
              <w:jc w:val="both"/>
            </w:pPr>
            <w:r>
              <w:t>c</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331E60B1" w14:textId="77777777" w:rsidR="00E61AF4" w:rsidRDefault="009556DC">
            <w:pPr>
              <w:pStyle w:val="Jin0"/>
              <w:shd w:val="clear" w:color="auto" w:fill="auto"/>
              <w:spacing w:after="0" w:line="240" w:lineRule="auto"/>
              <w:jc w:val="right"/>
              <w:rPr>
                <w:sz w:val="13"/>
                <w:szCs w:val="13"/>
              </w:rPr>
            </w:pPr>
            <w:r>
              <w:rPr>
                <w:sz w:val="13"/>
                <w:szCs w:val="13"/>
              </w:rPr>
              <w:t>103,550</w:t>
            </w:r>
          </w:p>
        </w:tc>
      </w:tr>
    </w:tbl>
    <w:p w14:paraId="7D8DB6F3" w14:textId="77777777" w:rsidR="009556DC" w:rsidRDefault="009556DC"/>
    <w:sectPr w:rsidR="00000000">
      <w:headerReference w:type="default" r:id="rId9"/>
      <w:footerReference w:type="default" r:id="rId10"/>
      <w:pgSz w:w="16840" w:h="11900" w:orient="landscape"/>
      <w:pgMar w:top="1107" w:right="657" w:bottom="1107" w:left="5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F767" w14:textId="77777777" w:rsidR="009556DC" w:rsidRDefault="009556DC">
      <w:r>
        <w:separator/>
      </w:r>
    </w:p>
  </w:endnote>
  <w:endnote w:type="continuationSeparator" w:id="0">
    <w:p w14:paraId="0EFE3327" w14:textId="77777777" w:rsidR="009556DC" w:rsidRDefault="0095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D033" w14:textId="77777777" w:rsidR="00E61AF4" w:rsidRDefault="009556DC">
    <w:pPr>
      <w:spacing w:line="1" w:lineRule="exact"/>
    </w:pPr>
    <w:r>
      <w:rPr>
        <w:noProof/>
      </w:rPr>
      <mc:AlternateContent>
        <mc:Choice Requires="wps">
          <w:drawing>
            <wp:anchor distT="0" distB="0" distL="0" distR="0" simplePos="0" relativeHeight="251658240" behindDoc="1" locked="0" layoutInCell="1" allowOverlap="1" wp14:anchorId="42589C67" wp14:editId="5C74F4CE">
              <wp:simplePos x="0" y="0"/>
              <wp:positionH relativeFrom="page">
                <wp:posOffset>815340</wp:posOffset>
              </wp:positionH>
              <wp:positionV relativeFrom="page">
                <wp:posOffset>10088880</wp:posOffset>
              </wp:positionV>
              <wp:extent cx="5833745"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5833745" cy="94615"/>
                      </a:xfrm>
                      <a:prstGeom prst="rect">
                        <a:avLst/>
                      </a:prstGeom>
                      <a:noFill/>
                    </wps:spPr>
                    <wps:txbx>
                      <w:txbxContent>
                        <w:p w14:paraId="283A0C35" w14:textId="77777777" w:rsidR="00E61AF4" w:rsidRDefault="009556DC">
                          <w:pPr>
                            <w:pStyle w:val="Zhlavnebozpat20"/>
                            <w:shd w:val="clear" w:color="auto" w:fill="auto"/>
                            <w:tabs>
                              <w:tab w:val="right" w:pos="9187"/>
                            </w:tabs>
                            <w:rPr>
                              <w:sz w:val="15"/>
                              <w:szCs w:val="15"/>
                            </w:rPr>
                          </w:pPr>
                          <w:r>
                            <w:rPr>
                              <w:rFonts w:ascii="Arial" w:eastAsia="Arial" w:hAnsi="Arial" w:cs="Arial"/>
                              <w:i/>
                              <w:iCs/>
                              <w:sz w:val="15"/>
                              <w:szCs w:val="15"/>
                            </w:rPr>
                            <w:t>Dodávka plynu v rámci SSDP charakteru maloodběr</w:t>
                          </w:r>
                          <w:r>
                            <w:rPr>
                              <w:rFonts w:ascii="Arial" w:eastAsia="Arial" w:hAnsi="Arial" w:cs="Arial"/>
                              <w:i/>
                              <w:iCs/>
                              <w:sz w:val="15"/>
                              <w:szCs w:val="15"/>
                            </w:rPr>
                            <w:tab/>
                            <w:t>Strana</w:t>
                          </w:r>
                          <w:r>
                            <w:rPr>
                              <w:rFonts w:ascii="Arial" w:eastAsia="Arial" w:hAnsi="Arial" w:cs="Arial"/>
                              <w:b/>
                              <w:bCs/>
                              <w:sz w:val="13"/>
                              <w:szCs w:val="13"/>
                            </w:rPr>
                            <w:t xml:space="preserve"> </w:t>
                          </w:r>
                          <w:r>
                            <w:fldChar w:fldCharType="begin"/>
                          </w:r>
                          <w:r>
                            <w:instrText xml:space="preserve"> PAGE \* MERGEFORMAT </w:instrText>
                          </w:r>
                          <w:r>
                            <w:fldChar w:fldCharType="separate"/>
                          </w:r>
                          <w:r>
                            <w:rPr>
                              <w:rFonts w:ascii="Arial" w:eastAsia="Arial" w:hAnsi="Arial" w:cs="Arial"/>
                              <w:b/>
                              <w:bCs/>
                              <w:sz w:val="13"/>
                              <w:szCs w:val="13"/>
                            </w:rPr>
                            <w:t>#</w:t>
                          </w:r>
                          <w:r>
                            <w:rPr>
                              <w:rFonts w:ascii="Arial" w:eastAsia="Arial" w:hAnsi="Arial" w:cs="Arial"/>
                              <w:b/>
                              <w:bCs/>
                              <w:sz w:val="13"/>
                              <w:szCs w:val="13"/>
                            </w:rPr>
                            <w:fldChar w:fldCharType="end"/>
                          </w:r>
                          <w:r>
                            <w:rPr>
                              <w:rFonts w:ascii="Arial" w:eastAsia="Arial" w:hAnsi="Arial" w:cs="Arial"/>
                              <w:b/>
                              <w:bCs/>
                              <w:sz w:val="13"/>
                              <w:szCs w:val="13"/>
                            </w:rPr>
                            <w:t xml:space="preserve"> </w:t>
                          </w:r>
                          <w:r>
                            <w:rPr>
                              <w:rFonts w:ascii="Arial" w:eastAsia="Arial" w:hAnsi="Arial" w:cs="Arial"/>
                              <w:i/>
                              <w:iCs/>
                              <w:sz w:val="15"/>
                              <w:szCs w:val="15"/>
                            </w:rPr>
                            <w:t>(celkem 7)</w:t>
                          </w:r>
                        </w:p>
                      </w:txbxContent>
                    </wps:txbx>
                    <wps:bodyPr lIns="0" tIns="0" rIns="0" bIns="0">
                      <a:spAutoFit/>
                    </wps:bodyPr>
                  </wps:wsp>
                </a:graphicData>
              </a:graphic>
            </wp:anchor>
          </w:drawing>
        </mc:Choice>
        <mc:Fallback>
          <w:pict>
            <v:shape id="_x0000_s1033" type="#_x0000_t202" style="position:absolute;margin-left:64.200000000000003pt;margin-top:794.39999999999998pt;width:459.35000000000002pt;height:7.4500000000000002pt;z-index:-18874405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9187" w:val="right"/>
                      </w:tabs>
                      <w:bidi w:val="0"/>
                      <w:spacing w:before="0" w:after="0" w:line="240" w:lineRule="auto"/>
                      <w:ind w:left="0" w:right="0" w:firstLine="0"/>
                      <w:jc w:val="left"/>
                      <w:rPr>
                        <w:sz w:val="15"/>
                        <w:szCs w:val="15"/>
                      </w:rPr>
                    </w:pPr>
                    <w:r>
                      <w:rPr>
                        <w:rFonts w:ascii="Arial" w:eastAsia="Arial" w:hAnsi="Arial" w:cs="Arial"/>
                        <w:i/>
                        <w:iCs/>
                        <w:color w:val="000000"/>
                        <w:spacing w:val="0"/>
                        <w:w w:val="100"/>
                        <w:position w:val="0"/>
                        <w:sz w:val="15"/>
                        <w:szCs w:val="15"/>
                        <w:shd w:val="clear" w:color="auto" w:fill="auto"/>
                        <w:lang w:val="cs-CZ" w:eastAsia="cs-CZ" w:bidi="cs-CZ"/>
                      </w:rPr>
                      <w:t>Dodávka plynu v rámci SSDP charakteru maloodběr</w:t>
                      <w:tab/>
                      <w:t>Strana</w:t>
                    </w:r>
                    <w:r>
                      <w:rPr>
                        <w:rFonts w:ascii="Arial" w:eastAsia="Arial" w:hAnsi="Arial" w:cs="Arial"/>
                        <w:b/>
                        <w:bCs/>
                        <w:color w:val="000000"/>
                        <w:spacing w:val="0"/>
                        <w:w w:val="100"/>
                        <w:position w:val="0"/>
                        <w:sz w:val="13"/>
                        <w:szCs w:val="13"/>
                        <w:shd w:val="clear" w:color="auto" w:fill="auto"/>
                        <w:lang w:val="cs-CZ" w:eastAsia="cs-CZ" w:bidi="cs-CZ"/>
                      </w:rPr>
                      <w:t xml:space="preserve"> </w:t>
                    </w:r>
                    <w:fldSimple w:instr=" PAGE \* MERGEFORMAT ">
                      <w:r>
                        <w:rPr>
                          <w:rFonts w:ascii="Arial" w:eastAsia="Arial" w:hAnsi="Arial" w:cs="Arial"/>
                          <w:b/>
                          <w:bCs/>
                          <w:color w:val="000000"/>
                          <w:spacing w:val="0"/>
                          <w:w w:val="100"/>
                          <w:position w:val="0"/>
                          <w:sz w:val="13"/>
                          <w:szCs w:val="13"/>
                          <w:shd w:val="clear" w:color="auto" w:fill="auto"/>
                          <w:lang w:val="cs-CZ" w:eastAsia="cs-CZ" w:bidi="cs-CZ"/>
                        </w:rPr>
                        <w:t>#</w:t>
                      </w:r>
                    </w:fldSimple>
                    <w:r>
                      <w:rPr>
                        <w:rFonts w:ascii="Arial" w:eastAsia="Arial" w:hAnsi="Arial" w:cs="Arial"/>
                        <w:b/>
                        <w:bCs/>
                        <w:color w:val="000000"/>
                        <w:spacing w:val="0"/>
                        <w:w w:val="100"/>
                        <w:position w:val="0"/>
                        <w:sz w:val="13"/>
                        <w:szCs w:val="13"/>
                        <w:shd w:val="clear" w:color="auto" w:fill="auto"/>
                        <w:lang w:val="cs-CZ" w:eastAsia="cs-CZ" w:bidi="cs-CZ"/>
                      </w:rPr>
                      <w:t xml:space="preserve"> </w:t>
                    </w:r>
                    <w:r>
                      <w:rPr>
                        <w:rFonts w:ascii="Arial" w:eastAsia="Arial" w:hAnsi="Arial" w:cs="Arial"/>
                        <w:i/>
                        <w:iCs/>
                        <w:color w:val="000000"/>
                        <w:spacing w:val="0"/>
                        <w:w w:val="100"/>
                        <w:position w:val="0"/>
                        <w:sz w:val="15"/>
                        <w:szCs w:val="15"/>
                        <w:shd w:val="clear" w:color="auto" w:fill="auto"/>
                        <w:lang w:val="cs-CZ" w:eastAsia="cs-CZ" w:bidi="cs-CZ"/>
                      </w:rPr>
                      <w:t>(celkem 7)</w:t>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0DE0776E" wp14:editId="77525C59">
              <wp:simplePos x="0" y="0"/>
              <wp:positionH relativeFrom="page">
                <wp:posOffset>809625</wp:posOffset>
              </wp:positionH>
              <wp:positionV relativeFrom="page">
                <wp:posOffset>10029825</wp:posOffset>
              </wp:positionV>
              <wp:extent cx="5845810" cy="0"/>
              <wp:effectExtent l="0" t="0" r="0" b="0"/>
              <wp:wrapNone/>
              <wp:docPr id="9" name="Shape 9"/>
              <wp:cNvGraphicFramePr/>
              <a:graphic xmlns:a="http://schemas.openxmlformats.org/drawingml/2006/main">
                <a:graphicData uri="http://schemas.microsoft.com/office/word/2010/wordprocessingShape">
                  <wps:wsp>
                    <wps:cNvCnPr/>
                    <wps:spPr>
                      <a:xfrm>
                        <a:off x="0" y="0"/>
                        <a:ext cx="5845810" cy="0"/>
                      </a:xfrm>
                      <a:prstGeom prst="straightConnector1">
                        <a:avLst/>
                      </a:prstGeom>
                      <a:ln w="12700">
                        <a:solidFill/>
                      </a:ln>
                    </wps:spPr>
                    <wps:bodyPr/>
                  </wps:wsp>
                </a:graphicData>
              </a:graphic>
            </wp:anchor>
          </w:drawing>
        </mc:Choice>
        <mc:Fallback>
          <w:pict>
            <v:shape o:spt="32" o:oned="true" path="m,l21600,21600e" style="position:absolute;margin-left:63.75pt;margin-top:789.75pt;width:460.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3C40" w14:textId="77777777" w:rsidR="00E61AF4" w:rsidRDefault="009556DC">
    <w:pPr>
      <w:spacing w:line="1" w:lineRule="exact"/>
    </w:pPr>
    <w:r>
      <w:rPr>
        <w:noProof/>
      </w:rPr>
      <mc:AlternateContent>
        <mc:Choice Requires="wps">
          <w:drawing>
            <wp:anchor distT="0" distB="0" distL="0" distR="0" simplePos="0" relativeHeight="251661312" behindDoc="1" locked="0" layoutInCell="1" allowOverlap="1" wp14:anchorId="7E77FC6D" wp14:editId="5C1BD2AA">
              <wp:simplePos x="0" y="0"/>
              <wp:positionH relativeFrom="page">
                <wp:posOffset>354965</wp:posOffset>
              </wp:positionH>
              <wp:positionV relativeFrom="page">
                <wp:posOffset>7054850</wp:posOffset>
              </wp:positionV>
              <wp:extent cx="9909175" cy="79375"/>
              <wp:effectExtent l="0" t="0" r="0" b="0"/>
              <wp:wrapNone/>
              <wp:docPr id="18" name="Shape 18"/>
              <wp:cNvGraphicFramePr/>
              <a:graphic xmlns:a="http://schemas.openxmlformats.org/drawingml/2006/main">
                <a:graphicData uri="http://schemas.microsoft.com/office/word/2010/wordprocessingShape">
                  <wps:wsp>
                    <wps:cNvSpPr txBox="1"/>
                    <wps:spPr>
                      <a:xfrm>
                        <a:off x="0" y="0"/>
                        <a:ext cx="9909175" cy="79375"/>
                      </a:xfrm>
                      <a:prstGeom prst="rect">
                        <a:avLst/>
                      </a:prstGeom>
                      <a:noFill/>
                    </wps:spPr>
                    <wps:txbx>
                      <w:txbxContent>
                        <w:p w14:paraId="12C71DBF" w14:textId="77777777" w:rsidR="00E61AF4" w:rsidRDefault="009556DC">
                          <w:pPr>
                            <w:pStyle w:val="Zhlavnebozpat20"/>
                            <w:shd w:val="clear" w:color="auto" w:fill="auto"/>
                            <w:tabs>
                              <w:tab w:val="right" w:pos="15605"/>
                            </w:tabs>
                            <w:rPr>
                              <w:sz w:val="15"/>
                              <w:szCs w:val="15"/>
                            </w:rPr>
                          </w:pPr>
                          <w:r>
                            <w:rPr>
                              <w:rFonts w:ascii="Arial" w:eastAsia="Arial" w:hAnsi="Arial" w:cs="Arial"/>
                              <w:i/>
                              <w:iCs/>
                              <w:sz w:val="15"/>
                              <w:szCs w:val="15"/>
                            </w:rPr>
                            <w:t>ZL č. PL-20230629-3100-4</w:t>
                          </w:r>
                          <w:r>
                            <w:rPr>
                              <w:rFonts w:ascii="Arial" w:eastAsia="Arial" w:hAnsi="Arial" w:cs="Arial"/>
                              <w:i/>
                              <w:iCs/>
                              <w:sz w:val="15"/>
                              <w:szCs w:val="15"/>
                            </w:rPr>
                            <w:tab/>
                            <w:t>Strana 1</w:t>
                          </w:r>
                        </w:p>
                      </w:txbxContent>
                    </wps:txbx>
                    <wps:bodyPr lIns="0" tIns="0" rIns="0" bIns="0">
                      <a:spAutoFit/>
                    </wps:bodyPr>
                  </wps:wsp>
                </a:graphicData>
              </a:graphic>
            </wp:anchor>
          </w:drawing>
        </mc:Choice>
        <mc:Fallback>
          <w:pict>
            <v:shape id="_x0000_s1044" type="#_x0000_t202" style="position:absolute;margin-left:27.949999999999999pt;margin-top:555.5pt;width:780.25pt;height:6.25pt;z-index:-18874405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15605" w:val="right"/>
                      </w:tabs>
                      <w:bidi w:val="0"/>
                      <w:spacing w:before="0" w:after="0" w:line="240" w:lineRule="auto"/>
                      <w:ind w:left="0" w:right="0" w:firstLine="0"/>
                      <w:jc w:val="left"/>
                      <w:rPr>
                        <w:sz w:val="15"/>
                        <w:szCs w:val="15"/>
                      </w:rPr>
                    </w:pPr>
                    <w:r>
                      <w:rPr>
                        <w:rFonts w:ascii="Arial" w:eastAsia="Arial" w:hAnsi="Arial" w:cs="Arial"/>
                        <w:i/>
                        <w:iCs/>
                        <w:color w:val="000000"/>
                        <w:spacing w:val="0"/>
                        <w:w w:val="100"/>
                        <w:position w:val="0"/>
                        <w:sz w:val="15"/>
                        <w:szCs w:val="15"/>
                        <w:shd w:val="clear" w:color="auto" w:fill="auto"/>
                        <w:lang w:val="cs-CZ" w:eastAsia="cs-CZ" w:bidi="cs-CZ"/>
                      </w:rPr>
                      <w:t>ZL č. PL-20230629-3100-4</w:t>
                      <w:tab/>
                      <w:t>Strana 1</w:t>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326DA158" wp14:editId="32D381CA">
              <wp:simplePos x="0" y="0"/>
              <wp:positionH relativeFrom="page">
                <wp:posOffset>351790</wp:posOffset>
              </wp:positionH>
              <wp:positionV relativeFrom="page">
                <wp:posOffset>7038975</wp:posOffset>
              </wp:positionV>
              <wp:extent cx="9899650" cy="0"/>
              <wp:effectExtent l="0" t="0" r="0" b="0"/>
              <wp:wrapNone/>
              <wp:docPr id="20" name="Shape 20"/>
              <wp:cNvGraphicFramePr/>
              <a:graphic xmlns:a="http://schemas.openxmlformats.org/drawingml/2006/main">
                <a:graphicData uri="http://schemas.microsoft.com/office/word/2010/wordprocessingShape">
                  <wps:wsp>
                    <wps:cNvCnPr/>
                    <wps:spPr>
                      <a:xfrm>
                        <a:off x="0" y="0"/>
                        <a:ext cx="9899650" cy="0"/>
                      </a:xfrm>
                      <a:prstGeom prst="straightConnector1">
                        <a:avLst/>
                      </a:prstGeom>
                      <a:ln w="12700">
                        <a:solidFill/>
                      </a:ln>
                    </wps:spPr>
                    <wps:bodyPr/>
                  </wps:wsp>
                </a:graphicData>
              </a:graphic>
            </wp:anchor>
          </w:drawing>
        </mc:Choice>
        <mc:Fallback>
          <w:pict>
            <v:shape o:spt="32" o:oned="true" path="m,l21600,21600e" style="position:absolute;margin-left:27.699999999999999pt;margin-top:554.25pt;width:779.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AD36" w14:textId="77777777" w:rsidR="00E61AF4" w:rsidRDefault="00E61AF4"/>
  </w:footnote>
  <w:footnote w:type="continuationSeparator" w:id="0">
    <w:p w14:paraId="4D6BA54D" w14:textId="77777777" w:rsidR="00E61AF4" w:rsidRDefault="00E61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6038" w14:textId="77777777" w:rsidR="00E61AF4" w:rsidRDefault="009556DC">
    <w:pPr>
      <w:spacing w:line="1" w:lineRule="exact"/>
    </w:pPr>
    <w:r>
      <w:rPr>
        <w:noProof/>
      </w:rPr>
      <mc:AlternateContent>
        <mc:Choice Requires="wps">
          <w:drawing>
            <wp:anchor distT="0" distB="0" distL="0" distR="0" simplePos="0" relativeHeight="251656192" behindDoc="1" locked="0" layoutInCell="1" allowOverlap="1" wp14:anchorId="7BA80D01" wp14:editId="7907E82E">
              <wp:simplePos x="0" y="0"/>
              <wp:positionH relativeFrom="page">
                <wp:posOffset>946785</wp:posOffset>
              </wp:positionH>
              <wp:positionV relativeFrom="page">
                <wp:posOffset>478790</wp:posOffset>
              </wp:positionV>
              <wp:extent cx="572770" cy="323215"/>
              <wp:effectExtent l="0" t="0" r="0" b="0"/>
              <wp:wrapNone/>
              <wp:docPr id="1" name="Shape 1"/>
              <wp:cNvGraphicFramePr/>
              <a:graphic xmlns:a="http://schemas.openxmlformats.org/drawingml/2006/main">
                <a:graphicData uri="http://schemas.microsoft.com/office/word/2010/wordprocessingShape">
                  <wps:wsp>
                    <wps:cNvSpPr txBox="1"/>
                    <wps:spPr>
                      <a:xfrm>
                        <a:off x="0" y="0"/>
                        <a:ext cx="572770" cy="323215"/>
                      </a:xfrm>
                      <a:prstGeom prst="rect">
                        <a:avLst/>
                      </a:prstGeom>
                      <a:noFill/>
                    </wps:spPr>
                    <wps:txbx>
                      <w:txbxContent>
                        <w:p w14:paraId="279008B7" w14:textId="77777777" w:rsidR="00E61AF4" w:rsidRDefault="009556DC">
                          <w:pPr>
                            <w:rPr>
                              <w:sz w:val="2"/>
                              <w:szCs w:val="2"/>
                            </w:rPr>
                          </w:pPr>
                          <w:r>
                            <w:rPr>
                              <w:noProof/>
                            </w:rPr>
                            <w:drawing>
                              <wp:inline distT="0" distB="0" distL="0" distR="0" wp14:anchorId="6B331E9D" wp14:editId="232A69DF">
                                <wp:extent cx="572770" cy="32321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572770" cy="32321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74.549999999999997pt;margin-top:37.700000000000003pt;width:45.100000000000001pt;height:25.449999999999999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572770" cy="32321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pic:blipFill>
                                <pic:spPr>
                                  <a:xfrm>
                                    <a:ext cx="572770" cy="323215"/>
                                  </a:xfrm>
                                  <a:prstGeom prst="rect"/>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3F6320A0" wp14:editId="58E773F6">
              <wp:simplePos x="0" y="0"/>
              <wp:positionH relativeFrom="page">
                <wp:posOffset>1580515</wp:posOffset>
              </wp:positionH>
              <wp:positionV relativeFrom="page">
                <wp:posOffset>554990</wp:posOffset>
              </wp:positionV>
              <wp:extent cx="1009015" cy="161290"/>
              <wp:effectExtent l="0" t="0" r="0" b="0"/>
              <wp:wrapNone/>
              <wp:docPr id="5" name="Shape 5"/>
              <wp:cNvGraphicFramePr/>
              <a:graphic xmlns:a="http://schemas.openxmlformats.org/drawingml/2006/main">
                <a:graphicData uri="http://schemas.microsoft.com/office/word/2010/wordprocessingShape">
                  <wps:wsp>
                    <wps:cNvSpPr txBox="1"/>
                    <wps:spPr>
                      <a:xfrm>
                        <a:off x="0" y="0"/>
                        <a:ext cx="1009015" cy="161290"/>
                      </a:xfrm>
                      <a:prstGeom prst="rect">
                        <a:avLst/>
                      </a:prstGeom>
                      <a:noFill/>
                    </wps:spPr>
                    <wps:txbx>
                      <w:txbxContent>
                        <w:p w14:paraId="4DB8B884" w14:textId="77777777" w:rsidR="00E61AF4" w:rsidRDefault="009556DC">
                          <w:pPr>
                            <w:pStyle w:val="Zhlavnebozpat20"/>
                            <w:shd w:val="clear" w:color="auto" w:fill="auto"/>
                            <w:rPr>
                              <w:sz w:val="10"/>
                              <w:szCs w:val="10"/>
                            </w:rPr>
                          </w:pPr>
                          <w:r>
                            <w:rPr>
                              <w:rFonts w:ascii="Arial" w:eastAsia="Arial" w:hAnsi="Arial" w:cs="Arial"/>
                              <w:b/>
                              <w:bCs/>
                              <w:color w:val="0F1832"/>
                              <w:sz w:val="10"/>
                              <w:szCs w:val="10"/>
                            </w:rPr>
                            <w:t>ČESKOMORAVSKÁ</w:t>
                          </w:r>
                        </w:p>
                        <w:p w14:paraId="428B8A47" w14:textId="77777777" w:rsidR="00E61AF4" w:rsidRDefault="009556DC">
                          <w:pPr>
                            <w:pStyle w:val="Zhlavnebozpat20"/>
                            <w:shd w:val="clear" w:color="auto" w:fill="auto"/>
                            <w:rPr>
                              <w:sz w:val="10"/>
                              <w:szCs w:val="10"/>
                            </w:rPr>
                          </w:pPr>
                          <w:r>
                            <w:rPr>
                              <w:rFonts w:ascii="Arial" w:eastAsia="Arial" w:hAnsi="Arial" w:cs="Arial"/>
                              <w:b/>
                              <w:bCs/>
                              <w:color w:val="0F1832"/>
                              <w:sz w:val="10"/>
                              <w:szCs w:val="10"/>
                            </w:rPr>
                            <w:t>KOMODITNÍ BURZA KLADNO</w:t>
                          </w:r>
                        </w:p>
                      </w:txbxContent>
                    </wps:txbx>
                    <wps:bodyPr wrap="none" lIns="0" tIns="0" rIns="0" bIns="0">
                      <a:spAutoFit/>
                    </wps:bodyPr>
                  </wps:wsp>
                </a:graphicData>
              </a:graphic>
            </wp:anchor>
          </w:drawing>
        </mc:Choice>
        <mc:Fallback>
          <w:pict>
            <v:shape id="_x0000_s1031" type="#_x0000_t202" style="position:absolute;margin-left:124.45pt;margin-top:43.700000000000003pt;width:79.450000000000003pt;height:12.699999999999999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F1832"/>
                        <w:spacing w:val="0"/>
                        <w:w w:val="100"/>
                        <w:position w:val="0"/>
                        <w:sz w:val="10"/>
                        <w:szCs w:val="10"/>
                        <w:shd w:val="clear" w:color="auto" w:fill="auto"/>
                        <w:lang w:val="cs-CZ" w:eastAsia="cs-CZ" w:bidi="cs-CZ"/>
                      </w:rPr>
                      <w:t>ČESKOMORAVSKÁ</w:t>
                    </w:r>
                  </w:p>
                  <w:p>
                    <w:pPr>
                      <w:pStyle w:val="Style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F1832"/>
                        <w:spacing w:val="0"/>
                        <w:w w:val="100"/>
                        <w:position w:val="0"/>
                        <w:sz w:val="10"/>
                        <w:szCs w:val="10"/>
                        <w:shd w:val="clear" w:color="auto" w:fill="auto"/>
                        <w:lang w:val="cs-CZ" w:eastAsia="cs-CZ" w:bidi="cs-CZ"/>
                      </w:rPr>
                      <w:t>KOMODITNÍ BURZA KLADNO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F56F" w14:textId="77777777" w:rsidR="00E61AF4" w:rsidRDefault="009556DC">
    <w:pPr>
      <w:spacing w:line="1" w:lineRule="exact"/>
    </w:pPr>
    <w:r>
      <w:rPr>
        <w:noProof/>
      </w:rPr>
      <mc:AlternateContent>
        <mc:Choice Requires="wps">
          <w:drawing>
            <wp:anchor distT="0" distB="0" distL="0" distR="0" simplePos="0" relativeHeight="251659264" behindDoc="1" locked="0" layoutInCell="1" allowOverlap="1" wp14:anchorId="2DADB4AD" wp14:editId="7BF90B83">
              <wp:simplePos x="0" y="0"/>
              <wp:positionH relativeFrom="page">
                <wp:posOffset>437515</wp:posOffset>
              </wp:positionH>
              <wp:positionV relativeFrom="page">
                <wp:posOffset>273050</wp:posOffset>
              </wp:positionV>
              <wp:extent cx="628015" cy="365760"/>
              <wp:effectExtent l="0" t="0" r="0" b="0"/>
              <wp:wrapNone/>
              <wp:docPr id="12" name="Shape 12"/>
              <wp:cNvGraphicFramePr/>
              <a:graphic xmlns:a="http://schemas.openxmlformats.org/drawingml/2006/main">
                <a:graphicData uri="http://schemas.microsoft.com/office/word/2010/wordprocessingShape">
                  <wps:wsp>
                    <wps:cNvSpPr txBox="1"/>
                    <wps:spPr>
                      <a:xfrm>
                        <a:off x="0" y="0"/>
                        <a:ext cx="628015" cy="365760"/>
                      </a:xfrm>
                      <a:prstGeom prst="rect">
                        <a:avLst/>
                      </a:prstGeom>
                      <a:noFill/>
                    </wps:spPr>
                    <wps:txbx>
                      <w:txbxContent>
                        <w:p w14:paraId="6B4F5F7A" w14:textId="77777777" w:rsidR="00E61AF4" w:rsidRDefault="009556DC">
                          <w:pPr>
                            <w:rPr>
                              <w:sz w:val="2"/>
                              <w:szCs w:val="2"/>
                            </w:rPr>
                          </w:pPr>
                          <w:r>
                            <w:rPr>
                              <w:noProof/>
                            </w:rPr>
                            <w:drawing>
                              <wp:inline distT="0" distB="0" distL="0" distR="0" wp14:anchorId="2D2C430A" wp14:editId="1614A4DC">
                                <wp:extent cx="628015" cy="36576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pic:blipFill>
                                      <pic:spPr>
                                        <a:xfrm>
                                          <a:off x="0" y="0"/>
                                          <a:ext cx="628015" cy="365760"/>
                                        </a:xfrm>
                                        <a:prstGeom prst="rect">
                                          <a:avLst/>
                                        </a:prstGeom>
                                      </pic:spPr>
                                    </pic:pic>
                                  </a:graphicData>
                                </a:graphic>
                              </wp:inline>
                            </w:drawing>
                          </w:r>
                        </w:p>
                      </w:txbxContent>
                    </wps:txbx>
                    <wps:bodyPr lIns="0" tIns="0" rIns="0" bIns="0"/>
                  </wps:wsp>
                </a:graphicData>
              </a:graphic>
            </wp:anchor>
          </w:drawing>
        </mc:Choice>
        <mc:Fallback>
          <w:pict>
            <v:shape id="_x0000_s1039" type="#_x0000_t202" style="position:absolute;margin-left:34.450000000000003pt;margin-top:21.5pt;width:49.450000000000003pt;height:28.800000000000001pt;z-index:-188744057;mso-wrap-distance-left:0;mso-wrap-distance-right:0;mso-position-horizontal-relative:page;mso-position-vertical-relative:page" wrapcoords="0 0" filled="f" stroked="f">
              <v:textbox inset="0,0,0,0">
                <w:txbxContent>
                  <w:p>
                    <w:pPr>
                      <w:widowControl w:val="0"/>
                      <w:rPr>
                        <w:sz w:val="2"/>
                        <w:szCs w:val="2"/>
                      </w:rPr>
                    </w:pPr>
                    <w:r>
                      <w:drawing>
                        <wp:inline>
                          <wp:extent cx="628015" cy="36576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pic:blipFill>
                                <pic:spPr>
                                  <a:xfrm>
                                    <a:ext cx="628015" cy="365760"/>
                                  </a:xfrm>
                                  <a:prstGeom prst="rect"/>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C3BA969" wp14:editId="37DEEEB2">
              <wp:simplePos x="0" y="0"/>
              <wp:positionH relativeFrom="page">
                <wp:posOffset>1098550</wp:posOffset>
              </wp:positionH>
              <wp:positionV relativeFrom="page">
                <wp:posOffset>376555</wp:posOffset>
              </wp:positionV>
              <wp:extent cx="1014730" cy="158750"/>
              <wp:effectExtent l="0" t="0" r="0" b="0"/>
              <wp:wrapNone/>
              <wp:docPr id="16" name="Shape 16"/>
              <wp:cNvGraphicFramePr/>
              <a:graphic xmlns:a="http://schemas.openxmlformats.org/drawingml/2006/main">
                <a:graphicData uri="http://schemas.microsoft.com/office/word/2010/wordprocessingShape">
                  <wps:wsp>
                    <wps:cNvSpPr txBox="1"/>
                    <wps:spPr>
                      <a:xfrm>
                        <a:off x="0" y="0"/>
                        <a:ext cx="1014730" cy="158750"/>
                      </a:xfrm>
                      <a:prstGeom prst="rect">
                        <a:avLst/>
                      </a:prstGeom>
                      <a:noFill/>
                    </wps:spPr>
                    <wps:txbx>
                      <w:txbxContent>
                        <w:p w14:paraId="51FF4F54" w14:textId="77777777" w:rsidR="00E61AF4" w:rsidRDefault="009556DC">
                          <w:pPr>
                            <w:pStyle w:val="Zhlavnebozpat20"/>
                            <w:shd w:val="clear" w:color="auto" w:fill="auto"/>
                            <w:rPr>
                              <w:sz w:val="10"/>
                              <w:szCs w:val="10"/>
                            </w:rPr>
                          </w:pPr>
                          <w:r>
                            <w:rPr>
                              <w:rFonts w:ascii="Arial" w:eastAsia="Arial" w:hAnsi="Arial" w:cs="Arial"/>
                              <w:b/>
                              <w:bCs/>
                              <w:color w:val="0F1832"/>
                              <w:sz w:val="10"/>
                              <w:szCs w:val="10"/>
                            </w:rPr>
                            <w:t>ČESKOMORAVSKÁ</w:t>
                          </w:r>
                        </w:p>
                        <w:p w14:paraId="4A932261" w14:textId="77777777" w:rsidR="00E61AF4" w:rsidRDefault="009556DC">
                          <w:pPr>
                            <w:pStyle w:val="Zhlavnebozpat20"/>
                            <w:shd w:val="clear" w:color="auto" w:fill="auto"/>
                            <w:rPr>
                              <w:sz w:val="10"/>
                              <w:szCs w:val="10"/>
                            </w:rPr>
                          </w:pPr>
                          <w:r>
                            <w:rPr>
                              <w:rFonts w:ascii="Arial" w:eastAsia="Arial" w:hAnsi="Arial" w:cs="Arial"/>
                              <w:b/>
                              <w:bCs/>
                              <w:color w:val="0F1832"/>
                              <w:sz w:val="10"/>
                              <w:szCs w:val="10"/>
                            </w:rPr>
                            <w:t>KOMODITNÍ BURZA KLADNO</w:t>
                          </w:r>
                        </w:p>
                      </w:txbxContent>
                    </wps:txbx>
                    <wps:bodyPr wrap="none" lIns="0" tIns="0" rIns="0" bIns="0">
                      <a:spAutoFit/>
                    </wps:bodyPr>
                  </wps:wsp>
                </a:graphicData>
              </a:graphic>
            </wp:anchor>
          </w:drawing>
        </mc:Choice>
        <mc:Fallback>
          <w:pict>
            <v:shape id="_x0000_s1042" type="#_x0000_t202" style="position:absolute;margin-left:86.5pt;margin-top:29.649999999999999pt;width:79.900000000000006pt;height:12.5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F1832"/>
                        <w:spacing w:val="0"/>
                        <w:w w:val="100"/>
                        <w:position w:val="0"/>
                        <w:sz w:val="10"/>
                        <w:szCs w:val="10"/>
                        <w:shd w:val="clear" w:color="auto" w:fill="auto"/>
                        <w:lang w:val="cs-CZ" w:eastAsia="cs-CZ" w:bidi="cs-CZ"/>
                      </w:rPr>
                      <w:t>ČESKOMORAVSKÁ</w:t>
                    </w:r>
                  </w:p>
                  <w:p>
                    <w:pPr>
                      <w:pStyle w:val="Style4"/>
                      <w:keepNext w:val="0"/>
                      <w:keepLines w:val="0"/>
                      <w:widowControl w:val="0"/>
                      <w:shd w:val="clear" w:color="auto" w:fill="auto"/>
                      <w:bidi w:val="0"/>
                      <w:spacing w:before="0" w:after="0" w:line="240" w:lineRule="auto"/>
                      <w:ind w:left="0" w:right="0" w:firstLine="0"/>
                      <w:jc w:val="left"/>
                      <w:rPr>
                        <w:sz w:val="10"/>
                        <w:szCs w:val="10"/>
                      </w:rPr>
                    </w:pPr>
                    <w:r>
                      <w:rPr>
                        <w:rFonts w:ascii="Arial" w:eastAsia="Arial" w:hAnsi="Arial" w:cs="Arial"/>
                        <w:b/>
                        <w:bCs/>
                        <w:color w:val="0F1832"/>
                        <w:spacing w:val="0"/>
                        <w:w w:val="100"/>
                        <w:position w:val="0"/>
                        <w:sz w:val="10"/>
                        <w:szCs w:val="10"/>
                        <w:shd w:val="clear" w:color="auto" w:fill="auto"/>
                        <w:lang w:val="cs-CZ" w:eastAsia="cs-CZ" w:bidi="cs-CZ"/>
                      </w:rPr>
                      <w:t>KOMODITNÍ BURZA KLADNO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2C33"/>
    <w:multiLevelType w:val="multilevel"/>
    <w:tmpl w:val="D8AE1A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756FA"/>
    <w:multiLevelType w:val="multilevel"/>
    <w:tmpl w:val="0CE289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3B2300"/>
    <w:multiLevelType w:val="multilevel"/>
    <w:tmpl w:val="FCD2AB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8F3287"/>
    <w:multiLevelType w:val="multilevel"/>
    <w:tmpl w:val="5CFCBF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D24549"/>
    <w:multiLevelType w:val="multilevel"/>
    <w:tmpl w:val="AA1805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930C02"/>
    <w:multiLevelType w:val="multilevel"/>
    <w:tmpl w:val="D39829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1779EF"/>
    <w:multiLevelType w:val="multilevel"/>
    <w:tmpl w:val="4052E7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136316"/>
    <w:multiLevelType w:val="multilevel"/>
    <w:tmpl w:val="166802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CC1EE8"/>
    <w:multiLevelType w:val="multilevel"/>
    <w:tmpl w:val="CD48D78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AA6572"/>
    <w:multiLevelType w:val="multilevel"/>
    <w:tmpl w:val="45229D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0B5CB3"/>
    <w:multiLevelType w:val="multilevel"/>
    <w:tmpl w:val="0C30CA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70110F"/>
    <w:multiLevelType w:val="multilevel"/>
    <w:tmpl w:val="3A82FF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2D1AA3"/>
    <w:multiLevelType w:val="multilevel"/>
    <w:tmpl w:val="41D04A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2A77B0"/>
    <w:multiLevelType w:val="multilevel"/>
    <w:tmpl w:val="BD364C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3772B2"/>
    <w:multiLevelType w:val="multilevel"/>
    <w:tmpl w:val="F29856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615387">
    <w:abstractNumId w:val="5"/>
  </w:num>
  <w:num w:numId="2" w16cid:durableId="1909073779">
    <w:abstractNumId w:val="2"/>
  </w:num>
  <w:num w:numId="3" w16cid:durableId="1721514740">
    <w:abstractNumId w:val="10"/>
  </w:num>
  <w:num w:numId="4" w16cid:durableId="846947090">
    <w:abstractNumId w:val="1"/>
  </w:num>
  <w:num w:numId="5" w16cid:durableId="995454338">
    <w:abstractNumId w:val="8"/>
  </w:num>
  <w:num w:numId="6" w16cid:durableId="1465387921">
    <w:abstractNumId w:val="9"/>
  </w:num>
  <w:num w:numId="7" w16cid:durableId="326638374">
    <w:abstractNumId w:val="7"/>
  </w:num>
  <w:num w:numId="8" w16cid:durableId="776484212">
    <w:abstractNumId w:val="0"/>
  </w:num>
  <w:num w:numId="9" w16cid:durableId="938567172">
    <w:abstractNumId w:val="3"/>
  </w:num>
  <w:num w:numId="10" w16cid:durableId="1953390862">
    <w:abstractNumId w:val="6"/>
  </w:num>
  <w:num w:numId="11" w16cid:durableId="1331905897">
    <w:abstractNumId w:val="12"/>
  </w:num>
  <w:num w:numId="12" w16cid:durableId="193033816">
    <w:abstractNumId w:val="14"/>
  </w:num>
  <w:num w:numId="13" w16cid:durableId="1974141475">
    <w:abstractNumId w:val="4"/>
  </w:num>
  <w:num w:numId="14" w16cid:durableId="994529297">
    <w:abstractNumId w:val="13"/>
  </w:num>
  <w:num w:numId="15" w16cid:durableId="4678192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AF4"/>
    <w:rsid w:val="009556DC"/>
    <w:rsid w:val="00E61A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53D3"/>
  <w15:docId w15:val="{45C49B90-54E1-44D6-8489-F3A5057D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sz w:val="13"/>
      <w:szCs w:val="1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0"/>
      <w:szCs w:val="30"/>
      <w:u w:val="singl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single"/>
    </w:rPr>
  </w:style>
  <w:style w:type="paragraph" w:customStyle="1" w:styleId="Zkladntext20">
    <w:name w:val="Základní text (2)"/>
    <w:basedOn w:val="Normln"/>
    <w:link w:val="Zkladntext2"/>
    <w:pPr>
      <w:shd w:val="clear" w:color="auto" w:fill="FFFFFF"/>
      <w:spacing w:line="502" w:lineRule="auto"/>
      <w:ind w:left="6660" w:right="360" w:firstLine="10"/>
    </w:pPr>
    <w:rPr>
      <w:rFonts w:ascii="Arial" w:eastAsia="Arial" w:hAnsi="Arial" w:cs="Arial"/>
      <w:b/>
      <w:bCs/>
      <w:sz w:val="13"/>
      <w:szCs w:val="13"/>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60"/>
      <w:jc w:val="center"/>
      <w:outlineLvl w:val="0"/>
    </w:pPr>
    <w:rPr>
      <w:rFonts w:ascii="Arial" w:eastAsia="Arial" w:hAnsi="Arial" w:cs="Arial"/>
      <w:sz w:val="30"/>
      <w:szCs w:val="30"/>
      <w:u w:val="single"/>
    </w:rPr>
  </w:style>
  <w:style w:type="paragraph" w:customStyle="1" w:styleId="Zkladntext1">
    <w:name w:val="Základní text1"/>
    <w:basedOn w:val="Normln"/>
    <w:link w:val="Zkladntext"/>
    <w:pPr>
      <w:shd w:val="clear" w:color="auto" w:fill="FFFFFF"/>
      <w:spacing w:after="220" w:line="252" w:lineRule="auto"/>
    </w:pPr>
    <w:rPr>
      <w:rFonts w:ascii="Arial" w:eastAsia="Arial" w:hAnsi="Arial" w:cs="Arial"/>
      <w:sz w:val="19"/>
      <w:szCs w:val="19"/>
    </w:rPr>
  </w:style>
  <w:style w:type="paragraph" w:customStyle="1" w:styleId="Titulektabulky0">
    <w:name w:val="Titulek tabulky"/>
    <w:basedOn w:val="Normln"/>
    <w:link w:val="Titulektabulky"/>
    <w:pPr>
      <w:shd w:val="clear" w:color="auto" w:fill="FFFFFF"/>
      <w:spacing w:line="252" w:lineRule="auto"/>
    </w:pPr>
    <w:rPr>
      <w:rFonts w:ascii="Arial" w:eastAsia="Arial" w:hAnsi="Arial" w:cs="Arial"/>
      <w:sz w:val="19"/>
      <w:szCs w:val="19"/>
    </w:rPr>
  </w:style>
  <w:style w:type="paragraph" w:customStyle="1" w:styleId="Jin0">
    <w:name w:val="Jiné"/>
    <w:basedOn w:val="Normln"/>
    <w:link w:val="Jin"/>
    <w:pPr>
      <w:shd w:val="clear" w:color="auto" w:fill="FFFFFF"/>
      <w:spacing w:after="220" w:line="252" w:lineRule="auto"/>
    </w:pPr>
    <w:rPr>
      <w:rFonts w:ascii="Arial" w:eastAsia="Arial" w:hAnsi="Arial" w:cs="Arial"/>
      <w:sz w:val="19"/>
      <w:szCs w:val="19"/>
    </w:rPr>
  </w:style>
  <w:style w:type="paragraph" w:customStyle="1" w:styleId="Nadpis20">
    <w:name w:val="Nadpis #2"/>
    <w:basedOn w:val="Normln"/>
    <w:link w:val="Nadpis2"/>
    <w:pPr>
      <w:shd w:val="clear" w:color="auto" w:fill="FFFFFF"/>
      <w:spacing w:after="220" w:line="252" w:lineRule="auto"/>
      <w:outlineLvl w:val="1"/>
    </w:pPr>
    <w:rPr>
      <w:rFonts w:ascii="Arial" w:eastAsia="Arial" w:hAnsi="Arial" w:cs="Arial"/>
      <w:b/>
      <w:bCs/>
      <w:sz w:val="19"/>
      <w:szCs w:val="1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3257</Words>
  <Characters>19218</Characters>
  <Application>Microsoft Office Word</Application>
  <DocSecurity>0</DocSecurity>
  <Lines>160</Lines>
  <Paragraphs>44</Paragraphs>
  <ScaleCrop>false</ScaleCrop>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2023-11-14T08:36:00Z</dcterms:created>
  <dcterms:modified xsi:type="dcterms:W3CDTF">2023-11-14T08:37:00Z</dcterms:modified>
</cp:coreProperties>
</file>