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7C5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411105/2023/105/</w:t>
      </w:r>
      <w:proofErr w:type="spellStart"/>
      <w:r>
        <w:rPr>
          <w:rFonts w:cs="Arial"/>
          <w:sz w:val="22"/>
          <w:szCs w:val="22"/>
        </w:rPr>
        <w:t>Vo</w:t>
      </w:r>
      <w:proofErr w:type="spellEnd"/>
    </w:p>
    <w:p w14:paraId="32282570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8c183ee7</w:t>
      </w:r>
    </w:p>
    <w:p w14:paraId="493116C0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B428E2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4354562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157A8DF5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19A4BDC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01169F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171AE71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7E1F7C2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8EB8DA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1001942306</w:t>
      </w:r>
    </w:p>
    <w:p w14:paraId="1FA55E30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61B253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6F7748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2140103A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1BB3958" w14:textId="26B817DF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Žďár</w:t>
      </w:r>
      <w:r w:rsidRPr="00BB196A">
        <w:rPr>
          <w:rFonts w:ascii="Arial" w:hAnsi="Arial" w:cs="Arial"/>
          <w:color w:val="000000"/>
          <w:sz w:val="22"/>
          <w:szCs w:val="22"/>
        </w:rPr>
        <w:t>, sídlo Žďár</w:t>
      </w:r>
      <w:r w:rsidR="009E649A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Protivín, PSČ 39811, IČO 005 12 028, </w:t>
      </w:r>
    </w:p>
    <w:p w14:paraId="7693A840" w14:textId="10458D29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>. starostka Manová Martina Mgr.</w:t>
      </w:r>
    </w:p>
    <w:p w14:paraId="19AAA3C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25AAF63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C07407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2D418E85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705440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00EC35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68A67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1001942306</w:t>
      </w:r>
    </w:p>
    <w:p w14:paraId="66C5FB9D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52A99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24049B1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Jihočeský kraj, Katastrální pracoviště Písek na LV 10 002:</w:t>
      </w:r>
    </w:p>
    <w:p w14:paraId="7757C43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D108086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D1F8B23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E29C4A9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36A667A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Žďár</w:t>
      </w:r>
      <w:r w:rsidRPr="00BB196A">
        <w:rPr>
          <w:rFonts w:ascii="Arial" w:hAnsi="Arial" w:cs="Arial"/>
          <w:sz w:val="18"/>
          <w:szCs w:val="18"/>
        </w:rPr>
        <w:tab/>
        <w:t>Nová Ves u Protivína</w:t>
      </w:r>
      <w:r w:rsidRPr="00BB196A">
        <w:rPr>
          <w:rFonts w:ascii="Arial" w:hAnsi="Arial" w:cs="Arial"/>
          <w:sz w:val="18"/>
          <w:szCs w:val="18"/>
        </w:rPr>
        <w:tab/>
        <w:t>71/4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03EA436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D29255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3E89EFF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4CC7B88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24FE550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C0FD1E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5F4F3F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27795841" w14:textId="5B9C2102" w:rsidR="00746C63" w:rsidRDefault="00746C63" w:rsidP="0042759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0FAB3913" w14:textId="77777777" w:rsidR="0042759A" w:rsidRPr="0042759A" w:rsidRDefault="0042759A" w:rsidP="0042759A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54C513C" w14:textId="004ADC7E" w:rsidR="00F95815" w:rsidRPr="0080603D" w:rsidRDefault="00746C63" w:rsidP="0042759A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5BD526F7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BCEB4F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A61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33A4FB2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DA7D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C6A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6642540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EF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Nová Ves u Protivína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9E3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71/4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FF0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89 030,00 Kč</w:t>
            </w:r>
          </w:p>
        </w:tc>
      </w:tr>
    </w:tbl>
    <w:p w14:paraId="199D9342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698C77A3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FA8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008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89 030,00 Kč</w:t>
            </w:r>
          </w:p>
        </w:tc>
      </w:tr>
    </w:tbl>
    <w:p w14:paraId="4CD68965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5D61D81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0DAB8928" w14:textId="77777777" w:rsidR="00001FB1" w:rsidRDefault="00001FB1">
      <w:pPr>
        <w:widowControl/>
        <w:tabs>
          <w:tab w:val="left" w:pos="426"/>
        </w:tabs>
      </w:pPr>
    </w:p>
    <w:p w14:paraId="08B969C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4C1A904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321E40C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4DA8AAC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5AAB5D04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7B1C576A" w14:textId="510447C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uzavření smlouvy o zřízení věcného břemene a dal souhlas s tím, aby </w:t>
      </w:r>
      <w:proofErr w:type="spellStart"/>
      <w:proofErr w:type="gramStart"/>
      <w:r w:rsidRPr="00BB196A">
        <w:rPr>
          <w:rFonts w:ascii="Arial" w:hAnsi="Arial" w:cs="Arial"/>
          <w:sz w:val="22"/>
          <w:szCs w:val="22"/>
        </w:rPr>
        <w:t>EG.D</w:t>
      </w:r>
      <w:proofErr w:type="gramEnd"/>
      <w:r w:rsidRPr="00BB196A">
        <w:rPr>
          <w:rFonts w:ascii="Arial" w:hAnsi="Arial" w:cs="Arial"/>
          <w:sz w:val="22"/>
          <w:szCs w:val="22"/>
        </w:rPr>
        <w:t>,a.s</w:t>
      </w:r>
      <w:proofErr w:type="spellEnd"/>
      <w:r w:rsidRPr="00BB196A">
        <w:rPr>
          <w:rFonts w:ascii="Arial" w:hAnsi="Arial" w:cs="Arial"/>
          <w:sz w:val="22"/>
          <w:szCs w:val="22"/>
        </w:rPr>
        <w:t>. umístil na prodávaném pozemku, resp. jeho části stavbu  "Nová Ves u Protivína úprava NN, p. Kužel" - zemní kabelové vedení NN a uzemnění. Kupující se zavazuje, že v souladu se smlouvou o smlouvě budoucí o zřízení věcného břemene, uzavře smlouvu o zřízení věcného břemene.</w:t>
      </w:r>
    </w:p>
    <w:p w14:paraId="3A09FF2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4F44082" w14:textId="50E98D54" w:rsidR="00746C63" w:rsidRPr="00BB196A" w:rsidRDefault="00746C63" w:rsidP="0042759A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795B7691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4E0937C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7686CAC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C1ECA4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442DB7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3E922C5" w14:textId="074D220F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21E79332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34F7F34B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73D5339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76AE766A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E01B001" w14:textId="77777777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 dle schváleného územního plánu obce Žďár ze dne 30.9.2021</w:t>
      </w:r>
    </w:p>
    <w:p w14:paraId="41C9D4A1" w14:textId="77777777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pozemků odsouhlasilo zastupitelstvo obce Žďár dne 25.11.2022 usnesením č. 23</w:t>
      </w:r>
      <w:r w:rsidR="007D1A23">
        <w:rPr>
          <w:rFonts w:ascii="Arial" w:hAnsi="Arial" w:cs="Arial"/>
          <w:sz w:val="22"/>
          <w:szCs w:val="22"/>
        </w:rPr>
        <w:t>.</w:t>
      </w:r>
    </w:p>
    <w:p w14:paraId="76EEFC27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494C51F0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FF04213" w14:textId="77777777"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F239D3C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6453C17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7C31D4A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B9315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A6A282" w14:textId="392E2910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Českých Budějovicích dne</w:t>
      </w:r>
      <w:r w:rsidR="006926DF">
        <w:rPr>
          <w:rFonts w:ascii="Arial" w:hAnsi="Arial" w:cs="Arial"/>
          <w:sz w:val="22"/>
          <w:szCs w:val="22"/>
        </w:rPr>
        <w:t xml:space="preserve"> 13.11.2023</w:t>
      </w:r>
      <w:r w:rsidRPr="00BB196A">
        <w:rPr>
          <w:rFonts w:ascii="Arial" w:hAnsi="Arial" w:cs="Arial"/>
          <w:sz w:val="22"/>
          <w:szCs w:val="22"/>
        </w:rPr>
        <w:tab/>
        <w:t xml:space="preserve">V ............................... dne </w:t>
      </w:r>
      <w:r w:rsidR="006926DF">
        <w:rPr>
          <w:rFonts w:ascii="Arial" w:hAnsi="Arial" w:cs="Arial"/>
          <w:sz w:val="22"/>
          <w:szCs w:val="22"/>
        </w:rPr>
        <w:t>13.11.2023</w:t>
      </w:r>
    </w:p>
    <w:p w14:paraId="30B52F2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DE50B8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CB781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CBBF2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7069F2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A9D46A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Žďár</w:t>
      </w:r>
    </w:p>
    <w:p w14:paraId="1EAC311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>. starostka Manová Martina Mgr.</w:t>
      </w:r>
    </w:p>
    <w:p w14:paraId="4EE2F5B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Jihočeský kraj</w:t>
      </w:r>
      <w:r w:rsidRPr="00BB196A">
        <w:rPr>
          <w:rFonts w:ascii="Arial" w:hAnsi="Arial" w:cs="Arial"/>
          <w:sz w:val="22"/>
          <w:szCs w:val="22"/>
        </w:rPr>
        <w:tab/>
        <w:t>kupující</w:t>
      </w:r>
    </w:p>
    <w:p w14:paraId="73F99BE9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Eva Schmidtmajerová, CSc.</w:t>
      </w:r>
      <w:r w:rsidRPr="00BB196A">
        <w:rPr>
          <w:rFonts w:ascii="Arial" w:hAnsi="Arial" w:cs="Arial"/>
          <w:sz w:val="22"/>
          <w:szCs w:val="22"/>
        </w:rPr>
        <w:tab/>
      </w:r>
    </w:p>
    <w:p w14:paraId="49DF3474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12EC14E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5EA450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0765C02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1158906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6588957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DBE50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65ED363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584600E5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Mgr. Miroslav Šimek</w:t>
      </w:r>
    </w:p>
    <w:p w14:paraId="109D496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7D14CF33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25DC3E0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02303508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0E6F206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Hana Vojtová</w:t>
      </w:r>
    </w:p>
    <w:p w14:paraId="583B584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7B771F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539CE5F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452EA2F9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292F026D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B7CCC85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BEB147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7A3DC0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43C5C8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AB636B4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B5D6FC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A97189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1962746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086D95E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F1C80DA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3882568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90FC42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CE4B694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D3D1E4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CBEC9A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E4AF94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7D4A5BC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8AEED1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59C9FCB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4F1F51E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00D98AED" w14:textId="36B93E3B" w:rsidR="00746C63" w:rsidRPr="00BB196A" w:rsidRDefault="00412D61" w:rsidP="0042759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BB196A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FFC3" w14:textId="77777777" w:rsidR="00917459" w:rsidRDefault="00917459">
      <w:r>
        <w:separator/>
      </w:r>
    </w:p>
  </w:endnote>
  <w:endnote w:type="continuationSeparator" w:id="0">
    <w:p w14:paraId="6FD3FBF3" w14:textId="77777777" w:rsidR="00917459" w:rsidRDefault="0091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FA65" w14:textId="77777777" w:rsidR="0042759A" w:rsidRDefault="0042759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160F26E" w14:textId="77777777" w:rsidR="0042759A" w:rsidRDefault="004275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1EE5" w14:textId="77777777" w:rsidR="00917459" w:rsidRDefault="00917459">
      <w:r>
        <w:separator/>
      </w:r>
    </w:p>
  </w:footnote>
  <w:footnote w:type="continuationSeparator" w:id="0">
    <w:p w14:paraId="1DA5E803" w14:textId="77777777" w:rsidR="00917459" w:rsidRDefault="0091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90AF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01FB1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2759A"/>
    <w:rsid w:val="0043604A"/>
    <w:rsid w:val="004C0CB6"/>
    <w:rsid w:val="004D056F"/>
    <w:rsid w:val="004F2747"/>
    <w:rsid w:val="00521DC2"/>
    <w:rsid w:val="0056566C"/>
    <w:rsid w:val="00572AE4"/>
    <w:rsid w:val="005F01A4"/>
    <w:rsid w:val="005F0FD7"/>
    <w:rsid w:val="00625710"/>
    <w:rsid w:val="006926DF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17459"/>
    <w:rsid w:val="00923457"/>
    <w:rsid w:val="00930B42"/>
    <w:rsid w:val="00935350"/>
    <w:rsid w:val="00944C26"/>
    <w:rsid w:val="0098093E"/>
    <w:rsid w:val="009A641A"/>
    <w:rsid w:val="009E649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643A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1C1AB"/>
  <w14:defaultImageDpi w14:val="0"/>
  <w15:docId w15:val="{A88EF9EF-B0AF-47EA-A625-821D46B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6015</Characters>
  <Application>Microsoft Office Word</Application>
  <DocSecurity>0</DocSecurity>
  <Lines>50</Lines>
  <Paragraphs>13</Paragraphs>
  <ScaleCrop>false</ScaleCrop>
  <Company>Pozemkový Fond ČR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Vojtová Hana Bc.</dc:creator>
  <cp:keywords/>
  <dc:description/>
  <cp:lastModifiedBy>Vojtová Hana Bc.</cp:lastModifiedBy>
  <cp:revision>3</cp:revision>
  <cp:lastPrinted>2003-04-28T06:39:00Z</cp:lastPrinted>
  <dcterms:created xsi:type="dcterms:W3CDTF">2023-10-13T11:09:00Z</dcterms:created>
  <dcterms:modified xsi:type="dcterms:W3CDTF">2023-11-13T12:07:00Z</dcterms:modified>
</cp:coreProperties>
</file>