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E6" w:rsidRDefault="002B6EDE">
      <w:pPr>
        <w:pStyle w:val="Nadpis20"/>
        <w:keepNext/>
        <w:keepLines/>
      </w:pPr>
      <w:bookmarkStart w:id="0" w:name="bookmark4"/>
      <w:r>
        <w:rPr>
          <w:rStyle w:val="Nadpis2"/>
          <w:b/>
          <w:bCs/>
        </w:rPr>
        <w:t>NÁJEMNÍ SMLOUVA</w:t>
      </w:r>
      <w:bookmarkEnd w:id="0"/>
    </w:p>
    <w:p w:rsidR="00DA17E6" w:rsidRDefault="002B6EDE">
      <w:pPr>
        <w:pStyle w:val="Zkladntext1"/>
        <w:spacing w:after="540"/>
        <w:ind w:firstLine="0"/>
        <w:jc w:val="center"/>
      </w:pPr>
      <w:r>
        <w:rPr>
          <w:rStyle w:val="Zkladntext"/>
        </w:rPr>
        <w:t>uzavřená ve smyslu § 2302 a násl. zákona č. 89/2012 Sb., občanského zákoníku, ve znění</w:t>
      </w:r>
      <w:r>
        <w:rPr>
          <w:rStyle w:val="Zkladntext"/>
        </w:rPr>
        <w:br/>
        <w:t>pozdějších předpisů mezi:</w:t>
      </w:r>
    </w:p>
    <w:p w:rsidR="00DA17E6" w:rsidRDefault="002B6EDE">
      <w:pPr>
        <w:pStyle w:val="Nadpis30"/>
        <w:keepNext/>
        <w:keepLines/>
        <w:spacing w:after="0" w:line="264" w:lineRule="auto"/>
        <w:jc w:val="left"/>
      </w:pPr>
      <w:bookmarkStart w:id="1" w:name="bookmark6"/>
      <w:r>
        <w:rPr>
          <w:rStyle w:val="Nadpis3"/>
          <w:b/>
          <w:bCs/>
        </w:rPr>
        <w:t>Kroměřížskými technickými službami s.r.o.</w:t>
      </w:r>
      <w:bookmarkEnd w:id="1"/>
    </w:p>
    <w:p w:rsidR="00DA17E6" w:rsidRDefault="002B6EDE">
      <w:pPr>
        <w:pStyle w:val="Zkladntext1"/>
        <w:spacing w:after="0"/>
        <w:ind w:firstLine="0"/>
      </w:pPr>
      <w:r>
        <w:rPr>
          <w:rStyle w:val="Zkladntext"/>
        </w:rPr>
        <w:t>IČO: 26276437</w:t>
      </w:r>
    </w:p>
    <w:p w:rsidR="00DA17E6" w:rsidRDefault="002B6EDE">
      <w:pPr>
        <w:pStyle w:val="Zkladntext1"/>
        <w:spacing w:after="0"/>
        <w:ind w:firstLine="0"/>
      </w:pPr>
      <w:r>
        <w:rPr>
          <w:rStyle w:val="Zkladntext"/>
        </w:rPr>
        <w:t>sídlem Kaplanova 2959, 767 01 Kroměříž</w:t>
      </w:r>
    </w:p>
    <w:p w:rsidR="00DA17E6" w:rsidRDefault="002B6EDE">
      <w:pPr>
        <w:pStyle w:val="Zkladntext1"/>
        <w:spacing w:after="0"/>
        <w:ind w:firstLine="0"/>
      </w:pPr>
      <w:r>
        <w:rPr>
          <w:rStyle w:val="Zkladntext"/>
        </w:rPr>
        <w:t xml:space="preserve">sp. zn. C 41059 vedená u </w:t>
      </w:r>
      <w:r>
        <w:rPr>
          <w:rStyle w:val="Zkladntext"/>
        </w:rPr>
        <w:t>Krajského soudu v Brně</w:t>
      </w:r>
    </w:p>
    <w:p w:rsidR="00DA17E6" w:rsidRDefault="002B6EDE">
      <w:pPr>
        <w:pStyle w:val="Zkladntext1"/>
        <w:spacing w:after="0"/>
        <w:ind w:firstLine="0"/>
      </w:pPr>
      <w:r>
        <w:rPr>
          <w:rStyle w:val="Zkladntext"/>
        </w:rPr>
        <w:t>zastoupenými Ing. Mariánem Vítkem, BA, ředitelem společnosti</w:t>
      </w:r>
    </w:p>
    <w:p w:rsidR="00DA17E6" w:rsidRDefault="002B6EDE">
      <w:pPr>
        <w:pStyle w:val="Zkladntext1"/>
        <w:spacing w:after="0"/>
        <w:ind w:firstLine="0"/>
      </w:pPr>
      <w:r>
        <w:rPr>
          <w:rStyle w:val="Zkladntext"/>
          <w:b/>
          <w:bCs/>
        </w:rPr>
        <w:t xml:space="preserve">Č. ú.: </w:t>
      </w:r>
    </w:p>
    <w:p w:rsidR="00DA17E6" w:rsidRDefault="002B6EDE">
      <w:pPr>
        <w:pStyle w:val="Zkladntext1"/>
        <w:spacing w:after="340"/>
        <w:ind w:firstLine="0"/>
      </w:pPr>
      <w:r>
        <w:rPr>
          <w:rStyle w:val="Zkladntext"/>
        </w:rPr>
        <w:t>(dále jen „pronajímatel“)</w:t>
      </w:r>
    </w:p>
    <w:p w:rsidR="00DA17E6" w:rsidRDefault="002B6EDE">
      <w:pPr>
        <w:pStyle w:val="Zkladntext1"/>
        <w:spacing w:after="80"/>
        <w:ind w:firstLine="0"/>
      </w:pPr>
      <w:r>
        <w:rPr>
          <w:rStyle w:val="Zkladntext"/>
        </w:rPr>
        <w:t>a</w:t>
      </w:r>
    </w:p>
    <w:p w:rsidR="00DA17E6" w:rsidRDefault="002B6EDE">
      <w:pPr>
        <w:pStyle w:val="Zkladntext1"/>
        <w:spacing w:after="0"/>
        <w:ind w:firstLine="0"/>
      </w:pPr>
      <w:r>
        <w:rPr>
          <w:rStyle w:val="Zkladntext"/>
          <w:b/>
          <w:bCs/>
        </w:rPr>
        <w:t>Pohřební služba KONKORDIA s.r.o.</w:t>
      </w:r>
    </w:p>
    <w:p w:rsidR="00DA17E6" w:rsidRDefault="002B6EDE">
      <w:pPr>
        <w:pStyle w:val="Zkladntext1"/>
        <w:spacing w:after="0"/>
        <w:ind w:firstLine="0"/>
      </w:pPr>
      <w:r>
        <w:rPr>
          <w:rStyle w:val="Zkladntext"/>
        </w:rPr>
        <w:t>IČO: 19344805</w:t>
      </w:r>
    </w:p>
    <w:p w:rsidR="00DA17E6" w:rsidRDefault="002B6EDE">
      <w:pPr>
        <w:pStyle w:val="Zkladntext1"/>
        <w:spacing w:after="0"/>
        <w:ind w:firstLine="0"/>
      </w:pPr>
      <w:r>
        <w:rPr>
          <w:rStyle w:val="Zkladntext"/>
        </w:rPr>
        <w:t>sídlem Josefa Obadala 3424/8, 767 01 Kroměříž</w:t>
      </w:r>
    </w:p>
    <w:p w:rsidR="00DA17E6" w:rsidRDefault="002B6EDE">
      <w:pPr>
        <w:pStyle w:val="Zkladntext1"/>
        <w:spacing w:after="0"/>
        <w:ind w:firstLine="0"/>
      </w:pPr>
      <w:r>
        <w:rPr>
          <w:rStyle w:val="Zkladntext"/>
        </w:rPr>
        <w:t xml:space="preserve">sp. zn. C 134157 vedená </w:t>
      </w:r>
      <w:r>
        <w:rPr>
          <w:rStyle w:val="Zkladntext"/>
        </w:rPr>
        <w:t>u Krajského soudu v Brně</w:t>
      </w:r>
    </w:p>
    <w:p w:rsidR="00DA17E6" w:rsidRDefault="002B6EDE">
      <w:pPr>
        <w:pStyle w:val="Zkladntext1"/>
        <w:spacing w:after="540"/>
        <w:ind w:firstLine="0"/>
      </w:pPr>
      <w:r>
        <w:rPr>
          <w:rStyle w:val="Zkladntext"/>
        </w:rPr>
        <w:t>zastoupená Zdeňkem Melichárkem, jednatelem</w:t>
      </w:r>
    </w:p>
    <w:p w:rsidR="00DA17E6" w:rsidRDefault="002B6EDE">
      <w:pPr>
        <w:pStyle w:val="Zkladntext1"/>
        <w:spacing w:after="260"/>
        <w:ind w:firstLine="0"/>
      </w:pPr>
      <w:r>
        <w:rPr>
          <w:rStyle w:val="Zkladntext"/>
        </w:rPr>
        <w:t>(dále jen „nájemce“)</w:t>
      </w:r>
    </w:p>
    <w:p w:rsidR="00DA17E6" w:rsidRDefault="00DA17E6">
      <w:pPr>
        <w:pStyle w:val="Nadpis30"/>
        <w:keepNext/>
        <w:keepLines/>
        <w:numPr>
          <w:ilvl w:val="0"/>
          <w:numId w:val="1"/>
        </w:numPr>
        <w:spacing w:after="0"/>
      </w:pPr>
      <w:bookmarkStart w:id="2" w:name="bookmark8"/>
      <w:bookmarkEnd w:id="2"/>
    </w:p>
    <w:p w:rsidR="00DA17E6" w:rsidRDefault="002B6EDE">
      <w:pPr>
        <w:pStyle w:val="Nadpis30"/>
        <w:keepNext/>
        <w:keepLines/>
        <w:spacing w:after="80"/>
      </w:pPr>
      <w:r>
        <w:rPr>
          <w:rStyle w:val="Nadpis3"/>
          <w:b/>
          <w:bCs/>
        </w:rPr>
        <w:t>Úvodní ustanovení</w:t>
      </w:r>
    </w:p>
    <w:p w:rsidR="00DA17E6" w:rsidRDefault="002B6EDE">
      <w:pPr>
        <w:pStyle w:val="Zkladntext1"/>
        <w:numPr>
          <w:ilvl w:val="0"/>
          <w:numId w:val="2"/>
        </w:numPr>
        <w:tabs>
          <w:tab w:val="left" w:pos="1086"/>
        </w:tabs>
        <w:spacing w:after="80"/>
        <w:ind w:firstLine="740"/>
        <w:jc w:val="both"/>
      </w:pPr>
      <w:r>
        <w:rPr>
          <w:rStyle w:val="Zkladntext"/>
        </w:rPr>
        <w:t xml:space="preserve">Pronajímatel prohlašuje, že Město Kroměříž je ke dni uzavření této nájemní smlouvy výlučným vlastníkem pozemku st. p. č. 2514, jehož součástí je </w:t>
      </w:r>
      <w:r>
        <w:rPr>
          <w:rStyle w:val="Zkladntext"/>
        </w:rPr>
        <w:t>budova č. p. 3893 na ulici Velehradská v k. ú. a obci Kroměříži, zapsáno u Katastrálního úřadu pro Zlínský kraj, katastrální pracoviště Kroměříž na LV č. 10001.</w:t>
      </w:r>
    </w:p>
    <w:p w:rsidR="00DA17E6" w:rsidRDefault="002B6EDE">
      <w:pPr>
        <w:pStyle w:val="Zkladntext1"/>
        <w:numPr>
          <w:ilvl w:val="0"/>
          <w:numId w:val="2"/>
        </w:numPr>
        <w:tabs>
          <w:tab w:val="left" w:pos="1086"/>
        </w:tabs>
        <w:spacing w:after="80" w:line="266" w:lineRule="auto"/>
        <w:ind w:firstLine="740"/>
        <w:jc w:val="both"/>
      </w:pPr>
      <w:r>
        <w:rPr>
          <w:rStyle w:val="Zkladntext"/>
        </w:rPr>
        <w:t>Pronajímatel prohlašuje, že je právnickou osobou založenou jejím zakladatelem - Městem Kroměříž</w:t>
      </w:r>
      <w:r>
        <w:rPr>
          <w:rStyle w:val="Zkladntext"/>
        </w:rPr>
        <w:t>í na základě rozhodnutí Městského zastupitelstva Kroměříž č. XV. ze dne 6. 9. 2001, která vystupuje v právních vztazích svým jménem a nese odpovědnost z těchto vztahů vyplývajících.</w:t>
      </w:r>
    </w:p>
    <w:p w:rsidR="00DA17E6" w:rsidRDefault="002B6EDE">
      <w:pPr>
        <w:pStyle w:val="Zkladntext1"/>
        <w:numPr>
          <w:ilvl w:val="0"/>
          <w:numId w:val="2"/>
        </w:numPr>
        <w:tabs>
          <w:tab w:val="left" w:pos="1086"/>
        </w:tabs>
        <w:spacing w:after="340"/>
        <w:ind w:firstLine="740"/>
        <w:jc w:val="both"/>
      </w:pPr>
      <w:r>
        <w:rPr>
          <w:rStyle w:val="Zkladntext"/>
        </w:rPr>
        <w:t>Pronajímatel prohlašuje, že dne 3. 12. 2012 uzavřel s Městem Kroměříží sml</w:t>
      </w:r>
      <w:r>
        <w:rPr>
          <w:rStyle w:val="Zkladntext"/>
        </w:rPr>
        <w:t xml:space="preserve">ouvu </w:t>
      </w:r>
      <w:r>
        <w:rPr>
          <w:rStyle w:val="Zkladntext"/>
          <w:vertAlign w:val="superscript"/>
        </w:rPr>
        <w:t>0</w:t>
      </w:r>
      <w:r>
        <w:rPr>
          <w:rStyle w:val="Zkladntext"/>
        </w:rPr>
        <w:t xml:space="preserve"> výpůjčce, na základě které Město Kroměříž přenechalo pronajímateli do výpůjčky mimo jiné výše určený dům s tím, že na základě usnesení Rady Města Kroměříže je pronajímatel oprávněn přenechat vypůjčené nemovitosti nebo jejich části do užívání třetím </w:t>
      </w:r>
      <w:r>
        <w:rPr>
          <w:rStyle w:val="Zkladntext"/>
        </w:rPr>
        <w:t>osobám.</w:t>
      </w:r>
    </w:p>
    <w:p w:rsidR="00DA17E6" w:rsidRDefault="00DA17E6">
      <w:pPr>
        <w:pStyle w:val="Zkladntext1"/>
        <w:numPr>
          <w:ilvl w:val="0"/>
          <w:numId w:val="1"/>
        </w:numPr>
        <w:spacing w:after="0" w:line="240" w:lineRule="auto"/>
        <w:ind w:firstLine="0"/>
        <w:jc w:val="center"/>
      </w:pPr>
    </w:p>
    <w:p w:rsidR="00DA17E6" w:rsidRDefault="002B6EDE">
      <w:pPr>
        <w:pStyle w:val="Nadpis30"/>
        <w:keepNext/>
        <w:keepLines/>
        <w:spacing w:after="80"/>
      </w:pPr>
      <w:bookmarkStart w:id="3" w:name="bookmark11"/>
      <w:r>
        <w:rPr>
          <w:rStyle w:val="Nadpis3"/>
          <w:b/>
          <w:bCs/>
        </w:rPr>
        <w:t>Předmět smlouvy</w:t>
      </w:r>
      <w:bookmarkEnd w:id="3"/>
    </w:p>
    <w:p w:rsidR="00DA17E6" w:rsidRDefault="002B6EDE">
      <w:pPr>
        <w:pStyle w:val="Zkladntext1"/>
        <w:numPr>
          <w:ilvl w:val="0"/>
          <w:numId w:val="3"/>
        </w:numPr>
        <w:tabs>
          <w:tab w:val="left" w:pos="1086"/>
        </w:tabs>
        <w:spacing w:after="160" w:line="266" w:lineRule="auto"/>
        <w:ind w:firstLine="740"/>
        <w:jc w:val="both"/>
      </w:pPr>
      <w:r>
        <w:rPr>
          <w:rStyle w:val="Zkladntext"/>
        </w:rPr>
        <w:t>Pronajímatel touto smlouvou přenechává nájemci na základě usnesení Rady města Kroměříže č. RMK/23/26/799 ze dne 20. 10. 2023 za podmínek sjednaných v této smlouvě do nájmu nebytové prostory - budovu č. p. 3893 - smuteční obřadní sí</w:t>
      </w:r>
      <w:r>
        <w:rPr>
          <w:rStyle w:val="Zkladntext"/>
        </w:rPr>
        <w:t>ň včetně provozní části předně specifikované v půdorysu, který je přílohou č. 1 této nájemní smlouvy a je její nedílnou součástí za účelem provozování pohřební služby. Jedná se o následující prostory:</w:t>
      </w:r>
      <w:r>
        <w:br w:type="page"/>
      </w:r>
    </w:p>
    <w:p w:rsidR="00DA17E6" w:rsidRDefault="002B6EDE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6350" distB="107315" distL="0" distR="0" simplePos="0" relativeHeight="125829378" behindDoc="0" locked="0" layoutInCell="1" allowOverlap="1">
                <wp:simplePos x="0" y="0"/>
                <wp:positionH relativeFrom="page">
                  <wp:posOffset>1514475</wp:posOffset>
                </wp:positionH>
                <wp:positionV relativeFrom="paragraph">
                  <wp:posOffset>6350</wp:posOffset>
                </wp:positionV>
                <wp:extent cx="405130" cy="1739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17E6" w:rsidRDefault="002B6EDE">
                            <w:pPr>
                              <w:pStyle w:val="Nadpis30"/>
                              <w:keepNext/>
                              <w:keepLines/>
                              <w:spacing w:after="0"/>
                              <w:jc w:val="left"/>
                            </w:pPr>
                            <w:bookmarkStart w:id="4" w:name="bookmark0"/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>název</w:t>
                            </w:r>
                            <w:bookmarkEnd w:id="4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9.25pt;margin-top:0.5pt;width:31.900000000000002pt;height:13.700000000000001pt;z-index:-125829375;mso-wrap-distance-left:0;mso-wrap-distance-top:0.5pt;mso-wrap-distance-right:0;mso-wrap-distance-bottom:8.449999999999999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3"/>
                          <w:b/>
                          <w:bCs/>
                        </w:rPr>
                        <w:t>název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1600" distL="0" distR="0" simplePos="0" relativeHeight="125829380" behindDoc="0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0</wp:posOffset>
                </wp:positionV>
                <wp:extent cx="798830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17E6" w:rsidRDefault="002B6EDE">
                            <w:pPr>
                              <w:pStyle w:val="Nadpis30"/>
                              <w:keepNext/>
                              <w:keepLines/>
                              <w:spacing w:after="0"/>
                              <w:jc w:val="left"/>
                            </w:pPr>
                            <w:bookmarkStart w:id="5" w:name="bookmark2"/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>plocha v m</w:t>
                            </w:r>
                            <w:r>
                              <w:rPr>
                                <w:rStyle w:val="Nadpis3"/>
                                <w:b/>
                                <w:bCs/>
                                <w:vertAlign w:val="superscript"/>
                              </w:rPr>
                              <w:t>2</w:t>
                            </w:r>
                            <w:bookmarkEnd w:id="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78.60000000000002pt;margin-top:0;width:62.899999999999999pt;height:14.65pt;z-index:-125829373;mso-wrap-distance-left:0;mso-wrap-distance-right:0;mso-wrap-distance-bottom:8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rStyle w:val="CharStyle3"/>
                          <w:b/>
                          <w:bCs/>
                        </w:rPr>
                        <w:t>plocha v m</w:t>
                      </w:r>
                      <w:r>
                        <w:rPr>
                          <w:rStyle w:val="CharStyle3"/>
                          <w:b/>
                          <w:bCs/>
                          <w:vertAlign w:val="superscript"/>
                        </w:rPr>
                        <w:t>2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17E6" w:rsidRDefault="002B6EDE">
      <w:pPr>
        <w:pStyle w:val="Zkladntext1"/>
        <w:spacing w:after="260" w:line="266" w:lineRule="auto"/>
        <w:ind w:left="1200" w:firstLine="20"/>
      </w:pPr>
      <w:r>
        <w:rPr>
          <w:noProof/>
          <w:lang w:bidi="ar-SA"/>
        </w:rPr>
        <mc:AlternateContent>
          <mc:Choice Requires="wps">
            <w:drawing>
              <wp:anchor distT="0" distB="338455" distL="117475" distR="114300" simplePos="0" relativeHeight="125829382" behindDoc="0" locked="0" layoutInCell="1" allowOverlap="1">
                <wp:simplePos x="0" y="0"/>
                <wp:positionH relativeFrom="page">
                  <wp:posOffset>3529330</wp:posOffset>
                </wp:positionH>
                <wp:positionV relativeFrom="paragraph">
                  <wp:posOffset>12700</wp:posOffset>
                </wp:positionV>
                <wp:extent cx="460375" cy="71310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713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17E6" w:rsidRDefault="002B6EDE">
                            <w:pPr>
                              <w:pStyle w:val="Zkladntext1"/>
                              <w:spacing w:after="0" w:line="259" w:lineRule="auto"/>
                              <w:ind w:firstLine="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44,35</w:t>
                            </w:r>
                          </w:p>
                          <w:p w:rsidR="00DA17E6" w:rsidRDefault="002B6EDE">
                            <w:pPr>
                              <w:pStyle w:val="Zkladntext1"/>
                              <w:spacing w:after="0" w:line="259" w:lineRule="auto"/>
                              <w:ind w:firstLine="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240,86</w:t>
                            </w:r>
                          </w:p>
                          <w:p w:rsidR="00DA17E6" w:rsidRDefault="002B6EDE">
                            <w:pPr>
                              <w:pStyle w:val="Zkladntext1"/>
                              <w:spacing w:after="0" w:line="259" w:lineRule="auto"/>
                              <w:ind w:firstLine="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235,50 157,01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77.90000000000003pt;margin-top:1.pt;width:36.25pt;height:56.149999999999999pt;z-index:-125829371;mso-wrap-distance-left:9.25pt;mso-wrap-distance-right:9.pt;mso-wrap-distance-bottom:26.650000000000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5"/>
                        </w:rPr>
                        <w:t>44,35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5"/>
                        </w:rPr>
                        <w:t>240,86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5"/>
                        </w:rPr>
                        <w:t>235,50 157,01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77570" distB="0" distL="114300" distR="123825" simplePos="0" relativeHeight="125829384" behindDoc="0" locked="0" layoutInCell="1" allowOverlap="1">
                <wp:simplePos x="0" y="0"/>
                <wp:positionH relativeFrom="page">
                  <wp:posOffset>3526155</wp:posOffset>
                </wp:positionH>
                <wp:positionV relativeFrom="paragraph">
                  <wp:posOffset>890270</wp:posOffset>
                </wp:positionV>
                <wp:extent cx="454025" cy="17399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17E6" w:rsidRDefault="002B6EDE">
                            <w:pPr>
                              <w:pStyle w:val="Zkladntext1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677,72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77.65000000000003pt;margin-top:70.100000000000009pt;width:35.75pt;height:13.700000000000001pt;z-index:-125829369;mso-wrap-distance-left:9.pt;mso-wrap-distance-top:69.100000000000009pt;mso-wrap-distance-right:9.7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677,72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vstupní část obřadní síň pomocné provozy garáže</w:t>
      </w:r>
    </w:p>
    <w:p w:rsidR="00DA17E6" w:rsidRDefault="002B6EDE">
      <w:pPr>
        <w:pStyle w:val="Nadpis30"/>
        <w:keepNext/>
        <w:keepLines/>
        <w:spacing w:after="260"/>
        <w:ind w:firstLine="760"/>
        <w:jc w:val="both"/>
      </w:pPr>
      <w:bookmarkStart w:id="6" w:name="bookmark13"/>
      <w:r>
        <w:rPr>
          <w:rStyle w:val="Nadpis3"/>
          <w:b/>
          <w:bCs/>
        </w:rPr>
        <w:t>Celkem</w:t>
      </w:r>
      <w:bookmarkEnd w:id="6"/>
    </w:p>
    <w:p w:rsidR="00DA17E6" w:rsidRDefault="002B6EDE">
      <w:pPr>
        <w:pStyle w:val="Zkladntext1"/>
        <w:numPr>
          <w:ilvl w:val="0"/>
          <w:numId w:val="3"/>
        </w:numPr>
        <w:tabs>
          <w:tab w:val="left" w:pos="1099"/>
        </w:tabs>
        <w:spacing w:after="80"/>
        <w:ind w:firstLine="800"/>
        <w:jc w:val="both"/>
      </w:pPr>
      <w:r>
        <w:rPr>
          <w:rStyle w:val="Zkladntext"/>
        </w:rPr>
        <w:t>Pronajímatel se zavazuje zajistit nájemci plný a nerušený výkon práv nájemce spojených s užíváním předmětných nebytových prostor.</w:t>
      </w:r>
    </w:p>
    <w:p w:rsidR="00DA17E6" w:rsidRDefault="002B6EDE">
      <w:pPr>
        <w:pStyle w:val="Zkladntext1"/>
        <w:numPr>
          <w:ilvl w:val="0"/>
          <w:numId w:val="3"/>
        </w:numPr>
        <w:tabs>
          <w:tab w:val="left" w:pos="1099"/>
        </w:tabs>
        <w:spacing w:after="360"/>
        <w:ind w:firstLine="800"/>
        <w:jc w:val="both"/>
      </w:pPr>
      <w:r>
        <w:rPr>
          <w:rStyle w:val="Zkladntext"/>
        </w:rPr>
        <w:t>Nájemce nebytové prostory určené vodst. 1. tohoto článku sml</w:t>
      </w:r>
      <w:r>
        <w:rPr>
          <w:rStyle w:val="Zkladntext"/>
        </w:rPr>
        <w:t>ouvy do svého užívání přijímá za podmínek v této smlouvě sjednaných a zavazuje se tyto užívat výlučně v souladu s jejich stavebním určením, k účelu a v rozsahu sjednaném v této nájemní smlouvě.</w:t>
      </w:r>
    </w:p>
    <w:p w:rsidR="00DA17E6" w:rsidRDefault="00DA17E6">
      <w:pPr>
        <w:pStyle w:val="Zkladntext1"/>
        <w:numPr>
          <w:ilvl w:val="0"/>
          <w:numId w:val="1"/>
        </w:numPr>
        <w:spacing w:after="0" w:line="240" w:lineRule="auto"/>
        <w:ind w:firstLine="0"/>
        <w:jc w:val="center"/>
      </w:pPr>
    </w:p>
    <w:p w:rsidR="00DA17E6" w:rsidRDefault="002B6EDE">
      <w:pPr>
        <w:pStyle w:val="Nadpis30"/>
        <w:keepNext/>
        <w:keepLines/>
        <w:spacing w:after="80"/>
      </w:pPr>
      <w:bookmarkStart w:id="7" w:name="bookmark15"/>
      <w:r>
        <w:rPr>
          <w:rStyle w:val="Nadpis3"/>
          <w:b/>
          <w:bCs/>
        </w:rPr>
        <w:t>Účel nájmu</w:t>
      </w:r>
      <w:bookmarkEnd w:id="7"/>
    </w:p>
    <w:p w:rsidR="00DA17E6" w:rsidRDefault="002B6EDE">
      <w:pPr>
        <w:pStyle w:val="Zkladntext1"/>
        <w:numPr>
          <w:ilvl w:val="0"/>
          <w:numId w:val="4"/>
        </w:numPr>
        <w:tabs>
          <w:tab w:val="left" w:pos="1099"/>
        </w:tabs>
        <w:spacing w:after="80" w:line="266" w:lineRule="auto"/>
        <w:ind w:firstLine="800"/>
        <w:jc w:val="both"/>
      </w:pPr>
      <w:r>
        <w:rPr>
          <w:rStyle w:val="Zkladntext"/>
        </w:rPr>
        <w:t>Nájemce bude shora uvedené prostory využívat k pod</w:t>
      </w:r>
      <w:r>
        <w:rPr>
          <w:rStyle w:val="Zkladntext"/>
        </w:rPr>
        <w:t>nikání - k poskytování pohřebních služeb včetně krátkodobého poskytování smuteční síně a souvisejícího zázemí pro jiné pořadatele pohřbů.</w:t>
      </w:r>
    </w:p>
    <w:p w:rsidR="00DA17E6" w:rsidRDefault="002B6EDE">
      <w:pPr>
        <w:pStyle w:val="Zkladntext1"/>
        <w:numPr>
          <w:ilvl w:val="0"/>
          <w:numId w:val="4"/>
        </w:numPr>
        <w:tabs>
          <w:tab w:val="left" w:pos="1099"/>
        </w:tabs>
        <w:spacing w:after="620"/>
        <w:ind w:firstLine="800"/>
        <w:jc w:val="both"/>
      </w:pPr>
      <w:r>
        <w:rPr>
          <w:rStyle w:val="Zkladntext"/>
        </w:rPr>
        <w:t xml:space="preserve">Nájemce není oprávněn v souladu s § 2304 OŽ předmětné nebytové prostory využívat kjiné činnosti, než kčinnosti určené </w:t>
      </w:r>
      <w:r>
        <w:rPr>
          <w:rStyle w:val="Zkladntext"/>
        </w:rPr>
        <w:t>vodst. 1 tohoto článku. Změna účelu užívání předmětných nebytových prostor je možná jen na základě předem schváleného oboustranně podepsaného písemného dodatku k této smlouvě.</w:t>
      </w:r>
    </w:p>
    <w:p w:rsidR="00DA17E6" w:rsidRDefault="00DA17E6">
      <w:pPr>
        <w:pStyle w:val="Zkladntext1"/>
        <w:numPr>
          <w:ilvl w:val="0"/>
          <w:numId w:val="1"/>
        </w:numPr>
        <w:spacing w:after="0" w:line="240" w:lineRule="auto"/>
        <w:ind w:firstLine="0"/>
        <w:jc w:val="center"/>
      </w:pPr>
    </w:p>
    <w:p w:rsidR="00DA17E6" w:rsidRDefault="002B6EDE">
      <w:pPr>
        <w:pStyle w:val="Zkladntext1"/>
        <w:spacing w:after="80" w:line="240" w:lineRule="auto"/>
        <w:ind w:firstLine="0"/>
        <w:jc w:val="center"/>
      </w:pPr>
      <w:r>
        <w:rPr>
          <w:rStyle w:val="Zkladntext"/>
          <w:b/>
          <w:bCs/>
        </w:rPr>
        <w:t>Stav nebytových prostor ke dni podpisu smlouvy</w:t>
      </w:r>
    </w:p>
    <w:p w:rsidR="00DA17E6" w:rsidRDefault="002B6EDE">
      <w:pPr>
        <w:pStyle w:val="Zkladntext1"/>
        <w:numPr>
          <w:ilvl w:val="0"/>
          <w:numId w:val="5"/>
        </w:numPr>
        <w:tabs>
          <w:tab w:val="left" w:pos="1099"/>
        </w:tabs>
        <w:spacing w:after="80"/>
        <w:ind w:firstLine="800"/>
        <w:jc w:val="both"/>
      </w:pPr>
      <w:r>
        <w:rPr>
          <w:rStyle w:val="Zkladntext"/>
        </w:rPr>
        <w:t xml:space="preserve">Pronajímatel a nájemce </w:t>
      </w:r>
      <w:r>
        <w:rPr>
          <w:rStyle w:val="Zkladntext"/>
        </w:rPr>
        <w:t>prohlašují, že předmětné nebytové prostory jsou ke dni uzavření této smlouvy bez dalšího ve stavu způsobilém ke smluvenému užívání.</w:t>
      </w:r>
    </w:p>
    <w:p w:rsidR="00DA17E6" w:rsidRDefault="002B6EDE">
      <w:pPr>
        <w:pStyle w:val="Zkladntext1"/>
        <w:numPr>
          <w:ilvl w:val="0"/>
          <w:numId w:val="5"/>
        </w:numPr>
        <w:tabs>
          <w:tab w:val="left" w:pos="1099"/>
        </w:tabs>
        <w:spacing w:after="620" w:line="269" w:lineRule="auto"/>
        <w:ind w:firstLine="800"/>
        <w:jc w:val="both"/>
      </w:pPr>
      <w:r>
        <w:rPr>
          <w:rStyle w:val="Zkladntext"/>
        </w:rPr>
        <w:t>Pronajímatel je povinen nebytové prostory vlastním nákladem udržovat ve stavu způsobilém ke smluvenému užívání.</w:t>
      </w:r>
    </w:p>
    <w:p w:rsidR="00DA17E6" w:rsidRDefault="00DA17E6">
      <w:pPr>
        <w:pStyle w:val="Nadpis30"/>
        <w:keepNext/>
        <w:keepLines/>
        <w:numPr>
          <w:ilvl w:val="0"/>
          <w:numId w:val="1"/>
        </w:numPr>
        <w:spacing w:after="0"/>
      </w:pPr>
      <w:bookmarkStart w:id="8" w:name="bookmark17"/>
      <w:bookmarkEnd w:id="8"/>
    </w:p>
    <w:p w:rsidR="00DA17E6" w:rsidRDefault="002B6EDE">
      <w:pPr>
        <w:pStyle w:val="Nadpis30"/>
        <w:keepNext/>
        <w:keepLines/>
        <w:spacing w:after="80"/>
      </w:pPr>
      <w:r>
        <w:rPr>
          <w:rStyle w:val="Nadpis3"/>
          <w:b/>
          <w:bCs/>
        </w:rPr>
        <w:t>Stav nebyto</w:t>
      </w:r>
      <w:r>
        <w:rPr>
          <w:rStyle w:val="Nadpis3"/>
          <w:b/>
          <w:bCs/>
        </w:rPr>
        <w:t>vých prostor a jejich údržba</w:t>
      </w:r>
    </w:p>
    <w:p w:rsidR="00DA17E6" w:rsidRDefault="002B6EDE">
      <w:pPr>
        <w:pStyle w:val="Zkladntext1"/>
        <w:numPr>
          <w:ilvl w:val="0"/>
          <w:numId w:val="6"/>
        </w:numPr>
        <w:tabs>
          <w:tab w:val="left" w:pos="1099"/>
        </w:tabs>
        <w:spacing w:after="80"/>
        <w:ind w:firstLine="800"/>
        <w:jc w:val="both"/>
      </w:pPr>
      <w:r>
        <w:rPr>
          <w:rStyle w:val="Zkladntext"/>
        </w:rPr>
        <w:t>Pronajímatel a nájemce prohlašují, že předmětné nebytové prostory jsou ke dni uzavření této smlouvy ve stavu plně způsobilém k užívání k účelu dle této smlouvy.</w:t>
      </w:r>
    </w:p>
    <w:p w:rsidR="00DA17E6" w:rsidRDefault="002B6EDE">
      <w:pPr>
        <w:pStyle w:val="Zkladntext1"/>
        <w:numPr>
          <w:ilvl w:val="0"/>
          <w:numId w:val="6"/>
        </w:numPr>
        <w:tabs>
          <w:tab w:val="left" w:pos="1099"/>
        </w:tabs>
        <w:spacing w:after="80" w:line="262" w:lineRule="auto"/>
        <w:ind w:firstLine="720"/>
        <w:jc w:val="both"/>
      </w:pPr>
      <w:r>
        <w:rPr>
          <w:rStyle w:val="Zkladntext"/>
        </w:rPr>
        <w:t xml:space="preserve">Nájemce je povinen provádět na své náklady běžnou údržbu a drobné </w:t>
      </w:r>
      <w:r>
        <w:rPr>
          <w:rStyle w:val="Zkladntext"/>
        </w:rPr>
        <w:t>opravy v předmětných prostorách související s jejich užíváním, tj. např. malování, opravy podlah, výměnu drobných součástek atp. Nepostará-li se nájemce o včasné provedení drobných oprav a běžnou údržbu, má pronajímatel právo učinit tak po předchozím upozo</w:t>
      </w:r>
      <w:r>
        <w:rPr>
          <w:rStyle w:val="Zkladntext"/>
        </w:rPr>
        <w:t>rnění nájemce na svůj náklad sám a požadovat od nájemce náhradu. Za drobné opravy se pro účely této smlouvy považují opravy, jejichž výše nepřesáhne v kalendářním roce částku 40 000 Kč.</w:t>
      </w:r>
    </w:p>
    <w:p w:rsidR="00DA17E6" w:rsidRDefault="002B6EDE">
      <w:pPr>
        <w:pStyle w:val="Zkladntext1"/>
        <w:numPr>
          <w:ilvl w:val="0"/>
          <w:numId w:val="6"/>
        </w:numPr>
        <w:tabs>
          <w:tab w:val="left" w:pos="1099"/>
        </w:tabs>
        <w:spacing w:line="259" w:lineRule="auto"/>
        <w:ind w:firstLine="720"/>
        <w:jc w:val="both"/>
      </w:pPr>
      <w:r>
        <w:rPr>
          <w:rStyle w:val="Zkladntext"/>
        </w:rPr>
        <w:t>Nájemce je povinen bez zbytečného odkladu písemně oznámit pronajímatel</w:t>
      </w:r>
      <w:r>
        <w:rPr>
          <w:rStyle w:val="Zkladntext"/>
        </w:rPr>
        <w:t>i potřebu těch oprav, které má nést pronajímatel a umožnit jejich provedení, jinak odpovídá za škodu, která porušením této povinnosti vznikla. Nesplní-li pronajímatel svou povinnost odstranit závady bránící řádnému užívání nebytových prostor i přes písemno</w:t>
      </w:r>
      <w:r>
        <w:rPr>
          <w:rStyle w:val="Zkladntext"/>
        </w:rPr>
        <w:t>u výzvu nájemce, je nájemce oprávněn závady odstranit v nezbytné míře a požadovat od pronajímatele náhradu účelně vynaložených nákladů.</w:t>
      </w:r>
    </w:p>
    <w:p w:rsidR="00DA17E6" w:rsidRDefault="00DA17E6">
      <w:pPr>
        <w:spacing w:after="1502" w:line="1" w:lineRule="exact"/>
      </w:pPr>
    </w:p>
    <w:p w:rsidR="00DA17E6" w:rsidRDefault="002B6EDE">
      <w:pPr>
        <w:pStyle w:val="Zkladntext1"/>
        <w:numPr>
          <w:ilvl w:val="0"/>
          <w:numId w:val="6"/>
        </w:numPr>
        <w:tabs>
          <w:tab w:val="left" w:pos="1083"/>
        </w:tabs>
        <w:spacing w:after="420"/>
        <w:ind w:firstLine="800"/>
        <w:jc w:val="both"/>
      </w:pPr>
      <w:r>
        <w:rPr>
          <w:rStyle w:val="Zkladntext"/>
        </w:rPr>
        <w:lastRenderedPageBreak/>
        <w:t>Pronajímatel je povinen nebytové prostory vlastním nákladem udržovat ve stavu způsobilém ke smluvenému užívání.</w:t>
      </w:r>
    </w:p>
    <w:p w:rsidR="00DA17E6" w:rsidRDefault="00DA17E6">
      <w:pPr>
        <w:pStyle w:val="Zkladntext1"/>
        <w:numPr>
          <w:ilvl w:val="0"/>
          <w:numId w:val="1"/>
        </w:numPr>
        <w:ind w:firstLine="0"/>
        <w:jc w:val="center"/>
      </w:pPr>
    </w:p>
    <w:p w:rsidR="00DA17E6" w:rsidRDefault="002B6EDE">
      <w:pPr>
        <w:pStyle w:val="Zkladntext1"/>
        <w:ind w:firstLine="0"/>
        <w:jc w:val="center"/>
      </w:pPr>
      <w:r>
        <w:rPr>
          <w:rStyle w:val="Zkladntext"/>
          <w:b/>
          <w:bCs/>
        </w:rPr>
        <w:t>Stavební úpravy a další ujednání</w:t>
      </w:r>
    </w:p>
    <w:p w:rsidR="00DA17E6" w:rsidRDefault="002B6EDE">
      <w:pPr>
        <w:pStyle w:val="Zkladntext1"/>
        <w:numPr>
          <w:ilvl w:val="0"/>
          <w:numId w:val="7"/>
        </w:numPr>
        <w:tabs>
          <w:tab w:val="left" w:pos="1083"/>
        </w:tabs>
        <w:spacing w:line="262" w:lineRule="auto"/>
        <w:ind w:firstLine="800"/>
        <w:jc w:val="both"/>
      </w:pPr>
      <w:r>
        <w:rPr>
          <w:rStyle w:val="Zkladntext"/>
        </w:rPr>
        <w:t>Nájemce není oprávněn bez předchozího písemného souhlasu pronajímatele provádět v pronajatých nebytových prostorách jakékoliv stavební opravy, úpravy nebo změny, a to ani na své náklady. V případě porušení této povinnosti j</w:t>
      </w:r>
      <w:r>
        <w:rPr>
          <w:rStyle w:val="Zkladntext"/>
        </w:rPr>
        <w:t>e pronajímatel oprávněn požadovat, aby nájemce provedené opravy, úpravy nebo změny na své náklady bezodkladně odstranil, pokud nebude dohodnuto jinak.</w:t>
      </w:r>
    </w:p>
    <w:p w:rsidR="00DA17E6" w:rsidRDefault="002B6EDE">
      <w:pPr>
        <w:pStyle w:val="Zkladntext1"/>
        <w:numPr>
          <w:ilvl w:val="0"/>
          <w:numId w:val="7"/>
        </w:numPr>
        <w:tabs>
          <w:tab w:val="left" w:pos="1083"/>
        </w:tabs>
        <w:ind w:firstLine="800"/>
        <w:jc w:val="both"/>
      </w:pPr>
      <w:r>
        <w:rPr>
          <w:rStyle w:val="Zkladntext"/>
        </w:rPr>
        <w:t>Nedohodnou-li se účastníci jinak, nemá nájemce právo na náhradu nákladů, které vynaložil na stavební úpra</w:t>
      </w:r>
      <w:r>
        <w:rPr>
          <w:rStyle w:val="Zkladntext"/>
        </w:rPr>
        <w:t>vy, opravy a změny předmětných nebytových prostor provedené byť se souhlasem pronajímatele.</w:t>
      </w:r>
    </w:p>
    <w:p w:rsidR="00DA17E6" w:rsidRDefault="002B6EDE">
      <w:pPr>
        <w:pStyle w:val="Zkladntext1"/>
        <w:numPr>
          <w:ilvl w:val="0"/>
          <w:numId w:val="7"/>
        </w:numPr>
        <w:tabs>
          <w:tab w:val="left" w:pos="1083"/>
        </w:tabs>
        <w:spacing w:line="262" w:lineRule="auto"/>
        <w:ind w:firstLine="800"/>
        <w:jc w:val="both"/>
      </w:pPr>
      <w:r>
        <w:rPr>
          <w:rStyle w:val="Zkladntext"/>
        </w:rPr>
        <w:t>Nájemce je povinen v pronajatých nebytových prostorách dodržovat obecně závazné předpisy PO a BOZP a instalovat zde potřebnou hasící techniku. Náklady na vybavení h</w:t>
      </w:r>
      <w:r>
        <w:rPr>
          <w:rStyle w:val="Zkladntext"/>
        </w:rPr>
        <w:t>asební technikou a její pravidelné revize nese ze svého nájemce. Nájemce je povinen umožnit v pronajatých prostorách provádění pravidelných prohlídek PO.</w:t>
      </w:r>
    </w:p>
    <w:p w:rsidR="00DA17E6" w:rsidRDefault="002B6EDE">
      <w:pPr>
        <w:pStyle w:val="Zkladntext1"/>
        <w:numPr>
          <w:ilvl w:val="0"/>
          <w:numId w:val="7"/>
        </w:numPr>
        <w:tabs>
          <w:tab w:val="left" w:pos="1083"/>
        </w:tabs>
        <w:spacing w:line="269" w:lineRule="auto"/>
        <w:ind w:firstLine="800"/>
        <w:jc w:val="both"/>
      </w:pPr>
      <w:r>
        <w:rPr>
          <w:rStyle w:val="Zkladntext"/>
        </w:rPr>
        <w:t>Nájemce je povinen zabezpečit, aby v pronajatých nebytových prostorách nebyly ukládány látky snadno vz</w:t>
      </w:r>
      <w:r>
        <w:rPr>
          <w:rStyle w:val="Zkladntext"/>
        </w:rPr>
        <w:t>nětlivé či jinak nebezpečné a nebylo užíváno otevřeného ohně.</w:t>
      </w:r>
    </w:p>
    <w:p w:rsidR="00DA17E6" w:rsidRDefault="002B6EDE">
      <w:pPr>
        <w:pStyle w:val="Zkladntext1"/>
        <w:numPr>
          <w:ilvl w:val="0"/>
          <w:numId w:val="7"/>
        </w:numPr>
        <w:tabs>
          <w:tab w:val="left" w:pos="1083"/>
        </w:tabs>
        <w:spacing w:line="266" w:lineRule="auto"/>
        <w:ind w:firstLine="800"/>
        <w:jc w:val="both"/>
      </w:pPr>
      <w:r>
        <w:rPr>
          <w:rStyle w:val="Zkladntext"/>
        </w:rPr>
        <w:t xml:space="preserve">Nájemce odpovídá pronajímateli za škodu, kterou pronajímateli způsobí na předmětných nebytových prostorách nebo na jiném majetku pronajímatele v souvislosti s užíváním nebytových prostor buď on </w:t>
      </w:r>
      <w:r>
        <w:rPr>
          <w:rStyle w:val="Zkladntext"/>
        </w:rPr>
        <w:t>sám, nebo osoby, kterým nájemce umožnil vstup do předmětných nebytových prostor.</w:t>
      </w:r>
    </w:p>
    <w:p w:rsidR="00DA17E6" w:rsidRDefault="002B6EDE">
      <w:pPr>
        <w:pStyle w:val="Zkladntext1"/>
        <w:numPr>
          <w:ilvl w:val="0"/>
          <w:numId w:val="8"/>
        </w:numPr>
        <w:tabs>
          <w:tab w:val="left" w:pos="1083"/>
        </w:tabs>
        <w:spacing w:after="340"/>
        <w:ind w:firstLine="800"/>
        <w:jc w:val="both"/>
      </w:pPr>
      <w:r>
        <w:rPr>
          <w:rStyle w:val="Zkladntext"/>
        </w:rPr>
        <w:t>Pronajímatel je oprávněn požadovat přístup do předmětných nebytových prostor za účelem kontroly dodržování podmínek této smlouvy. Termín prohlídky nebytových prostor je pronaj</w:t>
      </w:r>
      <w:r>
        <w:rPr>
          <w:rStyle w:val="Zkladntext"/>
        </w:rPr>
        <w:t>ímatel povinen oznámit nájemci alespoň 7 kalendářních dní předem a musí být provedena tak, aby neomezila nájemce v užívání nebytových prostor.</w:t>
      </w:r>
    </w:p>
    <w:p w:rsidR="00DA17E6" w:rsidRDefault="002B6EDE">
      <w:pPr>
        <w:pStyle w:val="Zkladntext1"/>
        <w:spacing w:after="0"/>
        <w:ind w:firstLine="0"/>
        <w:jc w:val="center"/>
      </w:pPr>
      <w:r>
        <w:rPr>
          <w:rStyle w:val="Zkladntext"/>
          <w:b/>
          <w:bCs/>
        </w:rPr>
        <w:t>VI.</w:t>
      </w:r>
    </w:p>
    <w:p w:rsidR="00DA17E6" w:rsidRDefault="002B6EDE">
      <w:pPr>
        <w:pStyle w:val="Zkladntext1"/>
        <w:ind w:firstLine="0"/>
        <w:jc w:val="center"/>
      </w:pPr>
      <w:r>
        <w:rPr>
          <w:rStyle w:val="Zkladntext"/>
          <w:b/>
          <w:bCs/>
        </w:rPr>
        <w:t>Nájemné</w:t>
      </w:r>
    </w:p>
    <w:p w:rsidR="00DA17E6" w:rsidRDefault="002B6EDE">
      <w:pPr>
        <w:pStyle w:val="Zkladntext1"/>
        <w:numPr>
          <w:ilvl w:val="0"/>
          <w:numId w:val="9"/>
        </w:numPr>
        <w:tabs>
          <w:tab w:val="left" w:pos="1083"/>
        </w:tabs>
        <w:spacing w:line="266" w:lineRule="auto"/>
        <w:ind w:firstLine="800"/>
        <w:jc w:val="both"/>
      </w:pPr>
      <w:r>
        <w:rPr>
          <w:rStyle w:val="Zkladntext"/>
        </w:rPr>
        <w:t xml:space="preserve">Nájemce se zavazuje hradit pronajímateli za pronájem shora určených nebytových prostor nájemné. Výše </w:t>
      </w:r>
      <w:r>
        <w:rPr>
          <w:rStyle w:val="Zkladntext"/>
        </w:rPr>
        <w:t>nájemného za pronájem nebytových prostor blíže specifikovaných včl. II., odst. 1. této nájemní smlouvy byla stanovena na základě usnesení Rady města Kroměříže č. RMK/23/26/799 ze dne 20. 10. 2023 a jeho výše činí 140 000 Kč měsíčně bez DPH.</w:t>
      </w:r>
    </w:p>
    <w:p w:rsidR="00DA17E6" w:rsidRDefault="002B6EDE">
      <w:pPr>
        <w:pStyle w:val="Zkladntext1"/>
        <w:numPr>
          <w:ilvl w:val="0"/>
          <w:numId w:val="9"/>
        </w:numPr>
        <w:tabs>
          <w:tab w:val="left" w:pos="1083"/>
        </w:tabs>
        <w:spacing w:line="269" w:lineRule="auto"/>
        <w:ind w:firstLine="800"/>
        <w:jc w:val="both"/>
      </w:pPr>
      <w:r>
        <w:rPr>
          <w:rStyle w:val="Zkladntext"/>
        </w:rPr>
        <w:t>Nájemné je spla</w:t>
      </w:r>
      <w:r>
        <w:rPr>
          <w:rStyle w:val="Zkladntext"/>
        </w:rPr>
        <w:t>tné měsíčně vždy do 20. dne měsíce, za který nájemné přísluší na účet pronajímatele uvedený v záhlaví této smlouvy.</w:t>
      </w:r>
    </w:p>
    <w:p w:rsidR="00DA17E6" w:rsidRDefault="002B6EDE">
      <w:pPr>
        <w:pStyle w:val="Zkladntext1"/>
        <w:numPr>
          <w:ilvl w:val="0"/>
          <w:numId w:val="9"/>
        </w:numPr>
        <w:tabs>
          <w:tab w:val="left" w:pos="1083"/>
        </w:tabs>
        <w:ind w:firstLine="800"/>
        <w:jc w:val="both"/>
      </w:pPr>
      <w:r>
        <w:rPr>
          <w:rStyle w:val="Zkladntext"/>
        </w:rPr>
        <w:t>Počínaje následujícím rokem je pronajímatel oprávněn každoročně zvyšovat výši nájemného o částku, která bude představovat míru inflace, zjiš</w:t>
      </w:r>
      <w:r>
        <w:rPr>
          <w:rStyle w:val="Zkladntext"/>
        </w:rPr>
        <w:t>těnou u Českého statistického úřadu dle podkladů vývoje indexu spotřebitelských cen na území ČR z průběhu předcházejícího roku. Takto bude nájemné zvyšováno vždy od 1. 1. na příslušný kalendářní rok. Pronajímatel oznámí nájemci zvýšení písemně v co nejkrat</w:t>
      </w:r>
      <w:r>
        <w:rPr>
          <w:rStyle w:val="Zkladntext"/>
        </w:rPr>
        <w:t>ší lhůtě.</w:t>
      </w:r>
    </w:p>
    <w:p w:rsidR="00DA17E6" w:rsidRDefault="002B6EDE">
      <w:pPr>
        <w:pStyle w:val="Zkladntext1"/>
        <w:numPr>
          <w:ilvl w:val="0"/>
          <w:numId w:val="9"/>
        </w:numPr>
        <w:tabs>
          <w:tab w:val="left" w:pos="1090"/>
        </w:tabs>
        <w:ind w:firstLine="780"/>
        <w:jc w:val="both"/>
      </w:pPr>
      <w:r>
        <w:rPr>
          <w:rStyle w:val="Zkladntext"/>
        </w:rPr>
        <w:t>V případě prodlení nájemce s úhradou nájemného, je tento povinen hradit pronajímateli smluvní pokutu ve výši 0,05 % denně z dlužné částky.</w:t>
      </w:r>
    </w:p>
    <w:p w:rsidR="00DA17E6" w:rsidRDefault="002B6EDE">
      <w:pPr>
        <w:pStyle w:val="Zkladntext1"/>
        <w:numPr>
          <w:ilvl w:val="0"/>
          <w:numId w:val="9"/>
        </w:numPr>
        <w:tabs>
          <w:tab w:val="left" w:pos="1090"/>
        </w:tabs>
        <w:spacing w:line="266" w:lineRule="auto"/>
        <w:ind w:firstLine="780"/>
        <w:jc w:val="both"/>
      </w:pPr>
      <w:r>
        <w:rPr>
          <w:rStyle w:val="Zkladntext"/>
        </w:rPr>
        <w:t>V případě, že nájemce bude přes písemnou výstrahu pronajímatele po dobu delší než 1 měsíc v prodlení s úhra</w:t>
      </w:r>
      <w:r>
        <w:rPr>
          <w:rStyle w:val="Zkladntext"/>
        </w:rPr>
        <w:t>dou nájemného, považuje se tato skutečnost v souladu s § 2309 OZ za hrubé porušení povinností nájemce a může být důvodem k výpovědi nájmu.</w:t>
      </w:r>
    </w:p>
    <w:p w:rsidR="00DA17E6" w:rsidRDefault="002B6EDE">
      <w:pPr>
        <w:pStyle w:val="Zkladntext1"/>
        <w:numPr>
          <w:ilvl w:val="0"/>
          <w:numId w:val="9"/>
        </w:numPr>
        <w:tabs>
          <w:tab w:val="left" w:pos="1090"/>
        </w:tabs>
        <w:spacing w:after="340"/>
        <w:ind w:firstLine="780"/>
        <w:jc w:val="both"/>
      </w:pPr>
      <w:r>
        <w:rPr>
          <w:rStyle w:val="Zkladntext"/>
        </w:rPr>
        <w:t>V ceně nájemného nejsou zahrnuty ceny služeb. Všechny služby spojené s užíváním nebytových prostor si zabezpečuje a h</w:t>
      </w:r>
      <w:r>
        <w:rPr>
          <w:rStyle w:val="Zkladntext"/>
        </w:rPr>
        <w:t>radí nájemce sám.</w:t>
      </w:r>
    </w:p>
    <w:p w:rsidR="00DA17E6" w:rsidRDefault="00DA17E6">
      <w:pPr>
        <w:pStyle w:val="Zkladntext1"/>
        <w:numPr>
          <w:ilvl w:val="0"/>
          <w:numId w:val="10"/>
        </w:numPr>
        <w:spacing w:after="0"/>
        <w:ind w:firstLine="0"/>
        <w:jc w:val="center"/>
      </w:pPr>
    </w:p>
    <w:p w:rsidR="00DA17E6" w:rsidRDefault="002B6EDE">
      <w:pPr>
        <w:pStyle w:val="Nadpis30"/>
        <w:keepNext/>
        <w:keepLines/>
        <w:spacing w:after="60" w:line="264" w:lineRule="auto"/>
      </w:pPr>
      <w:bookmarkStart w:id="9" w:name="bookmark20"/>
      <w:r>
        <w:rPr>
          <w:rStyle w:val="Nadpis3"/>
          <w:b/>
          <w:bCs/>
        </w:rPr>
        <w:t>Doba trvání smlouvy, skončení smlouvy</w:t>
      </w:r>
      <w:bookmarkEnd w:id="9"/>
    </w:p>
    <w:p w:rsidR="00DA17E6" w:rsidRDefault="002B6EDE">
      <w:pPr>
        <w:pStyle w:val="Zkladntext1"/>
        <w:numPr>
          <w:ilvl w:val="0"/>
          <w:numId w:val="11"/>
        </w:numPr>
        <w:tabs>
          <w:tab w:val="left" w:pos="1090"/>
        </w:tabs>
        <w:spacing w:line="269" w:lineRule="auto"/>
        <w:ind w:firstLine="780"/>
        <w:jc w:val="both"/>
      </w:pPr>
      <w:r>
        <w:rPr>
          <w:rStyle w:val="Zkladntext"/>
        </w:rPr>
        <w:t>Tato nájemní smlouva se sjednává na dobu určitou 5 let od 1. 1. 2024. Podkladem pro uzavření nájemní smlouvy je usnesení Rady města Kroměříže č. RMK/23/26/799 ze dne 20. 10. 2023.</w:t>
      </w:r>
    </w:p>
    <w:p w:rsidR="00DA17E6" w:rsidRDefault="002B6EDE">
      <w:pPr>
        <w:pStyle w:val="Zkladntext1"/>
        <w:numPr>
          <w:ilvl w:val="0"/>
          <w:numId w:val="11"/>
        </w:numPr>
        <w:tabs>
          <w:tab w:val="left" w:pos="1814"/>
        </w:tabs>
        <w:spacing w:after="0"/>
        <w:ind w:firstLine="720"/>
        <w:jc w:val="both"/>
      </w:pPr>
      <w:r>
        <w:rPr>
          <w:rStyle w:val="Zkladntext"/>
        </w:rPr>
        <w:t>Nájem uzavřený tout</w:t>
      </w:r>
      <w:r>
        <w:rPr>
          <w:rStyle w:val="Zkladntext"/>
        </w:rPr>
        <w:t>o smlouvou končí:</w:t>
      </w:r>
    </w:p>
    <w:p w:rsidR="00DA17E6" w:rsidRDefault="002B6EDE">
      <w:pPr>
        <w:pStyle w:val="Zkladntext1"/>
        <w:numPr>
          <w:ilvl w:val="0"/>
          <w:numId w:val="12"/>
        </w:numPr>
        <w:tabs>
          <w:tab w:val="left" w:pos="356"/>
        </w:tabs>
        <w:spacing w:after="0"/>
        <w:ind w:firstLine="0"/>
        <w:jc w:val="both"/>
      </w:pPr>
      <w:r>
        <w:rPr>
          <w:rStyle w:val="Zkladntext"/>
        </w:rPr>
        <w:t>uplynutím doby, na kterou byla smlouva sjednána</w:t>
      </w:r>
    </w:p>
    <w:p w:rsidR="00DA17E6" w:rsidRDefault="002B6EDE">
      <w:pPr>
        <w:pStyle w:val="Zkladntext1"/>
        <w:numPr>
          <w:ilvl w:val="0"/>
          <w:numId w:val="12"/>
        </w:numPr>
        <w:tabs>
          <w:tab w:val="left" w:pos="370"/>
        </w:tabs>
        <w:spacing w:after="0"/>
        <w:ind w:firstLine="0"/>
        <w:jc w:val="both"/>
      </w:pPr>
      <w:r>
        <w:rPr>
          <w:rStyle w:val="Zkladntext"/>
        </w:rPr>
        <w:t>dohodu stran</w:t>
      </w:r>
    </w:p>
    <w:p w:rsidR="00DA17E6" w:rsidRDefault="002B6EDE">
      <w:pPr>
        <w:pStyle w:val="Zkladntext1"/>
        <w:numPr>
          <w:ilvl w:val="0"/>
          <w:numId w:val="12"/>
        </w:numPr>
        <w:tabs>
          <w:tab w:val="left" w:pos="351"/>
        </w:tabs>
        <w:ind w:firstLine="0"/>
        <w:jc w:val="both"/>
      </w:pPr>
      <w:r>
        <w:rPr>
          <w:rStyle w:val="Zkladntext"/>
        </w:rPr>
        <w:t>výpovědí jedné ze stran.</w:t>
      </w:r>
    </w:p>
    <w:p w:rsidR="00DA17E6" w:rsidRDefault="002B6EDE">
      <w:pPr>
        <w:pStyle w:val="Zkladntext1"/>
        <w:numPr>
          <w:ilvl w:val="0"/>
          <w:numId w:val="11"/>
        </w:numPr>
        <w:tabs>
          <w:tab w:val="left" w:pos="1090"/>
        </w:tabs>
        <w:spacing w:line="276" w:lineRule="auto"/>
        <w:ind w:firstLine="780"/>
        <w:jc w:val="both"/>
      </w:pPr>
      <w:r>
        <w:rPr>
          <w:rStyle w:val="Zkladntext"/>
        </w:rPr>
        <w:t>Nájemce může vypovědět tuto smlouvu před uplynutím sjednané doby v souladu s § 2308 OZ jen v případě, že:</w:t>
      </w:r>
    </w:p>
    <w:p w:rsidR="00DA17E6" w:rsidRDefault="002B6EDE">
      <w:pPr>
        <w:pStyle w:val="Zkladntext1"/>
        <w:numPr>
          <w:ilvl w:val="0"/>
          <w:numId w:val="13"/>
        </w:numPr>
        <w:tabs>
          <w:tab w:val="left" w:pos="351"/>
        </w:tabs>
        <w:ind w:firstLine="0"/>
        <w:jc w:val="both"/>
      </w:pPr>
      <w:r>
        <w:rPr>
          <w:rStyle w:val="Zkladntext"/>
        </w:rPr>
        <w:t xml:space="preserve">ztratil způsobilost k činnosti, k jejímuž </w:t>
      </w:r>
      <w:r>
        <w:rPr>
          <w:rStyle w:val="Zkladntext"/>
        </w:rPr>
        <w:t>výkonu je prostor sloužící podnikání určen</w:t>
      </w:r>
    </w:p>
    <w:p w:rsidR="00DA17E6" w:rsidRDefault="002B6EDE">
      <w:pPr>
        <w:pStyle w:val="Zkladntext1"/>
        <w:numPr>
          <w:ilvl w:val="0"/>
          <w:numId w:val="13"/>
        </w:numPr>
        <w:tabs>
          <w:tab w:val="left" w:pos="370"/>
        </w:tabs>
        <w:ind w:firstLine="0"/>
        <w:jc w:val="both"/>
      </w:pPr>
      <w:r>
        <w:rPr>
          <w:rStyle w:val="Zkladntext"/>
        </w:rPr>
        <w:t>přestane být najatý prostor způsobilý k výkonu sjednané činnosti</w:t>
      </w:r>
    </w:p>
    <w:p w:rsidR="00DA17E6" w:rsidRDefault="002B6EDE">
      <w:pPr>
        <w:pStyle w:val="Zkladntext1"/>
        <w:numPr>
          <w:ilvl w:val="0"/>
          <w:numId w:val="13"/>
        </w:numPr>
        <w:tabs>
          <w:tab w:val="left" w:pos="356"/>
        </w:tabs>
        <w:ind w:firstLine="0"/>
        <w:jc w:val="both"/>
      </w:pPr>
      <w:r>
        <w:rPr>
          <w:rStyle w:val="Zkladntext"/>
        </w:rPr>
        <w:t>pronajímatel hrubě porušuje své povinnosti vůči nájemci.</w:t>
      </w:r>
    </w:p>
    <w:p w:rsidR="00DA17E6" w:rsidRDefault="002B6EDE">
      <w:pPr>
        <w:pStyle w:val="Zkladntext1"/>
        <w:numPr>
          <w:ilvl w:val="0"/>
          <w:numId w:val="11"/>
        </w:numPr>
        <w:tabs>
          <w:tab w:val="left" w:pos="1090"/>
        </w:tabs>
        <w:spacing w:line="269" w:lineRule="auto"/>
        <w:ind w:firstLine="780"/>
        <w:jc w:val="both"/>
      </w:pPr>
      <w:r>
        <w:rPr>
          <w:rStyle w:val="Zkladntext"/>
        </w:rPr>
        <w:t>Pronajímatel může vypovědět tuto smlouvu před uplynutím sjednané doby v souladu s § 2309 OZ</w:t>
      </w:r>
      <w:r>
        <w:rPr>
          <w:rStyle w:val="Zkladntext"/>
        </w:rPr>
        <w:t xml:space="preserve"> jen v případě, že</w:t>
      </w:r>
    </w:p>
    <w:p w:rsidR="00DA17E6" w:rsidRDefault="002B6EDE">
      <w:pPr>
        <w:pStyle w:val="Zkladntext1"/>
        <w:numPr>
          <w:ilvl w:val="0"/>
          <w:numId w:val="14"/>
        </w:numPr>
        <w:tabs>
          <w:tab w:val="left" w:pos="351"/>
        </w:tabs>
        <w:spacing w:after="0" w:line="343" w:lineRule="auto"/>
        <w:ind w:firstLine="0"/>
        <w:jc w:val="both"/>
      </w:pPr>
      <w:r>
        <w:rPr>
          <w:rStyle w:val="Zkladntext"/>
        </w:rPr>
        <w:t>má být objekt odstraněn nebo přestavován tak, že to brání užívání podle této smlouvy,</w:t>
      </w:r>
    </w:p>
    <w:p w:rsidR="00DA17E6" w:rsidRDefault="002B6EDE">
      <w:pPr>
        <w:pStyle w:val="Zkladntext1"/>
        <w:numPr>
          <w:ilvl w:val="0"/>
          <w:numId w:val="14"/>
        </w:numPr>
        <w:tabs>
          <w:tab w:val="left" w:pos="375"/>
        </w:tabs>
        <w:spacing w:after="0" w:line="343" w:lineRule="auto"/>
        <w:ind w:firstLine="0"/>
        <w:jc w:val="both"/>
      </w:pPr>
      <w:r>
        <w:rPr>
          <w:rStyle w:val="Zkladntext"/>
        </w:rPr>
        <w:t>nájemce hrubě porušuje své povinnosti vůči pronajímateli.</w:t>
      </w:r>
    </w:p>
    <w:p w:rsidR="00DA17E6" w:rsidRDefault="002B6EDE">
      <w:pPr>
        <w:pStyle w:val="Zkladntext1"/>
        <w:numPr>
          <w:ilvl w:val="0"/>
          <w:numId w:val="11"/>
        </w:numPr>
        <w:tabs>
          <w:tab w:val="left" w:pos="1090"/>
        </w:tabs>
        <w:ind w:firstLine="780"/>
        <w:jc w:val="both"/>
      </w:pPr>
      <w:r>
        <w:rPr>
          <w:rStyle w:val="Zkladntext"/>
        </w:rPr>
        <w:t xml:space="preserve">Výpověď nájmu dle článku VII. odstavce 3. nebo 4. musí mít v souladu s § 2310 OZ písemnou </w:t>
      </w:r>
      <w:r>
        <w:rPr>
          <w:rStyle w:val="Zkladntext"/>
        </w:rPr>
        <w:t>formu a musí v ní být uveden výpovědní důvod. Výpovědní doba je šestiměsíční. Výpovědní doba běží od prvního dne kalendářního měsíce následujícího po měsíci, ve kterém byla výpověď doručena druhé smluvní straně.</w:t>
      </w:r>
    </w:p>
    <w:p w:rsidR="00DA17E6" w:rsidRDefault="002B6EDE">
      <w:pPr>
        <w:pStyle w:val="Zkladntext1"/>
        <w:numPr>
          <w:ilvl w:val="0"/>
          <w:numId w:val="11"/>
        </w:numPr>
        <w:tabs>
          <w:tab w:val="left" w:pos="1090"/>
        </w:tabs>
        <w:spacing w:line="269" w:lineRule="auto"/>
        <w:ind w:firstLine="780"/>
        <w:jc w:val="both"/>
      </w:pPr>
      <w:r>
        <w:rPr>
          <w:rStyle w:val="Zkladntext"/>
        </w:rPr>
        <w:t>Vypovídaná strana má právo vznést proti výpo</w:t>
      </w:r>
      <w:r>
        <w:rPr>
          <w:rStyle w:val="Zkladntext"/>
        </w:rPr>
        <w:t>vědi námitky, případně žádat soud o přezkoumání výpovědi v souladu s § 2314 OZ.</w:t>
      </w:r>
    </w:p>
    <w:p w:rsidR="00DA17E6" w:rsidRDefault="002B6EDE">
      <w:pPr>
        <w:pStyle w:val="Zkladntext1"/>
        <w:numPr>
          <w:ilvl w:val="0"/>
          <w:numId w:val="11"/>
        </w:numPr>
        <w:tabs>
          <w:tab w:val="left" w:pos="1090"/>
        </w:tabs>
        <w:spacing w:line="262" w:lineRule="auto"/>
        <w:ind w:firstLine="780"/>
        <w:jc w:val="both"/>
      </w:pPr>
      <w:r>
        <w:rPr>
          <w:rStyle w:val="Zkladntext"/>
        </w:rPr>
        <w:t>Nájemce je povinen předmětné nebytové prostory vyklidit a vyklizené předat pronajímateli do 2 dnů od skončení této nájemní smlouvy, vyklizené a čisté, ve stavu odpovídajícímu b</w:t>
      </w:r>
      <w:r>
        <w:rPr>
          <w:rStyle w:val="Zkladntext"/>
        </w:rPr>
        <w:t>ěžnému opotřebení.</w:t>
      </w:r>
    </w:p>
    <w:p w:rsidR="00DA17E6" w:rsidRDefault="002B6EDE">
      <w:pPr>
        <w:pStyle w:val="Zkladntext1"/>
        <w:numPr>
          <w:ilvl w:val="0"/>
          <w:numId w:val="11"/>
        </w:numPr>
        <w:tabs>
          <w:tab w:val="left" w:pos="1090"/>
        </w:tabs>
        <w:spacing w:line="262" w:lineRule="auto"/>
        <w:ind w:firstLine="780"/>
        <w:jc w:val="both"/>
      </w:pPr>
      <w:r>
        <w:rPr>
          <w:rStyle w:val="Zkladntext"/>
        </w:rPr>
        <w:t>O předání vyklizených nebytových prostor nájemcem zpět pronajímateli po skončení nájemní smlouvy bude mezi nájemcem a pronajímatelem pořízen písemný zápis, který podepíší oba účastníci této smlouvy. V tomto zápisu bude zejména uveden sta</w:t>
      </w:r>
      <w:r>
        <w:rPr>
          <w:rStyle w:val="Zkladntext"/>
        </w:rPr>
        <w:t>v nebytových prostor ke dni předání a dále stavy na jednotlivých poměrových a domovních měřidlech. Nebytový prostor se považuje za předaný zpět pronajímateli ke dni uvedeném v protokolu o předání a převzetí nebytových prostor.</w:t>
      </w:r>
    </w:p>
    <w:p w:rsidR="00DA17E6" w:rsidRDefault="002B6EDE">
      <w:pPr>
        <w:pStyle w:val="Zkladntext1"/>
        <w:numPr>
          <w:ilvl w:val="0"/>
          <w:numId w:val="11"/>
        </w:numPr>
        <w:tabs>
          <w:tab w:val="left" w:pos="1090"/>
        </w:tabs>
        <w:spacing w:line="259" w:lineRule="auto"/>
        <w:ind w:firstLine="780"/>
        <w:jc w:val="both"/>
      </w:pPr>
      <w:r>
        <w:rPr>
          <w:rStyle w:val="Zkladntext"/>
        </w:rPr>
        <w:t xml:space="preserve">V případě prodlení nájemce s </w:t>
      </w:r>
      <w:r>
        <w:rPr>
          <w:rStyle w:val="Zkladntext"/>
        </w:rPr>
        <w:t>vyklizením a předáním nebytových prostor zpět pronajímateli z důvodů nikoliv na straně pronajímatele je nájemce povinen uhradit pronajímateli smluvní pokutu ve výši 500,- Kč za každý den prodlení.</w:t>
      </w:r>
      <w:r>
        <w:br w:type="page"/>
      </w:r>
    </w:p>
    <w:p w:rsidR="00DA17E6" w:rsidRDefault="00DA17E6">
      <w:pPr>
        <w:pStyle w:val="Zkladntext1"/>
        <w:numPr>
          <w:ilvl w:val="0"/>
          <w:numId w:val="10"/>
        </w:numPr>
        <w:spacing w:after="0" w:line="259" w:lineRule="auto"/>
        <w:ind w:firstLine="0"/>
        <w:jc w:val="center"/>
      </w:pPr>
    </w:p>
    <w:p w:rsidR="00DA17E6" w:rsidRDefault="002B6EDE">
      <w:pPr>
        <w:pStyle w:val="Nadpis30"/>
        <w:keepNext/>
        <w:keepLines/>
        <w:spacing w:after="80" w:line="259" w:lineRule="auto"/>
      </w:pPr>
      <w:bookmarkStart w:id="10" w:name="bookmark22"/>
      <w:r>
        <w:rPr>
          <w:rStyle w:val="Nadpis3"/>
          <w:b/>
          <w:bCs/>
        </w:rPr>
        <w:t>Podnájem nebytových prostor</w:t>
      </w:r>
      <w:bookmarkEnd w:id="10"/>
    </w:p>
    <w:p w:rsidR="00DA17E6" w:rsidRDefault="002B6EDE">
      <w:pPr>
        <w:pStyle w:val="Zkladntext1"/>
        <w:numPr>
          <w:ilvl w:val="0"/>
          <w:numId w:val="15"/>
        </w:numPr>
        <w:tabs>
          <w:tab w:val="left" w:pos="1085"/>
        </w:tabs>
        <w:spacing w:after="80" w:line="259" w:lineRule="auto"/>
        <w:ind w:firstLine="740"/>
        <w:jc w:val="both"/>
      </w:pPr>
      <w:r>
        <w:rPr>
          <w:rStyle w:val="Zkladntext"/>
        </w:rPr>
        <w:t xml:space="preserve">Nájemce není oprávněn bez </w:t>
      </w:r>
      <w:r>
        <w:rPr>
          <w:rStyle w:val="Zkladntext"/>
        </w:rPr>
        <w:t>předchozího písemného souhlasu pronajímatele předmětné nebytové prostory nebo jejich ěást přenechat do podnájmu třetí osobě. To neplatí při poskytování smuteční síně a souvisejícího zázemí pro jiné pořadatele pohřbů dle ustanovení čl. III odst. 1 této smlo</w:t>
      </w:r>
      <w:r>
        <w:rPr>
          <w:rStyle w:val="Zkladntext"/>
        </w:rPr>
        <w:t>uvy.</w:t>
      </w:r>
    </w:p>
    <w:p w:rsidR="00DA17E6" w:rsidRDefault="002B6EDE">
      <w:pPr>
        <w:pStyle w:val="Zkladntext1"/>
        <w:numPr>
          <w:ilvl w:val="0"/>
          <w:numId w:val="15"/>
        </w:numPr>
        <w:tabs>
          <w:tab w:val="left" w:pos="1085"/>
        </w:tabs>
        <w:spacing w:after="540" w:line="259" w:lineRule="auto"/>
        <w:ind w:firstLine="740"/>
        <w:jc w:val="both"/>
      </w:pPr>
      <w:r>
        <w:rPr>
          <w:rStyle w:val="Zkladntext"/>
        </w:rPr>
        <w:t>Nájemce bere na vědomí, že ke dni zániku nebo skončení této nájemní smlouvy zaniká nebo končí i podnájemní smlouva k předmětným nebytovým prostorám nebo jejich části uzavřená v souladu s odst. 1. tohoto článku mezi nájemcem a třetí osobou.</w:t>
      </w:r>
    </w:p>
    <w:p w:rsidR="00DA17E6" w:rsidRDefault="00DA17E6">
      <w:pPr>
        <w:pStyle w:val="Nadpis30"/>
        <w:keepNext/>
        <w:keepLines/>
        <w:numPr>
          <w:ilvl w:val="0"/>
          <w:numId w:val="10"/>
        </w:numPr>
        <w:spacing w:after="0" w:line="259" w:lineRule="auto"/>
      </w:pPr>
      <w:bookmarkStart w:id="11" w:name="bookmark24"/>
      <w:bookmarkEnd w:id="11"/>
    </w:p>
    <w:p w:rsidR="00DA17E6" w:rsidRDefault="002B6EDE">
      <w:pPr>
        <w:pStyle w:val="Nadpis30"/>
        <w:keepNext/>
        <w:keepLines/>
        <w:spacing w:after="80" w:line="259" w:lineRule="auto"/>
      </w:pPr>
      <w:r>
        <w:rPr>
          <w:rStyle w:val="Nadpis3"/>
          <w:b/>
          <w:bCs/>
        </w:rPr>
        <w:t xml:space="preserve">Závěrečná </w:t>
      </w:r>
      <w:r>
        <w:rPr>
          <w:rStyle w:val="Nadpis3"/>
          <w:b/>
          <w:bCs/>
        </w:rPr>
        <w:t>ustanovení</w:t>
      </w:r>
    </w:p>
    <w:p w:rsidR="00DA17E6" w:rsidRDefault="002B6EDE">
      <w:pPr>
        <w:pStyle w:val="Zkladntext1"/>
        <w:numPr>
          <w:ilvl w:val="0"/>
          <w:numId w:val="16"/>
        </w:numPr>
        <w:tabs>
          <w:tab w:val="left" w:pos="1085"/>
        </w:tabs>
        <w:spacing w:after="80" w:line="259" w:lineRule="auto"/>
        <w:ind w:firstLine="740"/>
        <w:jc w:val="both"/>
      </w:pPr>
      <w:r>
        <w:rPr>
          <w:rStyle w:val="Zkladntext"/>
        </w:rPr>
        <w:t>Veškeré změny a doplňky této smlouvy musí mít písemnou formu a musí být podepsány oběma smluvními stranami, jinak jsou neplatné.</w:t>
      </w:r>
    </w:p>
    <w:p w:rsidR="00DA17E6" w:rsidRDefault="002B6EDE">
      <w:pPr>
        <w:pStyle w:val="Zkladntext1"/>
        <w:numPr>
          <w:ilvl w:val="0"/>
          <w:numId w:val="16"/>
        </w:numPr>
        <w:tabs>
          <w:tab w:val="left" w:pos="1085"/>
        </w:tabs>
        <w:spacing w:after="80"/>
        <w:ind w:firstLine="740"/>
        <w:jc w:val="both"/>
      </w:pPr>
      <w:r>
        <w:rPr>
          <w:rStyle w:val="Zkladntext"/>
        </w:rPr>
        <w:t>Tato nájemní smlouva byla vyhotovena ve 3 stejnopisech, z nichž jeden stejnopis obdrží nájemce a 2 stejnopisy pronaj</w:t>
      </w:r>
      <w:r>
        <w:rPr>
          <w:rStyle w:val="Zkladntext"/>
        </w:rPr>
        <w:t>ímatel.</w:t>
      </w:r>
    </w:p>
    <w:p w:rsidR="00DA17E6" w:rsidRDefault="002B6EDE">
      <w:pPr>
        <w:pStyle w:val="Zkladntext1"/>
        <w:numPr>
          <w:ilvl w:val="0"/>
          <w:numId w:val="16"/>
        </w:numPr>
        <w:tabs>
          <w:tab w:val="left" w:pos="1085"/>
        </w:tabs>
        <w:spacing w:after="80" w:line="259" w:lineRule="auto"/>
        <w:ind w:firstLine="740"/>
        <w:jc w:val="both"/>
      </w:pPr>
      <w:r>
        <w:rPr>
          <w:rStyle w:val="Zkladntext"/>
        </w:rPr>
        <w:t>V ostatních právních vztazích, v této smlouvě výslovně neupravených, se smluvní strany řídí příslušnými ustanoveními občanského zákoníku v platném a účinném znění.</w:t>
      </w:r>
    </w:p>
    <w:p w:rsidR="00DA17E6" w:rsidRDefault="002B6EDE">
      <w:pPr>
        <w:pStyle w:val="Zkladntext1"/>
        <w:numPr>
          <w:ilvl w:val="0"/>
          <w:numId w:val="16"/>
        </w:numPr>
        <w:tabs>
          <w:tab w:val="left" w:pos="1085"/>
        </w:tabs>
        <w:spacing w:after="0" w:line="259" w:lineRule="auto"/>
        <w:ind w:firstLine="740"/>
        <w:jc w:val="both"/>
        <w:sectPr w:rsidR="00DA17E6">
          <w:pgSz w:w="11900" w:h="16840"/>
          <w:pgMar w:top="1393" w:right="1428" w:bottom="1356" w:left="1156" w:header="965" w:footer="928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Nájemce bere na vědomí, že tato smlouva může být poskyt</w:t>
      </w:r>
      <w:r>
        <w:rPr>
          <w:rStyle w:val="Zkladntext"/>
        </w:rPr>
        <w:t>nuta a zveřejněna případným žadatelům podle zákona č. 106/1999 Sb., o svobodném přístupu k informacím, ve znění pozdějších předpisů.</w:t>
      </w:r>
    </w:p>
    <w:p w:rsidR="00DA17E6" w:rsidRDefault="00DA17E6">
      <w:pPr>
        <w:spacing w:before="59" w:after="59" w:line="240" w:lineRule="exact"/>
        <w:rPr>
          <w:sz w:val="19"/>
          <w:szCs w:val="19"/>
        </w:rPr>
      </w:pPr>
    </w:p>
    <w:p w:rsidR="00DA17E6" w:rsidRDefault="00DA17E6">
      <w:pPr>
        <w:spacing w:line="1" w:lineRule="exact"/>
        <w:sectPr w:rsidR="00DA17E6">
          <w:type w:val="continuous"/>
          <w:pgSz w:w="11900" w:h="16840"/>
          <w:pgMar w:top="1410" w:right="0" w:bottom="1410" w:left="0" w:header="0" w:footer="3" w:gutter="0"/>
          <w:cols w:space="720"/>
          <w:noEndnote/>
          <w:docGrid w:linePitch="360"/>
        </w:sectPr>
      </w:pPr>
      <w:bookmarkStart w:id="12" w:name="_GoBack"/>
      <w:bookmarkEnd w:id="12"/>
    </w:p>
    <w:p w:rsidR="00DA17E6" w:rsidRDefault="00DA17E6" w:rsidP="00CE35D0">
      <w:pPr>
        <w:pStyle w:val="Nadpis10"/>
        <w:keepNext/>
        <w:keepLines/>
        <w:framePr w:w="3120" w:h="475" w:wrap="none" w:vAnchor="text" w:hAnchor="page" w:x="6434" w:y="21"/>
      </w:pPr>
    </w:p>
    <w:p w:rsidR="00DA17E6" w:rsidRDefault="00DA17E6">
      <w:pPr>
        <w:spacing w:line="360" w:lineRule="exact"/>
      </w:pPr>
    </w:p>
    <w:p w:rsidR="00DA17E6" w:rsidRDefault="00DA17E6">
      <w:pPr>
        <w:spacing w:line="360" w:lineRule="exact"/>
      </w:pPr>
    </w:p>
    <w:p w:rsidR="00DA17E6" w:rsidRDefault="00DA17E6">
      <w:pPr>
        <w:spacing w:after="642" w:line="1" w:lineRule="exact"/>
      </w:pPr>
    </w:p>
    <w:p w:rsidR="00DA17E6" w:rsidRDefault="00DA17E6">
      <w:pPr>
        <w:spacing w:line="1" w:lineRule="exact"/>
      </w:pPr>
    </w:p>
    <w:sectPr w:rsidR="00DA17E6">
      <w:pgSz w:w="11900" w:h="16840"/>
      <w:pgMar w:top="1410" w:right="1601" w:bottom="1410" w:left="10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EDE" w:rsidRDefault="002B6EDE">
      <w:r>
        <w:separator/>
      </w:r>
    </w:p>
  </w:endnote>
  <w:endnote w:type="continuationSeparator" w:id="0">
    <w:p w:rsidR="002B6EDE" w:rsidRDefault="002B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EDE" w:rsidRDefault="002B6EDE"/>
  </w:footnote>
  <w:footnote w:type="continuationSeparator" w:id="0">
    <w:p w:rsidR="002B6EDE" w:rsidRDefault="002B6E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CB3"/>
    <w:multiLevelType w:val="multilevel"/>
    <w:tmpl w:val="1368F3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3414A"/>
    <w:multiLevelType w:val="multilevel"/>
    <w:tmpl w:val="EE5CC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A604A"/>
    <w:multiLevelType w:val="multilevel"/>
    <w:tmpl w:val="64D0D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B00F1"/>
    <w:multiLevelType w:val="multilevel"/>
    <w:tmpl w:val="A22E5F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19138B"/>
    <w:multiLevelType w:val="multilevel"/>
    <w:tmpl w:val="F27E55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A17ED4"/>
    <w:multiLevelType w:val="multilevel"/>
    <w:tmpl w:val="B7023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CA7E02"/>
    <w:multiLevelType w:val="multilevel"/>
    <w:tmpl w:val="BEF8D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0A55A1"/>
    <w:multiLevelType w:val="multilevel"/>
    <w:tmpl w:val="807480B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5524AE"/>
    <w:multiLevelType w:val="multilevel"/>
    <w:tmpl w:val="9EBE8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4A523B"/>
    <w:multiLevelType w:val="multilevel"/>
    <w:tmpl w:val="BAEC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CD0796"/>
    <w:multiLevelType w:val="multilevel"/>
    <w:tmpl w:val="8BCEC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31518B"/>
    <w:multiLevelType w:val="multilevel"/>
    <w:tmpl w:val="09204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6358CD"/>
    <w:multiLevelType w:val="multilevel"/>
    <w:tmpl w:val="FD5440A4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321753"/>
    <w:multiLevelType w:val="multilevel"/>
    <w:tmpl w:val="0D945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846B3E"/>
    <w:multiLevelType w:val="multilevel"/>
    <w:tmpl w:val="F7366B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2F25C9"/>
    <w:multiLevelType w:val="multilevel"/>
    <w:tmpl w:val="8CDEB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5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E6"/>
    <w:rsid w:val="002B6EDE"/>
    <w:rsid w:val="00CE35D0"/>
    <w:rsid w:val="00DA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512A9-AB9D-4E86-B527-FADB8517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86AE"/>
      <w:sz w:val="38"/>
      <w:szCs w:val="3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30">
    <w:name w:val="Nadpis #3"/>
    <w:basedOn w:val="Normln"/>
    <w:link w:val="Nadpis3"/>
    <w:pPr>
      <w:spacing w:after="7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60"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5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Times New Roman" w:eastAsia="Times New Roman" w:hAnsi="Times New Roman" w:cs="Times New Roman"/>
      <w:color w:val="7786AE"/>
      <w:sz w:val="38"/>
      <w:szCs w:val="38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1594</Words>
  <Characters>9411</Characters>
  <Application>Microsoft Office Word</Application>
  <DocSecurity>0</DocSecurity>
  <Lines>78</Lines>
  <Paragraphs>21</Paragraphs>
  <ScaleCrop>false</ScaleCrop>
  <Company/>
  <LinksUpToDate>false</LinksUpToDate>
  <CharactersWithSpaces>10984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2023-11-13T08:41:00Z</dcterms:created>
  <dcterms:modified xsi:type="dcterms:W3CDTF">2023-11-13T08:43:00Z</dcterms:modified>
</cp:coreProperties>
</file>