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1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xpomin 2018/06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Expomin 2018/063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xpomin 2018/06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.4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antiago de Chile Expo ,  Santiago de Chile, CL - Chil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