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567" w:right="370.2755905511822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SMLOUVA O DÍLO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567" w:right="370.27559055118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ošetření stávající podlahy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567" w:right="370.27559055118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uzavřená v souladu s ust. § 2586 zákona č. 89/2012 Sb., občanský zákoník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567" w:right="370.275590551182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567" w:right="370.275590551182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Objednatel:</w:t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567"/>
        </w:tabs>
        <w:spacing w:after="120" w:lineRule="auto"/>
        <w:ind w:left="567" w:right="370.275590551182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Centrum sociální pomoci Vodňany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567"/>
        </w:tabs>
        <w:spacing w:after="120" w:lineRule="auto"/>
        <w:ind w:left="567" w:right="370.275590551182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sídlo: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Žižkovo náměstí 21, 389 01 Vodňany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567"/>
        </w:tabs>
        <w:spacing w:after="120" w:lineRule="auto"/>
        <w:ind w:left="567" w:right="370.275590551182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IČ: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00666319 </w:t>
      </w:r>
    </w:p>
    <w:p w:rsidR="00000000" w:rsidDel="00000000" w:rsidP="00000000" w:rsidRDefault="00000000" w:rsidRPr="00000000" w14:paraId="00000009">
      <w:pPr>
        <w:pageBreakBefore w:val="0"/>
        <w:tabs>
          <w:tab w:val="left" w:leader="none" w:pos="567"/>
        </w:tabs>
        <w:spacing w:after="120" w:lineRule="auto"/>
        <w:ind w:left="567" w:right="370.275590551182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zastoupená: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Mgr. Bc. Danielou Davidovou, MBA</w:t>
      </w:r>
    </w:p>
    <w:p w:rsidR="00000000" w:rsidDel="00000000" w:rsidP="00000000" w:rsidRDefault="00000000" w:rsidRPr="00000000" w14:paraId="0000000A">
      <w:pPr>
        <w:pageBreakBefore w:val="0"/>
        <w:tabs>
          <w:tab w:val="left" w:leader="none" w:pos="567"/>
        </w:tabs>
        <w:spacing w:after="120" w:lineRule="auto"/>
        <w:ind w:left="567" w:right="370.275590551182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kontakt: 725 831 677,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daniela.davidova@cspvodnany.cz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leader="none" w:pos="567"/>
        </w:tabs>
        <w:spacing w:after="120" w:lineRule="auto"/>
        <w:ind w:left="567" w:right="370.275590551182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(dále jen „objednatel“)</w:t>
      </w:r>
    </w:p>
    <w:p w:rsidR="00000000" w:rsidDel="00000000" w:rsidP="00000000" w:rsidRDefault="00000000" w:rsidRPr="00000000" w14:paraId="0000000C">
      <w:pPr>
        <w:pageBreakBefore w:val="0"/>
        <w:tabs>
          <w:tab w:val="left" w:leader="none" w:pos="567"/>
        </w:tabs>
        <w:spacing w:after="120" w:lineRule="auto"/>
        <w:ind w:left="567" w:right="370.275590551182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567" w:right="370.275590551182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567" w:right="370.275590551182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567" w:right="370.275590551182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Zhotovitel:</w:t>
      </w:r>
    </w:p>
    <w:p w:rsidR="00000000" w:rsidDel="00000000" w:rsidP="00000000" w:rsidRDefault="00000000" w:rsidRPr="00000000" w14:paraId="00000010">
      <w:pPr>
        <w:pageBreakBefore w:val="0"/>
        <w:tabs>
          <w:tab w:val="left" w:leader="none" w:pos="567"/>
        </w:tabs>
        <w:spacing w:after="120" w:lineRule="auto"/>
        <w:ind w:left="567" w:right="370.2755905511822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 CleanLife s. r. o.</w:t>
      </w:r>
    </w:p>
    <w:p w:rsidR="00000000" w:rsidDel="00000000" w:rsidP="00000000" w:rsidRDefault="00000000" w:rsidRPr="00000000" w14:paraId="00000011">
      <w:pPr>
        <w:pageBreakBefore w:val="0"/>
        <w:tabs>
          <w:tab w:val="left" w:leader="none" w:pos="567"/>
        </w:tabs>
        <w:spacing w:after="120" w:lineRule="auto"/>
        <w:ind w:left="567" w:right="370.275590551182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sídlo: Rybná 716/24, Staré Město, 110 00 Praha 1</w:t>
      </w:r>
    </w:p>
    <w:p w:rsidR="00000000" w:rsidDel="00000000" w:rsidP="00000000" w:rsidRDefault="00000000" w:rsidRPr="00000000" w14:paraId="00000012">
      <w:pPr>
        <w:pageBreakBefore w:val="0"/>
        <w:tabs>
          <w:tab w:val="left" w:leader="none" w:pos="567"/>
        </w:tabs>
        <w:spacing w:after="120" w:lineRule="auto"/>
        <w:ind w:left="567" w:right="370.2755905511822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registr: Městský soud v Praze, C264634</w:t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567"/>
        </w:tabs>
        <w:spacing w:after="120" w:lineRule="auto"/>
        <w:ind w:left="567" w:right="370.275590551182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IČ: 04303342, DIČ: CZ04303342</w:t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567"/>
        </w:tabs>
        <w:spacing w:after="120" w:lineRule="auto"/>
        <w:ind w:left="567" w:right="370.275590551182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bankovní spojení: ČSOB</w:t>
      </w:r>
    </w:p>
    <w:p w:rsidR="00000000" w:rsidDel="00000000" w:rsidP="00000000" w:rsidRDefault="00000000" w:rsidRPr="00000000" w14:paraId="00000015">
      <w:pPr>
        <w:pageBreakBefore w:val="0"/>
        <w:tabs>
          <w:tab w:val="left" w:leader="none" w:pos="567"/>
        </w:tabs>
        <w:spacing w:after="120" w:lineRule="auto"/>
        <w:ind w:left="567" w:right="370.275590551182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číslo účtu: 279115058/0300</w:t>
      </w:r>
    </w:p>
    <w:p w:rsidR="00000000" w:rsidDel="00000000" w:rsidP="00000000" w:rsidRDefault="00000000" w:rsidRPr="00000000" w14:paraId="00000016">
      <w:pPr>
        <w:pageBreakBefore w:val="0"/>
        <w:tabs>
          <w:tab w:val="left" w:leader="none" w:pos="567"/>
        </w:tabs>
        <w:spacing w:after="120" w:lineRule="auto"/>
        <w:ind w:left="567" w:right="370.2755905511822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zastoupená: Danielem Večerkou, jednatelem společnosti</w:t>
      </w:r>
    </w:p>
    <w:p w:rsidR="00000000" w:rsidDel="00000000" w:rsidP="00000000" w:rsidRDefault="00000000" w:rsidRPr="00000000" w14:paraId="00000017">
      <w:pPr>
        <w:pageBreakBefore w:val="0"/>
        <w:tabs>
          <w:tab w:val="left" w:leader="none" w:pos="567"/>
        </w:tabs>
        <w:spacing w:after="120" w:lineRule="auto"/>
        <w:ind w:left="567" w:right="370.275590551182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kontakt: 777 269 921, daniel.vecerka@cleanlife.cz</w:t>
      </w:r>
    </w:p>
    <w:p w:rsidR="00000000" w:rsidDel="00000000" w:rsidP="00000000" w:rsidRDefault="00000000" w:rsidRPr="00000000" w14:paraId="00000018">
      <w:pPr>
        <w:pageBreakBefore w:val="0"/>
        <w:tabs>
          <w:tab w:val="left" w:leader="none" w:pos="567"/>
        </w:tabs>
        <w:spacing w:after="120" w:lineRule="auto"/>
        <w:ind w:left="567" w:right="370.275590551182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(dále jen „zhotovitel“)</w:t>
      </w:r>
    </w:p>
    <w:p w:rsidR="00000000" w:rsidDel="00000000" w:rsidP="00000000" w:rsidRDefault="00000000" w:rsidRPr="00000000" w14:paraId="00000019">
      <w:pPr>
        <w:pageBreakBefore w:val="0"/>
        <w:tabs>
          <w:tab w:val="left" w:leader="none" w:pos="567"/>
        </w:tabs>
        <w:spacing w:after="120" w:lineRule="auto"/>
        <w:ind w:left="567" w:right="370.275590551182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567" w:right="370.275590551182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uzavírají spolu tuto smlouvu o dílo: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567" w:right="370.275590551182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567" w:right="370.27559055118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Článek I.</w:t>
      </w:r>
    </w:p>
    <w:p w:rsidR="00000000" w:rsidDel="00000000" w:rsidP="00000000" w:rsidRDefault="00000000" w:rsidRPr="00000000" w14:paraId="0000001D">
      <w:pPr>
        <w:pageBreakBefore w:val="0"/>
        <w:tabs>
          <w:tab w:val="left" w:leader="none" w:pos="567"/>
        </w:tabs>
        <w:spacing w:after="120" w:lineRule="auto"/>
        <w:ind w:left="567" w:right="370.2755905511822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Předmět smlouvy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základě této smlouvy se zhotovitel zavazuje za podmínek obsažených v této smlouvě, na svůj náklad a na své nebezpečí a v níže uvedeném termínu provést pro objednatele dílo spočívající v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ošetření stávající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podlahoviny,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blíže specifikované v cenové nabídce č.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CN20230269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61"/>
        </w:tabs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Termín provedení díla je 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31.12.2023,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přičemž předmět díla je sjednán jako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Ošetření podlah ve společenské místnosti a jídelně.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961"/>
        </w:tabs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40" w:w="11910" w:orient="portrait"/>
          <w:pgMar w:bottom="1320" w:top="1500" w:left="600" w:right="740" w:header="399" w:footer="1125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Objednatel se zavazuje dílo převzít a zaplatit za něj cenu díla sjednanou v čl. V. této smlouvy.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Článek II.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Práva a povinnosti zhotovitele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Zhotovitel se zejména zavazuje že: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dílo bude provedeno dle pokynů objednavatele a ve standardní kvalitě požadované objednavatelem,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zajistí poučení svých zaměstnanců o zásadách dodržování pravidel bezpečnosti práce, požární ochrany,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pracovníci zhotovitele jsou povinni odevzdat nalezené věci objednateli a zachovávat mlčenlivost,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 započetím plnění podle smlouvy předloží zhotovitel objednateli seznam pracovníků, kteří budou vstupovat do objektu objednatele; v případě změny bude seznam aktualizován.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370.2755905511822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Článek III.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Obchodní podmínky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Sankce – smluvní pokuta a úrok z prodlení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případě, že zhotovitel nedodrží termíny prací uvedené v příloze č. 1 - cenová nabídka této Smlouvy, má objednavatel právo uplatnit vůči němu smluvní pokutu ve výši 0,05% z ceny díla za každý i započatý den prodlení.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Při nedodržení termínu splatnosti faktury objednavatelem má zhotovitel právo uplatnit vůči němu smluvní pokutu ve výši 0,05% z ceny díla za každý i započatý den prodlení. Právo na náhradu škody není tímto ustanovením dotčeno.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pokuta dle smlouvy je splatná do 14 dnů od vyčíslení a doručení druhé smluvní straně, na základě faktury vystavené dotčenou smluvní stranou, nedohodnou-li se smluvní strany písemně jinak.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Náhrada škody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Zhotovitel, prohlašuje, že má uzavřeno pojištění odpovědnosti za škodu, s pojistným plněním ve výši 5.000.000,- Kč, a v této výši se jej zavazuje po celou dobu trvání této smlouvy udržovat.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Zhotovitel odpovídá za veškerou způsobenou škodu a to porušením ustanovení Smlouvy, opomenutím nebo zásadně nekvalitním prováděním smluvní činnosti v plné výši. O náhradě škody platí obecná ustanovení občanského zákoníku v platném znění.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0"/>
          <w:tab w:val="left" w:leader="none" w:pos="961"/>
        </w:tabs>
        <w:spacing w:after="120" w:before="0" w:line="240" w:lineRule="auto"/>
        <w:ind w:left="567" w:right="370.2755905511822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Ochrana informací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Obě smluvní strany se zavazují, že zachovají jako důvěrné informace a zprávy týkající se vlastní spolupráce a vnitřních záležitostí smluvních stran a předmětu smlouvy, pokud by jejich zveřejnění mohlo poškodit druhou stranu. Povinnosti poskytovat informace podle zákona č. 106/1999 Sb., o svobodném přístupu k informacím, ve znění pozdějších předpisů a zákona č. 134/2016 Sb., o zadávání veřejných zakázek, ve znění pozdějších předpisů, není tímto ustanovením dotčena.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strany budou považovat za důvěrné informace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jako důvěrné označené,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informace, u kterých se z povahy věci dá předpokládat, že se jedná o informace podléhající závazku mlčenlivosti nebo informace o objednateli, které by mohly z povahy věci být považovány za důvěrné a které se dozvědí v souvislosti s plněním smlouvy.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Zhotovitel předem výslovně souhlasí s využitím jeho osobních údajů objednatelem pro účely vnitřní potřeby a kontroly a dále pro informování veřejnosti o jeho činnosti. Za tímto účelem je objednateli konstatován i souhlas zhotovitele s možným zpřístupněním či zveřejněním celé smlouvy v plném znění, jakož i všech jednání a okolností se smlouvou souvisejících.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0"/>
          <w:tab w:val="left" w:leader="none" w:pos="961"/>
        </w:tabs>
        <w:spacing w:after="120" w:before="0" w:line="240" w:lineRule="auto"/>
        <w:ind w:left="567" w:right="370.2755905511822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Ukončení smluvního vztahu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 provedením díla lze platnost smlouvy ukončit: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2"/>
          <w:tab w:val="left" w:leader="none" w:pos="1333"/>
        </w:tabs>
        <w:spacing w:after="120" w:before="0" w:line="240" w:lineRule="auto"/>
        <w:ind w:left="567" w:right="370.275590551182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odstoupením kterékoli ze smluvních stran z důvodu podstatného porušení povinností stanovených touto smlouvou druhou smluvní stranou;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5"/>
          <w:tab w:val="left" w:leader="none" w:pos="1376"/>
        </w:tabs>
        <w:spacing w:after="120" w:before="0" w:line="240" w:lineRule="auto"/>
        <w:ind w:left="567" w:right="370.275590551182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dohodou smluvních stran.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5"/>
          <w:tab w:val="left" w:leader="none" w:pos="1376"/>
        </w:tabs>
        <w:spacing w:after="120" w:before="0" w:line="240" w:lineRule="auto"/>
        <w:ind w:left="567" w:right="370.2755905511822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0"/>
          <w:tab w:val="left" w:leader="none" w:pos="961"/>
        </w:tabs>
        <w:spacing w:after="120" w:before="0" w:line="240" w:lineRule="auto"/>
        <w:ind w:left="567" w:right="370.2755905511822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Rozhodné právo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Vztahy mezi smluvními stranami smlouvou výslovně neupravené se budou řídit českými, obecně závaznými právními předpisy, zejména občanským zákoníkem v platném znění.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případě vzniku sporu při provádění této smlouvy nebo v přímé souvislosti s ní, zavazují se smluvní strany snažit takový spor vyřešit nejprve smírně jednáním. Jestliže se spor nepodaří vyřešit smírně jednáním, bude předložen stranou dotčenou k rozhodnutí místně a věcně příslušnému soudu druhé smluvní strany.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Článek IV.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Doba trvání smluvního vztahu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370.275590551182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a účinnosti dnem podpisu obou smluvních stran a uzavírá se na dobu určitou, tj. na dobu jednorázového provedení předmětu díla dle této smlouvy.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370.275590551182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6.9291338582675" w:right="370.27559055118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Článek V.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6.9291338582675" w:right="370.2755905511822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Cena a platební podmínky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6.9291338582675" w:right="370.275590551182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cena odpovídá rozsahu a druhu prací předmětu této smlouvy.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6.9291338582675" w:right="370.2755905511822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Celková nabídková cena:</w:t>
      </w:r>
      <w:r w:rsidDel="00000000" w:rsidR="00000000" w:rsidRPr="00000000">
        <w:rPr>
          <w:rtl w:val="0"/>
        </w:rPr>
      </w:r>
    </w:p>
    <w:tbl>
      <w:tblPr>
        <w:tblStyle w:val="Table1"/>
        <w:tblW w:w="9551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294"/>
        <w:gridCol w:w="3118"/>
        <w:gridCol w:w="2139"/>
        <w:tblGridChange w:id="0">
          <w:tblGrid>
            <w:gridCol w:w="4294"/>
            <w:gridCol w:w="3118"/>
            <w:gridCol w:w="2139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120" w:lineRule="auto"/>
              <w:ind w:left="608" w:right="370.275590551182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Cenová nabídka bez DPH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120" w:lineRule="auto"/>
              <w:ind w:left="0" w:right="370.2755905511822" w:firstLine="27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63 398,88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120" w:lineRule="auto"/>
              <w:ind w:left="551" w:right="370.2755905511822" w:firstLine="27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Kč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120" w:lineRule="auto"/>
              <w:ind w:left="608" w:right="370.275590551182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Celkem DPH (15 %)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370.2755905511822" w:firstLine="27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9 756,77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120" w:lineRule="auto"/>
              <w:ind w:left="551" w:right="370.2755905511822" w:firstLine="27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Kč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120" w:lineRule="auto"/>
              <w:ind w:left="608" w:right="370.275590551182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Celková cena včetně DPH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120" w:lineRule="auto"/>
              <w:ind w:left="0" w:right="370.2755905511822" w:firstLine="27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73 155,65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120" w:lineRule="auto"/>
              <w:ind w:left="551" w:right="370.2755905511822" w:firstLine="27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Kč</w:t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370.27559055118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134" w:right="370.2755905511822" w:hanging="567.07086614173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Smluvní cena zahrnuje veškeré náklady zhotovitele na provedení Díla včetně úklidu a dopravy na místo realizace Díla. Objednatel neposkytuje zálohy.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120" w:before="0" w:line="240" w:lineRule="auto"/>
        <w:ind w:left="1134" w:right="370.2755905511822" w:hanging="567.07086614173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Fakturace (vystavení daňového dokladu) za provedené práce bude se splatností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14 dní od předání díla.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120" w:before="0" w:line="240" w:lineRule="auto"/>
        <w:ind w:left="1134" w:right="370.2755905511822" w:hanging="567.07086614173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Překročení smluvené ceny se nepřipouští – nabídkovou cenu není možné překročit, cena obsahuje veškeré náklady dodavatele nutné k realizaci předmětu smlouvy a je neměnná po celou dobu trvání smluvního vztahu.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120" w:before="0" w:line="240" w:lineRule="auto"/>
        <w:ind w:left="1134" w:right="370.2755905511822" w:hanging="567.07086614173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Objednatel má právo daňový doklad před uplynutím lhůty jeho splatnosti vrátit, aniž by došlo k prodlení s jeho úhradou, obsahuje-li nesprávné údaje nebo náležitosti dle uvedených právních předpisů. Nová lhůta splatnosti v délce 14 dnů počne plynout ode dne doručení opraveného daňového dokladu objednateli.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120" w:before="0" w:line="240" w:lineRule="auto"/>
        <w:ind w:left="1134" w:right="370.2755905511822" w:hanging="567.07086614173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Platby budou probíhat výhradně v Kč a rovněž veškeré cenové údaje budou v této měně.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120" w:before="0" w:line="240" w:lineRule="auto"/>
        <w:ind w:left="960" w:right="370.2755905511822" w:hanging="393.0708661417324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134" w:right="370.2755905511822" w:hanging="567.0708661417325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Článek VI.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134" w:right="370.2755905511822" w:hanging="567.0708661417325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Další ujednání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120" w:before="0" w:line="240" w:lineRule="auto"/>
        <w:ind w:left="1134" w:right="370.2755905511822" w:hanging="567.07086614173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Obě strany se zavazují v průběhu smluvního období spolupracovat při realizaci předmětu smlouvy. Objednatel i zhotovitel k tomuto účelu určí osobu, které budou tuto spolupráci zajišťovat. Osoba zhotovitele bude zabezpečovat organizaci práce a provádět kontrolu provedených prací, osoba zhotovitele se bude na kontrole podílet a bude zajišťovat reklamaci v případě potřeby.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120" w:before="0" w:line="240" w:lineRule="auto"/>
        <w:ind w:left="1134" w:right="370.2755905511822" w:hanging="567.07086614173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Obě strany se zavazují nejpozději při ukončení smlouvy vrátit druhé straně veškeré písemnosti, které jí náleží. Rovněž se zavazují během trvání smlouvy vrátit i po jejím ukončení zachovat mlčenlivost o znalostech a informacích, o nichž se dozvěděli v souvislosti s realizací této smlouvy, týkající se druhé smluvní strany.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120" w:before="0" w:line="240" w:lineRule="auto"/>
        <w:ind w:left="1134" w:right="370.2755905511822" w:hanging="567.07086614173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 účelu naplnění smlouvy se objednatel zavazuje zajistit přístup zaměstnanců zhotovitele ve stanovené době do všech prostor, v nichž je prováděno plnění předmětu této  smlouvy.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120" w:before="0" w:line="240" w:lineRule="auto"/>
        <w:ind w:left="1134" w:right="370.2755905511822" w:hanging="567.07086614173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Změny a doplňky smlouvy budou prováděny výhradně po vzájemné dohodě formou písemných vzestupně číslovaných dodatků.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120" w:before="0" w:line="240" w:lineRule="auto"/>
        <w:ind w:left="1134" w:right="370.2755905511822" w:hanging="567.07086614173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vypracována ve dvou stejnopisech s platností originálu, z nichž jeden obdrží objednatel a jeden zhotovitel.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120" w:before="0" w:line="240" w:lineRule="auto"/>
        <w:ind w:left="1134" w:right="370.2755905511822" w:hanging="567.07086614173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Obě smluvní strany prohlašují, že se seznámily s obsahem této smlouvy, že tato byla uzavřena podle jejich pravé a svobodné vůle, vážně a srozumitelně, nikoliv v tísni za nápadně nevýhodných podmínek, což stvrzují svými podpisy.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120" w:before="0" w:line="240" w:lineRule="auto"/>
        <w:ind w:left="1134" w:right="370.2755905511822" w:hanging="567.07086614173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Práva a povinnosti vyplývající z této smlouvy nelze bez souhlasu druhé smluvní strany převádět na třetí stranu.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120" w:before="0" w:line="240" w:lineRule="auto"/>
        <w:ind w:left="1134" w:right="370.2755905511822" w:hanging="567.07086614173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Nedílnou součástí smlouvy je příloha č. 1 - cenová nabídka.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120" w:before="0" w:line="240" w:lineRule="auto"/>
        <w:ind w:left="1134" w:right="370.2755905511822" w:hanging="567.07086614173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Zhotovitel je srozuměn s tím, že kupující je povinen zveřejnit obraz smlouvy a jejích případných změn (dodatků) a dalších dokumentů od této smlouvy odvozených včetně metadat požadovaných k uveřejnění dle zákona č. 340/2015 Sb., o registru smluv, v platném znění. Zveřejnění smlouvy a metadat v registru smluv zajistí objednatel. Objednatel má právo tuto smlouvu zveřejnit rovněž v pochybnostech o tom, zda tato smlouva zveřejnění podléhá či nikoliv. Objednatel současně upozorňuje zhotovitele, že v souladu s ust. § 6 zákona o registru smluv nabývá smlouva účinnosti dnem uveřejnění, o čemž budou strany informovány. Uveřejnění smlouvy zajistí objednatel.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120" w:before="0" w:line="240" w:lineRule="auto"/>
        <w:ind w:left="1134" w:right="370.2755905511822" w:hanging="567.07086614173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Kontaktní osobou zhotovitele je Daniel Večerka, jednatel, tel.: 777 269 921, email: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info@cleanlife.cz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120" w:before="0" w:line="240" w:lineRule="auto"/>
        <w:ind w:right="370.2755905511822"/>
        <w:jc w:val="both"/>
        <w:rPr>
          <w:rFonts w:ascii="Calibri" w:cs="Calibri" w:eastAsia="Calibri" w:hAnsi="Calibri"/>
          <w:color w:val="80808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0.0" w:type="dxa"/>
        <w:jc w:val="left"/>
        <w:tblInd w:w="56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05"/>
        <w:gridCol w:w="5055"/>
        <w:tblGridChange w:id="0">
          <w:tblGrid>
            <w:gridCol w:w="4905"/>
            <w:gridCol w:w="5055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0.2755905511822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Dne 08.11.2023 v Jeseníku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0.2755905511822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Dne………………….. ve Vodňanech</w:t>
            </w:r>
          </w:p>
        </w:tc>
      </w:tr>
      <w:tr>
        <w:trPr>
          <w:cantSplit w:val="0"/>
          <w:trHeight w:val="1183.55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0.2755905511822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ind w:right="370.275590551182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</w:t>
            </w:r>
          </w:p>
        </w:tc>
      </w:tr>
      <w:tr>
        <w:trPr>
          <w:cantSplit w:val="0"/>
          <w:trHeight w:val="343.554687499999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0.2755905511822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Daniel Večerka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0.2755905511822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jednatel společnosti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0.2755905511822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Mgr. Bc. Daniela Davidová, MBA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0.2755905511822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ředitelka organizace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pageBreakBefore w:val="0"/>
        <w:ind w:left="0" w:right="370.2755905511822" w:firstLine="0"/>
        <w:rPr>
          <w:rFonts w:ascii="Calibri" w:cs="Calibri" w:eastAsia="Calibri" w:hAnsi="Calibri"/>
          <w:color w:val="808080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320" w:top="1500" w:left="600" w:right="740" w:header="399" w:footer="112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403859</wp:posOffset>
          </wp:positionH>
          <wp:positionV relativeFrom="page">
            <wp:posOffset>253364</wp:posOffset>
          </wp:positionV>
          <wp:extent cx="6558280" cy="666115"/>
          <wp:effectExtent b="0" l="0" r="0" t="0"/>
          <wp:wrapSquare wrapText="bothSides" distB="0" distT="0" distL="0" distR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58280" cy="666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72" w:hanging="348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bullet"/>
      <w:lvlText w:val="•"/>
      <w:lvlJc w:val="left"/>
      <w:pPr>
        <w:ind w:left="1938" w:hanging="348"/>
      </w:pPr>
      <w:rPr/>
    </w:lvl>
    <w:lvl w:ilvl="2">
      <w:start w:val="1"/>
      <w:numFmt w:val="bullet"/>
      <w:lvlText w:val="•"/>
      <w:lvlJc w:val="left"/>
      <w:pPr>
        <w:ind w:left="2897" w:hanging="348"/>
      </w:pPr>
      <w:rPr/>
    </w:lvl>
    <w:lvl w:ilvl="3">
      <w:start w:val="1"/>
      <w:numFmt w:val="bullet"/>
      <w:lvlText w:val="•"/>
      <w:lvlJc w:val="left"/>
      <w:pPr>
        <w:ind w:left="3855" w:hanging="348"/>
      </w:pPr>
      <w:rPr/>
    </w:lvl>
    <w:lvl w:ilvl="4">
      <w:start w:val="1"/>
      <w:numFmt w:val="bullet"/>
      <w:lvlText w:val="•"/>
      <w:lvlJc w:val="left"/>
      <w:pPr>
        <w:ind w:left="4814" w:hanging="348"/>
      </w:pPr>
      <w:rPr/>
    </w:lvl>
    <w:lvl w:ilvl="5">
      <w:start w:val="1"/>
      <w:numFmt w:val="bullet"/>
      <w:lvlText w:val="•"/>
      <w:lvlJc w:val="left"/>
      <w:pPr>
        <w:ind w:left="5773" w:hanging="348"/>
      </w:pPr>
      <w:rPr/>
    </w:lvl>
    <w:lvl w:ilvl="6">
      <w:start w:val="1"/>
      <w:numFmt w:val="bullet"/>
      <w:lvlText w:val="•"/>
      <w:lvlJc w:val="left"/>
      <w:pPr>
        <w:ind w:left="6731" w:hanging="347.9999999999991"/>
      </w:pPr>
      <w:rPr/>
    </w:lvl>
    <w:lvl w:ilvl="7">
      <w:start w:val="1"/>
      <w:numFmt w:val="bullet"/>
      <w:lvlText w:val="•"/>
      <w:lvlJc w:val="left"/>
      <w:pPr>
        <w:ind w:left="7690" w:hanging="348"/>
      </w:pPr>
      <w:rPr/>
    </w:lvl>
    <w:lvl w:ilvl="8">
      <w:start w:val="1"/>
      <w:numFmt w:val="bullet"/>
      <w:lvlText w:val="•"/>
      <w:lvlJc w:val="left"/>
      <w:pPr>
        <w:ind w:left="8649" w:hanging="348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27" w:hanging="416"/>
      </w:pPr>
      <w:rPr>
        <w:rFonts w:ascii="Arial" w:cs="Arial" w:eastAsia="Arial" w:hAnsi="Arial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332" w:hanging="360.0000000000002"/>
      </w:pPr>
      <w:rPr>
        <w:sz w:val="24"/>
        <w:szCs w:val="24"/>
      </w:rPr>
    </w:lvl>
    <w:lvl w:ilvl="2">
      <w:start w:val="1"/>
      <w:numFmt w:val="bullet"/>
      <w:lvlText w:val="•"/>
      <w:lvlJc w:val="left"/>
      <w:pPr>
        <w:ind w:left="2365" w:hanging="360"/>
      </w:pPr>
      <w:rPr/>
    </w:lvl>
    <w:lvl w:ilvl="3">
      <w:start w:val="1"/>
      <w:numFmt w:val="bullet"/>
      <w:lvlText w:val="•"/>
      <w:lvlJc w:val="left"/>
      <w:pPr>
        <w:ind w:left="3390" w:hanging="360"/>
      </w:pPr>
      <w:rPr/>
    </w:lvl>
    <w:lvl w:ilvl="4">
      <w:start w:val="1"/>
      <w:numFmt w:val="bullet"/>
      <w:lvlText w:val="•"/>
      <w:lvlJc w:val="left"/>
      <w:pPr>
        <w:ind w:left="4415" w:hanging="360"/>
      </w:pPr>
      <w:rPr/>
    </w:lvl>
    <w:lvl w:ilvl="5">
      <w:start w:val="1"/>
      <w:numFmt w:val="bullet"/>
      <w:lvlText w:val="•"/>
      <w:lvlJc w:val="left"/>
      <w:pPr>
        <w:ind w:left="5440" w:hanging="360"/>
      </w:pPr>
      <w:rPr/>
    </w:lvl>
    <w:lvl w:ilvl="6">
      <w:start w:val="1"/>
      <w:numFmt w:val="bullet"/>
      <w:lvlText w:val="•"/>
      <w:lvlJc w:val="left"/>
      <w:pPr>
        <w:ind w:left="6465" w:hanging="360"/>
      </w:pPr>
      <w:rPr/>
    </w:lvl>
    <w:lvl w:ilvl="7">
      <w:start w:val="1"/>
      <w:numFmt w:val="bullet"/>
      <w:lvlText w:val="•"/>
      <w:lvlJc w:val="left"/>
      <w:pPr>
        <w:ind w:left="7490" w:hanging="360"/>
      </w:pPr>
      <w:rPr/>
    </w:lvl>
    <w:lvl w:ilvl="8">
      <w:start w:val="1"/>
      <w:numFmt w:val="bullet"/>
      <w:lvlText w:val="•"/>
      <w:lvlJc w:val="left"/>
      <w:pPr>
        <w:ind w:left="8516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972" w:hanging="348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572" w:hanging="360"/>
      </w:pPr>
      <w:rPr>
        <w:rFonts w:ascii="Tahoma" w:cs="Tahoma" w:eastAsia="Tahoma" w:hAnsi="Tahoma"/>
        <w:b w:val="1"/>
        <w:sz w:val="22"/>
        <w:szCs w:val="22"/>
      </w:rPr>
    </w:lvl>
    <w:lvl w:ilvl="2">
      <w:start w:val="1"/>
      <w:numFmt w:val="bullet"/>
      <w:lvlText w:val="•"/>
      <w:lvlJc w:val="left"/>
      <w:pPr>
        <w:ind w:left="2578" w:hanging="360"/>
      </w:pPr>
      <w:rPr/>
    </w:lvl>
    <w:lvl w:ilvl="3">
      <w:start w:val="1"/>
      <w:numFmt w:val="bullet"/>
      <w:lvlText w:val="•"/>
      <w:lvlJc w:val="left"/>
      <w:pPr>
        <w:ind w:left="3576" w:hanging="360"/>
      </w:pPr>
      <w:rPr/>
    </w:lvl>
    <w:lvl w:ilvl="4">
      <w:start w:val="1"/>
      <w:numFmt w:val="bullet"/>
      <w:lvlText w:val="•"/>
      <w:lvlJc w:val="left"/>
      <w:pPr>
        <w:ind w:left="4575" w:hanging="360"/>
      </w:pPr>
      <w:rPr/>
    </w:lvl>
    <w:lvl w:ilvl="5">
      <w:start w:val="1"/>
      <w:numFmt w:val="bullet"/>
      <w:lvlText w:val="•"/>
      <w:lvlJc w:val="left"/>
      <w:pPr>
        <w:ind w:left="5573" w:hanging="360"/>
      </w:pPr>
      <w:rPr/>
    </w:lvl>
    <w:lvl w:ilvl="6">
      <w:start w:val="1"/>
      <w:numFmt w:val="bullet"/>
      <w:lvlText w:val="•"/>
      <w:lvlJc w:val="left"/>
      <w:pPr>
        <w:ind w:left="6572" w:hanging="360"/>
      </w:pPr>
      <w:rPr/>
    </w:lvl>
    <w:lvl w:ilvl="7">
      <w:start w:val="1"/>
      <w:numFmt w:val="bullet"/>
      <w:lvlText w:val="•"/>
      <w:lvlJc w:val="left"/>
      <w:pPr>
        <w:ind w:left="7570" w:hanging="360"/>
      </w:pPr>
      <w:rPr/>
    </w:lvl>
    <w:lvl w:ilvl="8">
      <w:start w:val="1"/>
      <w:numFmt w:val="bullet"/>
      <w:lvlText w:val="•"/>
      <w:lvlJc w:val="left"/>
      <w:pPr>
        <w:ind w:left="8569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960" w:hanging="426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bullet"/>
      <w:lvlText w:val="•"/>
      <w:lvlJc w:val="left"/>
      <w:pPr>
        <w:ind w:left="1920" w:hanging="426"/>
      </w:pPr>
      <w:rPr/>
    </w:lvl>
    <w:lvl w:ilvl="2">
      <w:start w:val="1"/>
      <w:numFmt w:val="bullet"/>
      <w:lvlText w:val="•"/>
      <w:lvlJc w:val="left"/>
      <w:pPr>
        <w:ind w:left="2881" w:hanging="425.99999999999955"/>
      </w:pPr>
      <w:rPr/>
    </w:lvl>
    <w:lvl w:ilvl="3">
      <w:start w:val="1"/>
      <w:numFmt w:val="bullet"/>
      <w:lvlText w:val="•"/>
      <w:lvlJc w:val="left"/>
      <w:pPr>
        <w:ind w:left="3841" w:hanging="426"/>
      </w:pPr>
      <w:rPr/>
    </w:lvl>
    <w:lvl w:ilvl="4">
      <w:start w:val="1"/>
      <w:numFmt w:val="bullet"/>
      <w:lvlText w:val="•"/>
      <w:lvlJc w:val="left"/>
      <w:pPr>
        <w:ind w:left="4802" w:hanging="426"/>
      </w:pPr>
      <w:rPr/>
    </w:lvl>
    <w:lvl w:ilvl="5">
      <w:start w:val="1"/>
      <w:numFmt w:val="bullet"/>
      <w:lvlText w:val="•"/>
      <w:lvlJc w:val="left"/>
      <w:pPr>
        <w:ind w:left="5763" w:hanging="426.0000000000018"/>
      </w:pPr>
      <w:rPr/>
    </w:lvl>
    <w:lvl w:ilvl="6">
      <w:start w:val="1"/>
      <w:numFmt w:val="bullet"/>
      <w:lvlText w:val="•"/>
      <w:lvlJc w:val="left"/>
      <w:pPr>
        <w:ind w:left="6723" w:hanging="426.0000000000018"/>
      </w:pPr>
      <w:rPr/>
    </w:lvl>
    <w:lvl w:ilvl="7">
      <w:start w:val="1"/>
      <w:numFmt w:val="bullet"/>
      <w:lvlText w:val="•"/>
      <w:lvlJc w:val="left"/>
      <w:pPr>
        <w:ind w:left="7684" w:hanging="426"/>
      </w:pPr>
      <w:rPr/>
    </w:lvl>
    <w:lvl w:ilvl="8">
      <w:start w:val="1"/>
      <w:numFmt w:val="bullet"/>
      <w:lvlText w:val="•"/>
      <w:lvlJc w:val="left"/>
      <w:pPr>
        <w:ind w:left="8645" w:hanging="426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960" w:hanging="348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bullet"/>
      <w:lvlText w:val="•"/>
      <w:lvlJc w:val="left"/>
      <w:pPr>
        <w:ind w:left="980" w:hanging="348"/>
      </w:pPr>
      <w:rPr/>
    </w:lvl>
    <w:lvl w:ilvl="2">
      <w:start w:val="1"/>
      <w:numFmt w:val="bullet"/>
      <w:lvlText w:val="•"/>
      <w:lvlJc w:val="left"/>
      <w:pPr>
        <w:ind w:left="2045" w:hanging="348"/>
      </w:pPr>
      <w:rPr/>
    </w:lvl>
    <w:lvl w:ilvl="3">
      <w:start w:val="1"/>
      <w:numFmt w:val="bullet"/>
      <w:lvlText w:val="•"/>
      <w:lvlJc w:val="left"/>
      <w:pPr>
        <w:ind w:left="3110" w:hanging="348"/>
      </w:pPr>
      <w:rPr/>
    </w:lvl>
    <w:lvl w:ilvl="4">
      <w:start w:val="1"/>
      <w:numFmt w:val="bullet"/>
      <w:lvlText w:val="•"/>
      <w:lvlJc w:val="left"/>
      <w:pPr>
        <w:ind w:left="4175" w:hanging="348"/>
      </w:pPr>
      <w:rPr/>
    </w:lvl>
    <w:lvl w:ilvl="5">
      <w:start w:val="1"/>
      <w:numFmt w:val="bullet"/>
      <w:lvlText w:val="•"/>
      <w:lvlJc w:val="left"/>
      <w:pPr>
        <w:ind w:left="5240" w:hanging="348"/>
      </w:pPr>
      <w:rPr/>
    </w:lvl>
    <w:lvl w:ilvl="6">
      <w:start w:val="1"/>
      <w:numFmt w:val="bullet"/>
      <w:lvlText w:val="•"/>
      <w:lvlJc w:val="left"/>
      <w:pPr>
        <w:ind w:left="6305" w:hanging="348"/>
      </w:pPr>
      <w:rPr/>
    </w:lvl>
    <w:lvl w:ilvl="7">
      <w:start w:val="1"/>
      <w:numFmt w:val="bullet"/>
      <w:lvlText w:val="•"/>
      <w:lvlJc w:val="left"/>
      <w:pPr>
        <w:ind w:left="7370" w:hanging="348"/>
      </w:pPr>
      <w:rPr/>
    </w:lvl>
    <w:lvl w:ilvl="8">
      <w:start w:val="1"/>
      <w:numFmt w:val="bullet"/>
      <w:lvlText w:val="•"/>
      <w:lvlJc w:val="left"/>
      <w:pPr>
        <w:ind w:left="8436" w:hanging="347.9999999999991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960" w:hanging="348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972" w:hanging="286"/>
      </w:pPr>
      <w:rPr>
        <w:rFonts w:ascii="Calibri" w:cs="Calibri" w:eastAsia="Calibri" w:hAnsi="Calibri"/>
        <w:sz w:val="22"/>
        <w:szCs w:val="22"/>
      </w:rPr>
    </w:lvl>
    <w:lvl w:ilvl="2">
      <w:start w:val="1"/>
      <w:numFmt w:val="bullet"/>
      <w:lvlText w:val="•"/>
      <w:lvlJc w:val="left"/>
      <w:pPr>
        <w:ind w:left="2045" w:hanging="286"/>
      </w:pPr>
      <w:rPr/>
    </w:lvl>
    <w:lvl w:ilvl="3">
      <w:start w:val="1"/>
      <w:numFmt w:val="bullet"/>
      <w:lvlText w:val="•"/>
      <w:lvlJc w:val="left"/>
      <w:pPr>
        <w:ind w:left="3110" w:hanging="286"/>
      </w:pPr>
      <w:rPr/>
    </w:lvl>
    <w:lvl w:ilvl="4">
      <w:start w:val="1"/>
      <w:numFmt w:val="bullet"/>
      <w:lvlText w:val="•"/>
      <w:lvlJc w:val="left"/>
      <w:pPr>
        <w:ind w:left="4175" w:hanging="286"/>
      </w:pPr>
      <w:rPr/>
    </w:lvl>
    <w:lvl w:ilvl="5">
      <w:start w:val="1"/>
      <w:numFmt w:val="bullet"/>
      <w:lvlText w:val="•"/>
      <w:lvlJc w:val="left"/>
      <w:pPr>
        <w:ind w:left="5240" w:hanging="286"/>
      </w:pPr>
      <w:rPr/>
    </w:lvl>
    <w:lvl w:ilvl="6">
      <w:start w:val="1"/>
      <w:numFmt w:val="bullet"/>
      <w:lvlText w:val="•"/>
      <w:lvlJc w:val="left"/>
      <w:pPr>
        <w:ind w:left="6305" w:hanging="286"/>
      </w:pPr>
      <w:rPr/>
    </w:lvl>
    <w:lvl w:ilvl="7">
      <w:start w:val="1"/>
      <w:numFmt w:val="bullet"/>
      <w:lvlText w:val="•"/>
      <w:lvlJc w:val="left"/>
      <w:pPr>
        <w:ind w:left="7370" w:hanging="286"/>
      </w:pPr>
      <w:rPr/>
    </w:lvl>
    <w:lvl w:ilvl="8">
      <w:start w:val="1"/>
      <w:numFmt w:val="bullet"/>
      <w:lvlText w:val="•"/>
      <w:lvlJc w:val="left"/>
      <w:pPr>
        <w:ind w:left="8436" w:hanging="286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20" w:lineRule="auto"/>
      <w:ind w:left="1324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120" w:lineRule="auto"/>
      <w:ind w:left="1324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uiPriority w:val="1"/>
    <w:qFormat w:val="1"/>
    <w:rPr>
      <w:rFonts w:ascii="Arial" w:cs="Arial" w:eastAsia="Arial" w:hAnsi="Arial"/>
      <w:lang w:val="cs-CZ"/>
    </w:rPr>
  </w:style>
  <w:style w:type="paragraph" w:styleId="Nadpis1">
    <w:name w:val="heading 1"/>
    <w:basedOn w:val="Normln"/>
    <w:uiPriority w:val="1"/>
    <w:qFormat w:val="1"/>
    <w:pPr>
      <w:spacing w:before="120"/>
      <w:ind w:left="1324"/>
      <w:jc w:val="center"/>
      <w:outlineLvl w:val="0"/>
    </w:pPr>
    <w:rPr>
      <w:b w:val="1"/>
      <w:bCs w:val="1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9429FB"/>
    <w:pPr>
      <w:keepNext w:val="1"/>
      <w:keepLines w:val="1"/>
      <w:spacing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kladntext">
    <w:name w:val="Body Text"/>
    <w:basedOn w:val="Normln"/>
    <w:uiPriority w:val="1"/>
    <w:qFormat w:val="1"/>
    <w:rPr>
      <w:sz w:val="24"/>
      <w:szCs w:val="24"/>
    </w:rPr>
  </w:style>
  <w:style w:type="paragraph" w:styleId="Odstavecseseznamem">
    <w:name w:val="List Paragraph"/>
    <w:basedOn w:val="Normln"/>
    <w:uiPriority w:val="1"/>
    <w:qFormat w:val="1"/>
    <w:pPr>
      <w:spacing w:before="120"/>
      <w:ind w:left="972" w:hanging="360"/>
    </w:pPr>
  </w:style>
  <w:style w:type="paragraph" w:styleId="TableParagraph" w:customStyle="1">
    <w:name w:val="Table Paragraph"/>
    <w:basedOn w:val="Normln"/>
    <w:uiPriority w:val="1"/>
    <w:qFormat w:val="1"/>
    <w:pPr>
      <w:spacing w:before="78"/>
      <w:ind w:left="78"/>
      <w:jc w:val="center"/>
    </w:pPr>
    <w:rPr>
      <w:rFonts w:ascii="Tahoma" w:cs="Tahoma" w:eastAsia="Tahoma" w:hAnsi="Tahoma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A018FB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A018FB"/>
    <w:rPr>
      <w:rFonts w:ascii="Tahoma" w:cs="Tahoma" w:eastAsia="Arial" w:hAnsi="Tahoma"/>
      <w:sz w:val="16"/>
      <w:szCs w:val="16"/>
      <w:lang w:val="cs-CZ"/>
    </w:rPr>
  </w:style>
  <w:style w:type="paragraph" w:styleId="Zhlav">
    <w:name w:val="header"/>
    <w:basedOn w:val="Normln"/>
    <w:link w:val="ZhlavChar"/>
    <w:uiPriority w:val="99"/>
    <w:unhideWhenUsed w:val="1"/>
    <w:rsid w:val="00BA0C8C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BA0C8C"/>
    <w:rPr>
      <w:rFonts w:ascii="Arial" w:cs="Arial" w:eastAsia="Arial" w:hAnsi="Arial"/>
      <w:lang w:val="cs-CZ"/>
    </w:rPr>
  </w:style>
  <w:style w:type="paragraph" w:styleId="Zpat">
    <w:name w:val="footer"/>
    <w:basedOn w:val="Normln"/>
    <w:link w:val="ZpatChar"/>
    <w:uiPriority w:val="99"/>
    <w:unhideWhenUsed w:val="1"/>
    <w:rsid w:val="00BA0C8C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BA0C8C"/>
    <w:rPr>
      <w:rFonts w:ascii="Arial" w:cs="Arial" w:eastAsia="Arial" w:hAnsi="Arial"/>
      <w:lang w:val="cs-CZ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9429FB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val="cs-CZ"/>
    </w:rPr>
  </w:style>
  <w:style w:type="character" w:styleId="dn" w:customStyle="1">
    <w:name w:val="Žádný"/>
    <w:rsid w:val="009429F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cleanlife.c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AzD+qTJm8E/28VkCVaAiXbYBNw==">AMUW2mUr8tdPp1Kl6yUsaAk9HPjd6qHnvR1x8vFqTaYCTA9rU7Rt/rDh62/77XEQ26IO7tX5MqFmoqsaRG/4scWx8h7n95APjFj6tUeXNKGHMX4w0++UmvWh8vqD8MKLLPLuCJUIAz5G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2020-08-31T13:06:00Z</dcterms:created>
  <dc:creator>contimex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2020-08-31T00:00:00Z</vt:filetime>
  </property>
</Properties>
</file>