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74" w:rsidRDefault="000642E6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1</w:t>
      </w:r>
    </w:p>
    <w:p w:rsidR="00584074" w:rsidRDefault="000642E6">
      <w:pPr>
        <w:spacing w:before="2" w:line="425" w:lineRule="exact"/>
        <w:ind w:left="1017" w:right="1023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1190400007</w:t>
      </w:r>
    </w:p>
    <w:p w:rsidR="00584074" w:rsidRDefault="000642E6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84074" w:rsidRDefault="000642E6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84074" w:rsidRDefault="00584074">
      <w:pPr>
        <w:pStyle w:val="Zkladntext"/>
        <w:spacing w:before="11"/>
        <w:rPr>
          <w:sz w:val="39"/>
        </w:rPr>
      </w:pPr>
    </w:p>
    <w:p w:rsidR="00584074" w:rsidRDefault="000642E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84074" w:rsidRDefault="00584074">
      <w:pPr>
        <w:pStyle w:val="Zkladntext"/>
        <w:spacing w:before="1"/>
      </w:pPr>
    </w:p>
    <w:p w:rsidR="00584074" w:rsidRDefault="000642E6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84074" w:rsidRDefault="000642E6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84074" w:rsidRDefault="000642E6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84074" w:rsidRDefault="000642E6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tab/>
        <w:t>00020729</w:t>
      </w:r>
    </w:p>
    <w:p w:rsidR="00584074" w:rsidRDefault="000642E6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584074" w:rsidRDefault="00584074">
      <w:pPr>
        <w:pStyle w:val="Zkladntext"/>
        <w:spacing w:before="1"/>
      </w:pPr>
    </w:p>
    <w:p w:rsidR="00584074" w:rsidRDefault="000642E6">
      <w:pPr>
        <w:pStyle w:val="Zkladntext"/>
        <w:ind w:left="102"/>
      </w:pPr>
      <w:r>
        <w:rPr>
          <w:w w:val="99"/>
        </w:rPr>
        <w:t>a</w:t>
      </w:r>
    </w:p>
    <w:p w:rsidR="00584074" w:rsidRDefault="00584074">
      <w:pPr>
        <w:pStyle w:val="Zkladntext"/>
      </w:pPr>
    </w:p>
    <w:p w:rsidR="00584074" w:rsidRDefault="000642E6">
      <w:pPr>
        <w:pStyle w:val="Nadpis1"/>
        <w:spacing w:before="1" w:line="265" w:lineRule="exact"/>
      </w:pPr>
      <w:r>
        <w:t>obec</w:t>
      </w:r>
      <w:r>
        <w:rPr>
          <w:spacing w:val="-2"/>
        </w:rPr>
        <w:t xml:space="preserve"> </w:t>
      </w:r>
      <w:r>
        <w:t>Želiv</w:t>
      </w:r>
    </w:p>
    <w:p w:rsidR="00584074" w:rsidRDefault="000642E6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Želiv,</w:t>
      </w:r>
      <w:r>
        <w:rPr>
          <w:spacing w:val="-2"/>
        </w:rPr>
        <w:t xml:space="preserve"> </w:t>
      </w:r>
      <w:r>
        <w:t>Želiv</w:t>
      </w:r>
      <w:r>
        <w:rPr>
          <w:spacing w:val="-2"/>
        </w:rPr>
        <w:t xml:space="preserve"> </w:t>
      </w:r>
      <w:r>
        <w:t>320,</w:t>
      </w:r>
      <w:r>
        <w:rPr>
          <w:spacing w:val="-4"/>
        </w:rPr>
        <w:t xml:space="preserve"> </w:t>
      </w:r>
      <w:r>
        <w:t>394</w:t>
      </w:r>
      <w:r>
        <w:rPr>
          <w:spacing w:val="-2"/>
        </w:rPr>
        <w:t xml:space="preserve"> </w:t>
      </w:r>
      <w:r>
        <w:t>44 Želiv</w:t>
      </w:r>
    </w:p>
    <w:p w:rsidR="00584074" w:rsidRDefault="000642E6">
      <w:pPr>
        <w:pStyle w:val="Zkladntext"/>
        <w:tabs>
          <w:tab w:val="left" w:pos="2982"/>
        </w:tabs>
        <w:ind w:left="102"/>
      </w:pPr>
      <w:r>
        <w:t>IČO:</w:t>
      </w:r>
      <w:r>
        <w:tab/>
        <w:t>00249483</w:t>
      </w:r>
    </w:p>
    <w:p w:rsidR="00584074" w:rsidRDefault="000642E6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Miroslavem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ň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starostou</w:t>
      </w:r>
    </w:p>
    <w:p w:rsidR="00584074" w:rsidRDefault="000642E6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84074" w:rsidRDefault="00584074">
      <w:pPr>
        <w:pStyle w:val="Zkladntext"/>
      </w:pPr>
    </w:p>
    <w:p w:rsidR="00584074" w:rsidRDefault="000642E6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1190400007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17. 12.</w:t>
      </w:r>
      <w:r>
        <w:rPr>
          <w:spacing w:val="-2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„Smlouva“):</w:t>
      </w:r>
    </w:p>
    <w:p w:rsidR="00584074" w:rsidRDefault="00584074">
      <w:pPr>
        <w:pStyle w:val="Zkladntext"/>
        <w:rPr>
          <w:sz w:val="26"/>
        </w:rPr>
      </w:pPr>
    </w:p>
    <w:p w:rsidR="00584074" w:rsidRDefault="000642E6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86"/>
        <w:rPr>
          <w:sz w:val="20"/>
        </w:rPr>
      </w:pPr>
      <w:r>
        <w:rPr>
          <w:sz w:val="20"/>
        </w:rPr>
        <w:t>V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q)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5"/>
          <w:sz w:val="20"/>
        </w:rPr>
        <w:t xml:space="preserve"> </w:t>
      </w:r>
      <w:r>
        <w:rPr>
          <w:sz w:val="20"/>
        </w:rPr>
        <w:t>podkladů</w:t>
      </w:r>
      <w:r>
        <w:rPr>
          <w:spacing w:val="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</w:p>
    <w:p w:rsidR="00584074" w:rsidRDefault="000642E6">
      <w:pPr>
        <w:pStyle w:val="Zkladntext"/>
        <w:spacing w:before="1"/>
        <w:ind w:left="529"/>
      </w:pPr>
      <w:r>
        <w:t>12/2023.</w:t>
      </w:r>
    </w:p>
    <w:p w:rsidR="00584074" w:rsidRDefault="00584074">
      <w:pPr>
        <w:pStyle w:val="Zkladntext"/>
      </w:pPr>
    </w:p>
    <w:p w:rsidR="00584074" w:rsidRDefault="000642E6">
      <w:pPr>
        <w:pStyle w:val="Odstavecseseznamem"/>
        <w:numPr>
          <w:ilvl w:val="0"/>
          <w:numId w:val="1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Příloha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584074" w:rsidRDefault="00584074">
      <w:pPr>
        <w:pStyle w:val="Zkladntext"/>
        <w:spacing w:before="12"/>
        <w:rPr>
          <w:sz w:val="19"/>
        </w:rPr>
      </w:pPr>
    </w:p>
    <w:p w:rsidR="00584074" w:rsidRDefault="000642E6">
      <w:pPr>
        <w:pStyle w:val="Zkladntext"/>
        <w:spacing w:line="480" w:lineRule="auto"/>
        <w:ind w:left="529" w:right="368"/>
        <w:jc w:val="both"/>
      </w:pPr>
      <w:r>
        <w:t>„Příloha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 ze</w:t>
      </w:r>
      <w:r>
        <w:rPr>
          <w:spacing w:val="-4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Specifické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provozování</w:t>
      </w:r>
      <w:r>
        <w:rPr>
          <w:spacing w:val="-1"/>
        </w:rPr>
        <w:t xml:space="preserve"> </w:t>
      </w:r>
      <w:r>
        <w:t>pro model</w:t>
      </w:r>
      <w:r>
        <w:rPr>
          <w:spacing w:val="-1"/>
        </w:rPr>
        <w:t xml:space="preserve"> </w:t>
      </w:r>
      <w:r>
        <w:t>samostatného provozování</w:t>
      </w:r>
    </w:p>
    <w:p w:rsidR="00584074" w:rsidRDefault="000642E6">
      <w:pPr>
        <w:pStyle w:val="Odstavecseseznamem"/>
        <w:numPr>
          <w:ilvl w:val="1"/>
          <w:numId w:val="1"/>
        </w:numPr>
        <w:tabs>
          <w:tab w:val="left" w:pos="933"/>
        </w:tabs>
        <w:spacing w:before="2"/>
        <w:ind w:right="110" w:hanging="233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nabytí</w:t>
      </w:r>
      <w:r>
        <w:rPr>
          <w:spacing w:val="1"/>
          <w:sz w:val="20"/>
        </w:rPr>
        <w:t xml:space="preserve"> </w:t>
      </w:r>
      <w:r>
        <w:rPr>
          <w:sz w:val="20"/>
        </w:rPr>
        <w:t>právní</w:t>
      </w:r>
      <w:r>
        <w:rPr>
          <w:spacing w:val="1"/>
          <w:sz w:val="20"/>
        </w:rPr>
        <w:t xml:space="preserve"> </w:t>
      </w:r>
      <w:r>
        <w:rPr>
          <w:sz w:val="20"/>
        </w:rPr>
        <w:t>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provozována v rámci modelu samostatného provozování (příjemce podpory provozuje sám), tzn.,</w:t>
      </w:r>
      <w:r>
        <w:rPr>
          <w:spacing w:val="-52"/>
          <w:sz w:val="20"/>
        </w:rPr>
        <w:t xml:space="preserve"> </w:t>
      </w:r>
      <w:r>
        <w:rPr>
          <w:sz w:val="20"/>
        </w:rPr>
        <w:t>že příjemce podpory bude řádně sám, vlastním jménem a na vlastní odpovědnost provozovat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vodohospodářskou</w:t>
      </w:r>
      <w:r>
        <w:rPr>
          <w:spacing w:val="-3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držet</w:t>
      </w:r>
      <w:r>
        <w:rPr>
          <w:spacing w:val="-4"/>
          <w:sz w:val="20"/>
        </w:rPr>
        <w:t xml:space="preserve"> </w:t>
      </w:r>
      <w:r>
        <w:rPr>
          <w:sz w:val="20"/>
        </w:rPr>
        <w:t>povolení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(k</w:t>
      </w:r>
      <w:r>
        <w:rPr>
          <w:spacing w:val="-4"/>
          <w:sz w:val="20"/>
        </w:rPr>
        <w:t xml:space="preserve"> </w:t>
      </w:r>
      <w:r>
        <w:rPr>
          <w:sz w:val="20"/>
        </w:rPr>
        <w:t>mode</w:t>
      </w:r>
      <w:r>
        <w:rPr>
          <w:sz w:val="20"/>
        </w:rPr>
        <w:t>lům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 a podmínkám stanoveným pro samostatný model viz dokument „Metodika pro</w:t>
      </w:r>
      <w:r>
        <w:rPr>
          <w:spacing w:val="1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rozvádějící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8"/>
          <w:sz w:val="20"/>
        </w:rPr>
        <w:t xml:space="preserve"> </w:t>
      </w:r>
      <w:r>
        <w:rPr>
          <w:sz w:val="20"/>
        </w:rPr>
        <w:t>přílohy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7"/>
          <w:sz w:val="20"/>
        </w:rPr>
        <w:t xml:space="preserve"> </w:t>
      </w:r>
      <w:r>
        <w:rPr>
          <w:sz w:val="20"/>
        </w:rPr>
        <w:t>dokumentu</w:t>
      </w:r>
      <w:r>
        <w:rPr>
          <w:spacing w:val="-7"/>
          <w:sz w:val="20"/>
        </w:rPr>
        <w:t xml:space="preserve"> </w:t>
      </w:r>
      <w:r>
        <w:rPr>
          <w:sz w:val="20"/>
        </w:rPr>
        <w:t>OPŽP</w:t>
      </w:r>
      <w:r>
        <w:rPr>
          <w:spacing w:val="-7"/>
          <w:sz w:val="20"/>
        </w:rPr>
        <w:t xml:space="preserve"> </w:t>
      </w:r>
      <w:r>
        <w:rPr>
          <w:sz w:val="20"/>
        </w:rPr>
        <w:t>2014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2020“</w:t>
      </w:r>
      <w:r>
        <w:rPr>
          <w:spacing w:val="-9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</w:p>
    <w:p w:rsidR="00584074" w:rsidRDefault="000642E6">
      <w:pPr>
        <w:pStyle w:val="Zkladntext"/>
        <w:ind w:left="954" w:right="113"/>
        <w:jc w:val="both"/>
      </w:pPr>
      <w:r>
        <w:t>„Metodika“, která je součástí PrŽaP). Pro účely stanovení pod</w:t>
      </w:r>
      <w:r>
        <w:t>mínek týkajících se provozování</w:t>
      </w:r>
      <w:r>
        <w:rPr>
          <w:spacing w:val="1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</w:t>
      </w:r>
      <w:r>
        <w:rPr>
          <w:spacing w:val="65"/>
        </w:rPr>
        <w:t xml:space="preserve"> </w:t>
      </w:r>
      <w:r>
        <w:t xml:space="preserve">pořízené  </w:t>
      </w:r>
      <w:r>
        <w:rPr>
          <w:spacing w:val="9"/>
        </w:rPr>
        <w:t xml:space="preserve"> </w:t>
      </w:r>
      <w:r>
        <w:t xml:space="preserve">(rekonstruované)  </w:t>
      </w:r>
      <w:r>
        <w:rPr>
          <w:spacing w:val="10"/>
        </w:rPr>
        <w:t xml:space="preserve"> </w:t>
      </w:r>
      <w:r>
        <w:t xml:space="preserve">s  </w:t>
      </w:r>
      <w:r>
        <w:rPr>
          <w:spacing w:val="11"/>
        </w:rPr>
        <w:t xml:space="preserve"> </w:t>
      </w:r>
      <w:r>
        <w:t xml:space="preserve">podporou  </w:t>
      </w:r>
      <w:r>
        <w:rPr>
          <w:spacing w:val="10"/>
        </w:rPr>
        <w:t xml:space="preserve"> </w:t>
      </w:r>
      <w:r>
        <w:t xml:space="preserve">poskytnutou  </w:t>
      </w:r>
      <w:r>
        <w:rPr>
          <w:spacing w:val="10"/>
        </w:rPr>
        <w:t xml:space="preserve"> </w:t>
      </w:r>
      <w:r>
        <w:t xml:space="preserve">podle  </w:t>
      </w:r>
      <w:r>
        <w:rPr>
          <w:spacing w:val="10"/>
        </w:rPr>
        <w:t xml:space="preserve"> </w:t>
      </w:r>
      <w:r>
        <w:t xml:space="preserve">této  </w:t>
      </w:r>
      <w:r>
        <w:rPr>
          <w:spacing w:val="10"/>
        </w:rPr>
        <w:t xml:space="preserve"> </w:t>
      </w:r>
      <w:r>
        <w:t>Smlouvy</w:t>
      </w:r>
      <w:r>
        <w:rPr>
          <w:spacing w:val="-5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Rozhodnutí</w:t>
      </w:r>
      <w:r>
        <w:rPr>
          <w:spacing w:val="5"/>
        </w:rPr>
        <w:t xml:space="preserve"> </w:t>
      </w:r>
      <w:r>
        <w:t>(podpořená</w:t>
      </w:r>
      <w:r>
        <w:rPr>
          <w:spacing w:val="4"/>
        </w:rPr>
        <w:t xml:space="preserve"> </w:t>
      </w:r>
      <w:r>
        <w:t>infrastruktura)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veškerá</w:t>
      </w:r>
      <w:r>
        <w:rPr>
          <w:spacing w:val="5"/>
        </w:rPr>
        <w:t xml:space="preserve"> </w:t>
      </w:r>
      <w:r>
        <w:t>další</w:t>
      </w:r>
      <w:r>
        <w:rPr>
          <w:spacing w:val="4"/>
        </w:rPr>
        <w:t xml:space="preserve"> </w:t>
      </w:r>
      <w:r>
        <w:t>infrastruktura</w:t>
      </w:r>
      <w:r>
        <w:rPr>
          <w:spacing w:val="3"/>
        </w:rPr>
        <w:t xml:space="preserve"> </w:t>
      </w:r>
      <w:r>
        <w:t>provozovaná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této</w:t>
      </w:r>
      <w:r>
        <w:rPr>
          <w:spacing w:val="5"/>
        </w:rPr>
        <w:t xml:space="preserve"> </w:t>
      </w:r>
      <w:r>
        <w:t>složce</w:t>
      </w:r>
    </w:p>
    <w:p w:rsidR="00584074" w:rsidRDefault="00584074">
      <w:pPr>
        <w:jc w:val="both"/>
        <w:sectPr w:rsidR="00584074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584074" w:rsidRDefault="000642E6">
      <w:pPr>
        <w:pStyle w:val="Zkladntext"/>
        <w:spacing w:before="73"/>
        <w:ind w:left="954"/>
      </w:pPr>
      <w:r>
        <w:lastRenderedPageBreak/>
        <w:t>na</w:t>
      </w:r>
      <w:r>
        <w:rPr>
          <w:spacing w:val="30"/>
        </w:rPr>
        <w:t xml:space="preserve"> </w:t>
      </w:r>
      <w:r>
        <w:t>území</w:t>
      </w:r>
      <w:r>
        <w:rPr>
          <w:spacing w:val="31"/>
        </w:rPr>
        <w:t xml:space="preserve"> </w:t>
      </w:r>
      <w:r>
        <w:t>relevantní</w:t>
      </w:r>
      <w:r>
        <w:rPr>
          <w:spacing w:val="30"/>
        </w:rPr>
        <w:t xml:space="preserve"> </w:t>
      </w:r>
      <w:r>
        <w:t>obce</w:t>
      </w:r>
      <w:r>
        <w:rPr>
          <w:spacing w:val="30"/>
        </w:rPr>
        <w:t xml:space="preserve"> </w:t>
      </w:r>
      <w:r>
        <w:t>(podrobněji</w:t>
      </w:r>
      <w:r>
        <w:rPr>
          <w:spacing w:val="31"/>
        </w:rPr>
        <w:t xml:space="preserve"> </w:t>
      </w:r>
      <w:r>
        <w:t>viz</w:t>
      </w:r>
      <w:r>
        <w:rPr>
          <w:spacing w:val="32"/>
        </w:rPr>
        <w:t xml:space="preserve"> </w:t>
      </w:r>
      <w:r>
        <w:t>Metodika)</w:t>
      </w:r>
      <w:r>
        <w:rPr>
          <w:spacing w:val="31"/>
        </w:rPr>
        <w:t xml:space="preserve"> </w:t>
      </w:r>
      <w:r>
        <w:t>společně</w:t>
      </w:r>
      <w:r>
        <w:rPr>
          <w:spacing w:val="31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podpořenou</w:t>
      </w:r>
      <w:r>
        <w:rPr>
          <w:spacing w:val="32"/>
        </w:rPr>
        <w:t xml:space="preserve"> </w:t>
      </w:r>
      <w:r>
        <w:t>infrastrukturou</w:t>
      </w:r>
      <w:r>
        <w:rPr>
          <w:spacing w:val="31"/>
        </w:rPr>
        <w:t xml:space="preserve"> </w:t>
      </w:r>
      <w:r>
        <w:t>v</w:t>
      </w:r>
      <w:r>
        <w:rPr>
          <w:spacing w:val="-5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samostatného</w:t>
      </w:r>
      <w:r>
        <w:rPr>
          <w:spacing w:val="1"/>
        </w:rPr>
        <w:t xml:space="preserve"> </w:t>
      </w:r>
      <w:r>
        <w:t>modelu</w:t>
      </w:r>
      <w:r>
        <w:rPr>
          <w:spacing w:val="-2"/>
        </w:rPr>
        <w:t xml:space="preserve"> </w:t>
      </w:r>
      <w:r>
        <w:t>provozování.</w:t>
      </w:r>
    </w:p>
    <w:p w:rsidR="00584074" w:rsidRDefault="000642E6">
      <w:pPr>
        <w:pStyle w:val="Odstavecseseznamem"/>
        <w:numPr>
          <w:ilvl w:val="1"/>
          <w:numId w:val="1"/>
        </w:numPr>
        <w:tabs>
          <w:tab w:val="left" w:pos="909"/>
        </w:tabs>
        <w:spacing w:before="152"/>
        <w:ind w:right="112" w:hanging="310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54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55"/>
          <w:sz w:val="20"/>
        </w:rPr>
        <w:t xml:space="preserve"> </w:t>
      </w:r>
      <w:r>
        <w:rPr>
          <w:sz w:val="20"/>
        </w:rPr>
        <w:t>souhlasu k projektu bude zabezpečena finanční udržitelnost projektu,</w:t>
      </w:r>
      <w:r>
        <w:rPr>
          <w:spacing w:val="1"/>
          <w:sz w:val="20"/>
        </w:rPr>
        <w:t xml:space="preserve"> </w:t>
      </w:r>
      <w:r>
        <w:rPr>
          <w:sz w:val="20"/>
        </w:rPr>
        <w:t>a to za podmínek sta</w:t>
      </w:r>
      <w:r>
        <w:rPr>
          <w:sz w:val="20"/>
        </w:rPr>
        <w:t>novených Fondem. Změna výše prostředků na obnovu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2"/>
          <w:sz w:val="20"/>
        </w:rPr>
        <w:t xml:space="preserve"> </w:t>
      </w:r>
      <w:r>
        <w:rPr>
          <w:sz w:val="20"/>
        </w:rPr>
        <w:t>je přípustná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důvodu:</w:t>
      </w:r>
    </w:p>
    <w:p w:rsidR="00584074" w:rsidRDefault="000642E6">
      <w:pPr>
        <w:pStyle w:val="Odstavecseseznamem"/>
        <w:numPr>
          <w:ilvl w:val="2"/>
          <w:numId w:val="1"/>
        </w:numPr>
        <w:tabs>
          <w:tab w:val="left" w:pos="1197"/>
        </w:tabs>
        <w:spacing w:before="148"/>
        <w:ind w:right="112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-2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2"/>
          <w:sz w:val="20"/>
        </w:rPr>
        <w:t xml:space="preserve"> </w:t>
      </w:r>
      <w:r>
        <w:rPr>
          <w:sz w:val="20"/>
        </w:rPr>
        <w:t>Fondem,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</w:p>
    <w:p w:rsidR="00584074" w:rsidRDefault="000642E6">
      <w:pPr>
        <w:pStyle w:val="Odstavecseseznamem"/>
        <w:numPr>
          <w:ilvl w:val="2"/>
          <w:numId w:val="1"/>
        </w:numPr>
        <w:tabs>
          <w:tab w:val="left" w:pos="1206"/>
        </w:tabs>
        <w:spacing w:before="152"/>
        <w:ind w:right="117" w:firstLine="0"/>
        <w:jc w:val="both"/>
        <w:rPr>
          <w:sz w:val="20"/>
        </w:rPr>
      </w:pPr>
      <w:r>
        <w:rPr>
          <w:sz w:val="20"/>
        </w:rPr>
        <w:t>snížení na úroveň, která prokazatelně vytváří zdroje pro správu, obnovu a případné rozšíření</w:t>
      </w:r>
      <w:r>
        <w:rPr>
          <w:spacing w:val="1"/>
          <w:sz w:val="20"/>
        </w:rPr>
        <w:t xml:space="preserve"> </w:t>
      </w:r>
      <w:r>
        <w:rPr>
          <w:sz w:val="20"/>
        </w:rPr>
        <w:t>vodovodů a/nebo kanalizací minimálně ve výši „plných odpisů“. V obou případech je nezbytné,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navrženou odchylku odsouhlasil.</w:t>
      </w:r>
    </w:p>
    <w:p w:rsidR="00584074" w:rsidRDefault="000642E6">
      <w:pPr>
        <w:pStyle w:val="Odstavecseseznamem"/>
        <w:numPr>
          <w:ilvl w:val="1"/>
          <w:numId w:val="1"/>
        </w:numPr>
        <w:tabs>
          <w:tab w:val="left" w:pos="962"/>
        </w:tabs>
        <w:spacing w:before="150"/>
        <w:ind w:right="115" w:hanging="348"/>
        <w:jc w:val="both"/>
        <w:rPr>
          <w:sz w:val="20"/>
        </w:rPr>
      </w:pPr>
      <w:r>
        <w:rPr>
          <w:sz w:val="20"/>
        </w:rPr>
        <w:t>Čistý</w:t>
      </w:r>
      <w:r>
        <w:rPr>
          <w:spacing w:val="-7"/>
          <w:sz w:val="20"/>
        </w:rPr>
        <w:t xml:space="preserve"> </w:t>
      </w:r>
      <w:r>
        <w:rPr>
          <w:sz w:val="20"/>
        </w:rPr>
        <w:t>příjem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6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6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použit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principy</w:t>
      </w:r>
      <w:r>
        <w:rPr>
          <w:spacing w:val="-6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řádného hospodáře.</w:t>
      </w:r>
    </w:p>
    <w:p w:rsidR="00584074" w:rsidRDefault="000642E6">
      <w:pPr>
        <w:pStyle w:val="Odstavecseseznamem"/>
        <w:numPr>
          <w:ilvl w:val="1"/>
          <w:numId w:val="1"/>
        </w:numPr>
        <w:tabs>
          <w:tab w:val="left" w:pos="942"/>
        </w:tabs>
        <w:spacing w:before="150"/>
        <w:ind w:right="111" w:hanging="34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zajistit,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"/>
          <w:sz w:val="20"/>
        </w:rPr>
        <w:t xml:space="preserve"> </w:t>
      </w:r>
      <w:r>
        <w:rPr>
          <w:sz w:val="20"/>
        </w:rPr>
        <w:t>požadavky</w:t>
      </w:r>
      <w:r>
        <w:rPr>
          <w:spacing w:val="-5"/>
          <w:sz w:val="20"/>
        </w:rPr>
        <w:t xml:space="preserve"> </w:t>
      </w:r>
      <w:r>
        <w:rPr>
          <w:sz w:val="20"/>
        </w:rPr>
        <w:t>kladené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53"/>
          <w:sz w:val="20"/>
        </w:rPr>
        <w:t xml:space="preserve"> </w:t>
      </w:r>
      <w:r>
        <w:rPr>
          <w:sz w:val="20"/>
        </w:rPr>
        <w:t>aplikovány na „související provozní smlouvy“ ve smyslu Metodiky s tím, ž</w:t>
      </w:r>
      <w:r>
        <w:rPr>
          <w:sz w:val="20"/>
        </w:rPr>
        <w:t>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platnosti související provozní smlouvy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"/>
          <w:sz w:val="20"/>
        </w:rPr>
        <w:t xml:space="preserve"> </w:t>
      </w:r>
      <w:r>
        <w:rPr>
          <w:sz w:val="20"/>
        </w:rPr>
        <w:t>model.“</w:t>
      </w:r>
    </w:p>
    <w:p w:rsidR="00584074" w:rsidRDefault="000642E6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50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584074" w:rsidRDefault="00584074">
      <w:pPr>
        <w:pStyle w:val="Zkladntext"/>
        <w:spacing w:before="12"/>
        <w:rPr>
          <w:sz w:val="19"/>
        </w:rPr>
      </w:pPr>
    </w:p>
    <w:p w:rsidR="00584074" w:rsidRDefault="000642E6">
      <w:pPr>
        <w:pStyle w:val="Odstavecseseznamem"/>
        <w:numPr>
          <w:ilvl w:val="0"/>
          <w:numId w:val="1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584074" w:rsidRDefault="00584074">
      <w:pPr>
        <w:pStyle w:val="Zkladntext"/>
        <w:spacing w:before="13"/>
        <w:rPr>
          <w:sz w:val="19"/>
        </w:rPr>
      </w:pPr>
    </w:p>
    <w:p w:rsidR="00584074" w:rsidRDefault="000642E6">
      <w:pPr>
        <w:pStyle w:val="Odstavecseseznamem"/>
        <w:numPr>
          <w:ilvl w:val="0"/>
          <w:numId w:val="1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</w:t>
      </w:r>
      <w:r>
        <w:rPr>
          <w:sz w:val="20"/>
        </w:rPr>
        <w:t>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84074" w:rsidRDefault="00584074">
      <w:pPr>
        <w:pStyle w:val="Zkladntext"/>
        <w:rPr>
          <w:sz w:val="26"/>
        </w:rPr>
      </w:pPr>
    </w:p>
    <w:p w:rsidR="00584074" w:rsidRDefault="000642E6">
      <w:pPr>
        <w:pStyle w:val="Zkladntext"/>
        <w:tabs>
          <w:tab w:val="left" w:pos="5860"/>
        </w:tabs>
        <w:spacing w:before="189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84074" w:rsidRDefault="00584074">
      <w:pPr>
        <w:pStyle w:val="Zkladntext"/>
        <w:spacing w:before="11"/>
        <w:rPr>
          <w:sz w:val="19"/>
        </w:rPr>
      </w:pPr>
    </w:p>
    <w:p w:rsidR="00584074" w:rsidRDefault="000642E6">
      <w:pPr>
        <w:pStyle w:val="Zkladntext"/>
        <w:ind w:left="102"/>
      </w:pPr>
      <w:r>
        <w:t>dne:</w:t>
      </w:r>
    </w:p>
    <w:p w:rsidR="00584074" w:rsidRDefault="00584074">
      <w:pPr>
        <w:pStyle w:val="Zkladntext"/>
        <w:rPr>
          <w:sz w:val="26"/>
        </w:rPr>
      </w:pPr>
    </w:p>
    <w:p w:rsidR="00584074" w:rsidRDefault="000642E6">
      <w:pPr>
        <w:pStyle w:val="Zkladntext"/>
        <w:tabs>
          <w:tab w:val="left" w:pos="5862"/>
          <w:tab w:val="left" w:pos="6582"/>
        </w:tabs>
        <w:spacing w:before="188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584074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2E6" w:rsidRDefault="000642E6">
      <w:r>
        <w:separator/>
      </w:r>
    </w:p>
  </w:endnote>
  <w:endnote w:type="continuationSeparator" w:id="0">
    <w:p w:rsidR="000642E6" w:rsidRDefault="0006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074" w:rsidRDefault="003B5FF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074" w:rsidRDefault="000642E6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5FFC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584074" w:rsidRDefault="000642E6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5FFC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2E6" w:rsidRDefault="000642E6">
      <w:r>
        <w:separator/>
      </w:r>
    </w:p>
  </w:footnote>
  <w:footnote w:type="continuationSeparator" w:id="0">
    <w:p w:rsidR="000642E6" w:rsidRDefault="0006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E54"/>
    <w:multiLevelType w:val="hybridMultilevel"/>
    <w:tmpl w:val="2BD03EBA"/>
    <w:lvl w:ilvl="0" w:tplc="B34052FA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D6C912A">
      <w:start w:val="1"/>
      <w:numFmt w:val="upperRoman"/>
      <w:lvlText w:val="%2."/>
      <w:lvlJc w:val="left"/>
      <w:pPr>
        <w:ind w:left="954" w:hanging="21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7B61DAA">
      <w:start w:val="1"/>
      <w:numFmt w:val="lowerLetter"/>
      <w:lvlText w:val="%3)"/>
      <w:lvlJc w:val="left"/>
      <w:pPr>
        <w:ind w:left="954" w:hanging="24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A7A7D84">
      <w:numFmt w:val="bullet"/>
      <w:lvlText w:val="•"/>
      <w:lvlJc w:val="left"/>
      <w:pPr>
        <w:ind w:left="2884" w:hanging="243"/>
      </w:pPr>
      <w:rPr>
        <w:rFonts w:hint="default"/>
        <w:lang w:val="cs-CZ" w:eastAsia="en-US" w:bidi="ar-SA"/>
      </w:rPr>
    </w:lvl>
    <w:lvl w:ilvl="4" w:tplc="C0DC5544">
      <w:numFmt w:val="bullet"/>
      <w:lvlText w:val="•"/>
      <w:lvlJc w:val="left"/>
      <w:pPr>
        <w:ind w:left="3846" w:hanging="243"/>
      </w:pPr>
      <w:rPr>
        <w:rFonts w:hint="default"/>
        <w:lang w:val="cs-CZ" w:eastAsia="en-US" w:bidi="ar-SA"/>
      </w:rPr>
    </w:lvl>
    <w:lvl w:ilvl="5" w:tplc="928816C8">
      <w:numFmt w:val="bullet"/>
      <w:lvlText w:val="•"/>
      <w:lvlJc w:val="left"/>
      <w:pPr>
        <w:ind w:left="4808" w:hanging="243"/>
      </w:pPr>
      <w:rPr>
        <w:rFonts w:hint="default"/>
        <w:lang w:val="cs-CZ" w:eastAsia="en-US" w:bidi="ar-SA"/>
      </w:rPr>
    </w:lvl>
    <w:lvl w:ilvl="6" w:tplc="5936F4F6">
      <w:numFmt w:val="bullet"/>
      <w:lvlText w:val="•"/>
      <w:lvlJc w:val="left"/>
      <w:pPr>
        <w:ind w:left="5771" w:hanging="243"/>
      </w:pPr>
      <w:rPr>
        <w:rFonts w:hint="default"/>
        <w:lang w:val="cs-CZ" w:eastAsia="en-US" w:bidi="ar-SA"/>
      </w:rPr>
    </w:lvl>
    <w:lvl w:ilvl="7" w:tplc="1EFC215A">
      <w:numFmt w:val="bullet"/>
      <w:lvlText w:val="•"/>
      <w:lvlJc w:val="left"/>
      <w:pPr>
        <w:ind w:left="6733" w:hanging="243"/>
      </w:pPr>
      <w:rPr>
        <w:rFonts w:hint="default"/>
        <w:lang w:val="cs-CZ" w:eastAsia="en-US" w:bidi="ar-SA"/>
      </w:rPr>
    </w:lvl>
    <w:lvl w:ilvl="8" w:tplc="F874053A">
      <w:numFmt w:val="bullet"/>
      <w:lvlText w:val="•"/>
      <w:lvlJc w:val="left"/>
      <w:pPr>
        <w:ind w:left="7695" w:hanging="243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74"/>
    <w:rsid w:val="000642E6"/>
    <w:rsid w:val="003B5FFC"/>
    <w:rsid w:val="0058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E25FC0-8D3B-4F71-89DF-30708EEB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954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2023-11-09T09:21:00Z</dcterms:created>
  <dcterms:modified xsi:type="dcterms:W3CDTF">2023-11-09T09:21:00Z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2023-11-09T00:00:00Z</vt:filetime>
  </property>
</Properties>
</file>