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05F3" w14:textId="549FC292" w:rsidR="001032F6" w:rsidRPr="001032F6" w:rsidRDefault="001032F6" w:rsidP="001032F6">
      <w:pPr>
        <w:pStyle w:val="nadpis-bod"/>
        <w:spacing w:before="0" w:after="0"/>
        <w:rPr>
          <w:rFonts w:asciiTheme="minorHAnsi" w:hAnsiTheme="minorHAnsi"/>
          <w:sz w:val="22"/>
        </w:rPr>
      </w:pPr>
    </w:p>
    <w:p w14:paraId="0382F174"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5175AF21" w14:textId="0FF843A4" w:rsidR="00AF7AD9" w:rsidRPr="00D477AE" w:rsidRDefault="00AF7AD9" w:rsidP="001032F6">
      <w:pPr>
        <w:pStyle w:val="nadpis-smlouva"/>
        <w:rPr>
          <w:rFonts w:asciiTheme="minorHAnsi" w:hAnsiTheme="minorHAnsi"/>
          <w:sz w:val="32"/>
        </w:rPr>
      </w:pPr>
    </w:p>
    <w:p w14:paraId="2ACC6379" w14:textId="77777777" w:rsidR="00AF7AD9" w:rsidRDefault="00801E86" w:rsidP="00801E86">
      <w:pPr>
        <w:jc w:val="center"/>
      </w:pPr>
      <w:r w:rsidRPr="00BC613E">
        <w:t xml:space="preserve"> </w:t>
      </w:r>
    </w:p>
    <w:p w14:paraId="7E10F4AA"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6B872A8C" w14:textId="77777777" w:rsidR="00801E86" w:rsidRDefault="00801E86" w:rsidP="00801E86">
      <w:pPr>
        <w:jc w:val="center"/>
        <w:rPr>
          <w:rFonts w:cs="Arial"/>
        </w:rPr>
      </w:pPr>
    </w:p>
    <w:p w14:paraId="3B782263"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5B91CE9E" w14:textId="77777777" w:rsidTr="00B96695">
        <w:trPr>
          <w:gridAfter w:val="1"/>
          <w:wAfter w:w="142" w:type="dxa"/>
        </w:trPr>
        <w:tc>
          <w:tcPr>
            <w:tcW w:w="3227" w:type="dxa"/>
          </w:tcPr>
          <w:p w14:paraId="0ACC0E9A" w14:textId="77777777"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14:paraId="5158ED3B" w14:textId="77777777" w:rsidR="00801E86" w:rsidRPr="00BC613E" w:rsidRDefault="00801E86" w:rsidP="00B96695">
            <w:pPr>
              <w:spacing w:line="276" w:lineRule="auto"/>
              <w:rPr>
                <w:rFonts w:cs="Arial"/>
                <w:b/>
              </w:rPr>
            </w:pPr>
          </w:p>
        </w:tc>
      </w:tr>
      <w:tr w:rsidR="00664621" w:rsidRPr="008E5B94" w14:paraId="4A3F1061" w14:textId="77777777" w:rsidTr="008B2A1F">
        <w:tc>
          <w:tcPr>
            <w:tcW w:w="9354" w:type="dxa"/>
            <w:gridSpan w:val="4"/>
          </w:tcPr>
          <w:p w14:paraId="4254CCBC" w14:textId="77777777" w:rsidR="00664621" w:rsidRPr="008E5B94" w:rsidRDefault="00664621" w:rsidP="008B2A1F">
            <w:pPr>
              <w:spacing w:line="276" w:lineRule="auto"/>
              <w:rPr>
                <w:rFonts w:cs="Arial"/>
                <w:b/>
              </w:rPr>
            </w:pPr>
            <w:r w:rsidRPr="001775A8">
              <w:rPr>
                <w:rStyle w:val="tsubjname"/>
                <w:rFonts w:cstheme="minorHAnsi"/>
                <w:b/>
              </w:rPr>
              <w:t>Základní škola Kadaň, ul. Školní 1479, okr. Chomutov</w:t>
            </w:r>
          </w:p>
        </w:tc>
      </w:tr>
      <w:tr w:rsidR="00664621" w:rsidRPr="000C4DFE" w14:paraId="5546FE3A" w14:textId="77777777" w:rsidTr="008B2A1F">
        <w:tc>
          <w:tcPr>
            <w:tcW w:w="3794" w:type="dxa"/>
            <w:gridSpan w:val="2"/>
            <w:vAlign w:val="center"/>
          </w:tcPr>
          <w:p w14:paraId="70642909"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14:paraId="4D872944" w14:textId="77777777" w:rsidR="00664621" w:rsidRPr="000C4DFE" w:rsidRDefault="00664621" w:rsidP="008B2A1F">
            <w:pPr>
              <w:spacing w:line="276" w:lineRule="auto"/>
              <w:rPr>
                <w:rFonts w:cstheme="minorHAnsi"/>
              </w:rPr>
            </w:pPr>
            <w:r>
              <w:rPr>
                <w:rFonts w:cstheme="minorHAnsi"/>
              </w:rPr>
              <w:t>Základní škola, Školní 1479, 432 01 Kadaň</w:t>
            </w:r>
          </w:p>
        </w:tc>
      </w:tr>
      <w:tr w:rsidR="00664621" w:rsidRPr="000C4DFE" w14:paraId="65B2E90E" w14:textId="77777777" w:rsidTr="008B2A1F">
        <w:tc>
          <w:tcPr>
            <w:tcW w:w="3794" w:type="dxa"/>
            <w:gridSpan w:val="2"/>
            <w:vAlign w:val="center"/>
          </w:tcPr>
          <w:p w14:paraId="1F93DFD3"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14:paraId="06FE5296" w14:textId="76DF212B" w:rsidR="00664621" w:rsidRPr="000C4DFE" w:rsidRDefault="00664621" w:rsidP="008B2A1F">
            <w:pPr>
              <w:pStyle w:val="pole"/>
              <w:spacing w:line="276" w:lineRule="auto"/>
              <w:rPr>
                <w:rFonts w:asciiTheme="minorHAnsi" w:hAnsiTheme="minorHAnsi" w:cstheme="minorHAnsi"/>
              </w:rPr>
            </w:pPr>
          </w:p>
        </w:tc>
      </w:tr>
      <w:tr w:rsidR="00664621" w:rsidRPr="000C4DFE" w14:paraId="157B7B19" w14:textId="77777777" w:rsidTr="008B2A1F">
        <w:tc>
          <w:tcPr>
            <w:tcW w:w="3794" w:type="dxa"/>
            <w:gridSpan w:val="2"/>
            <w:vAlign w:val="center"/>
          </w:tcPr>
          <w:p w14:paraId="1BA3B081"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14:paraId="71B70659" w14:textId="77777777" w:rsidR="00664621" w:rsidRPr="000C4DFE" w:rsidRDefault="00664621" w:rsidP="008B2A1F">
            <w:pPr>
              <w:spacing w:line="276" w:lineRule="auto"/>
              <w:rPr>
                <w:rFonts w:cstheme="minorHAnsi"/>
              </w:rPr>
            </w:pPr>
            <w:r w:rsidRPr="000C4DFE">
              <w:rPr>
                <w:rFonts w:cstheme="minorHAnsi"/>
              </w:rPr>
              <w:t>46789979</w:t>
            </w:r>
          </w:p>
        </w:tc>
      </w:tr>
      <w:tr w:rsidR="00664621" w:rsidRPr="00BC613E" w14:paraId="79D5F77C" w14:textId="77777777" w:rsidTr="008B2A1F">
        <w:tc>
          <w:tcPr>
            <w:tcW w:w="3794" w:type="dxa"/>
            <w:gridSpan w:val="2"/>
            <w:vAlign w:val="center"/>
          </w:tcPr>
          <w:p w14:paraId="3D2E1DD0" w14:textId="77777777" w:rsidR="00664621" w:rsidRDefault="00664621" w:rsidP="008B2A1F">
            <w:pPr>
              <w:pStyle w:val="adresa"/>
              <w:spacing w:line="276" w:lineRule="auto"/>
              <w:jc w:val="left"/>
              <w:rPr>
                <w:rFonts w:asciiTheme="minorHAnsi" w:hAnsiTheme="minorHAnsi" w:cs="Arial"/>
                <w:b w:val="0"/>
              </w:rPr>
            </w:pPr>
            <w:r w:rsidRPr="00BC613E">
              <w:rPr>
                <w:rFonts w:asciiTheme="minorHAnsi" w:hAnsiTheme="minorHAnsi" w:cs="Arial"/>
                <w:b w:val="0"/>
              </w:rPr>
              <w:t>DIČ:</w:t>
            </w:r>
          </w:p>
          <w:p w14:paraId="2D3A8317" w14:textId="77777777" w:rsidR="00664621" w:rsidRDefault="00664621" w:rsidP="008B2A1F">
            <w:pPr>
              <w:autoSpaceDE w:val="0"/>
              <w:autoSpaceDN w:val="0"/>
              <w:adjustRightInd w:val="0"/>
              <w:rPr>
                <w:rFonts w:cstheme="minorHAnsi"/>
                <w:color w:val="000000"/>
              </w:rPr>
            </w:pPr>
            <w:r>
              <w:rPr>
                <w:rFonts w:cstheme="minorHAnsi"/>
                <w:color w:val="000000"/>
              </w:rPr>
              <w:t>bankovní spojení:</w:t>
            </w:r>
          </w:p>
          <w:p w14:paraId="38C3CA9E" w14:textId="77777777" w:rsidR="00664621" w:rsidRPr="00BC613E" w:rsidRDefault="00664621" w:rsidP="008B2A1F">
            <w:pPr>
              <w:autoSpaceDE w:val="0"/>
              <w:autoSpaceDN w:val="0"/>
              <w:adjustRightInd w:val="0"/>
              <w:rPr>
                <w:rFonts w:cs="Arial"/>
                <w:b/>
              </w:rPr>
            </w:pPr>
            <w:r>
              <w:rPr>
                <w:rFonts w:cstheme="minorHAnsi"/>
                <w:color w:val="000000"/>
              </w:rPr>
              <w:t>č. účtu:</w:t>
            </w:r>
          </w:p>
        </w:tc>
        <w:tc>
          <w:tcPr>
            <w:tcW w:w="5560" w:type="dxa"/>
            <w:gridSpan w:val="2"/>
          </w:tcPr>
          <w:p w14:paraId="4A40F141" w14:textId="77777777" w:rsidR="00664621" w:rsidRDefault="00664621" w:rsidP="008B2A1F">
            <w:pPr>
              <w:spacing w:line="276" w:lineRule="auto"/>
              <w:rPr>
                <w:rFonts w:cstheme="minorHAnsi"/>
                <w:color w:val="000000"/>
              </w:rPr>
            </w:pPr>
            <w:r>
              <w:rPr>
                <w:rFonts w:cstheme="minorHAnsi"/>
                <w:color w:val="000000"/>
              </w:rPr>
              <w:t>neplátce DPH</w:t>
            </w:r>
          </w:p>
          <w:p w14:paraId="5BEEF911" w14:textId="69087437" w:rsidR="00664621" w:rsidRPr="00BC613E" w:rsidRDefault="00664621" w:rsidP="008B2A1F">
            <w:pPr>
              <w:spacing w:line="276" w:lineRule="auto"/>
              <w:rPr>
                <w:rFonts w:cs="Arial"/>
              </w:rPr>
            </w:pPr>
          </w:p>
        </w:tc>
      </w:tr>
      <w:tr w:rsidR="00664621" w:rsidRPr="00BC613E" w14:paraId="640E6F78" w14:textId="77777777" w:rsidTr="008B2A1F">
        <w:tc>
          <w:tcPr>
            <w:tcW w:w="3794" w:type="dxa"/>
            <w:gridSpan w:val="2"/>
          </w:tcPr>
          <w:p w14:paraId="208448FC" w14:textId="77777777" w:rsidR="00664621" w:rsidRPr="00BC613E" w:rsidRDefault="00664621" w:rsidP="008B2A1F">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14:paraId="0DF0A59F" w14:textId="045F5D17" w:rsidR="00664621" w:rsidRPr="00BC613E" w:rsidRDefault="00664621" w:rsidP="008B2A1F">
            <w:pPr>
              <w:spacing w:line="276" w:lineRule="auto"/>
              <w:rPr>
                <w:rFonts w:cs="Arial"/>
              </w:rPr>
            </w:pPr>
          </w:p>
        </w:tc>
      </w:tr>
      <w:tr w:rsidR="00664621" w14:paraId="0CCB9512" w14:textId="77777777" w:rsidTr="008B2A1F">
        <w:tc>
          <w:tcPr>
            <w:tcW w:w="3794" w:type="dxa"/>
            <w:gridSpan w:val="2"/>
          </w:tcPr>
          <w:p w14:paraId="18D73CF7"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144A9890" w14:textId="5982FF8A" w:rsidR="00664621" w:rsidRDefault="00664621" w:rsidP="008B2A1F">
            <w:pPr>
              <w:spacing w:line="276" w:lineRule="auto"/>
              <w:rPr>
                <w:rFonts w:cs="Arial"/>
              </w:rPr>
            </w:pPr>
          </w:p>
        </w:tc>
      </w:tr>
      <w:tr w:rsidR="00664621" w:rsidRPr="00A177F3" w14:paraId="06238436" w14:textId="77777777" w:rsidTr="008B2A1F">
        <w:tc>
          <w:tcPr>
            <w:tcW w:w="3794" w:type="dxa"/>
            <w:gridSpan w:val="2"/>
          </w:tcPr>
          <w:p w14:paraId="79229553"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EC77D6D" w14:textId="11923637" w:rsidR="00664621" w:rsidRPr="00A177F3" w:rsidRDefault="00664621" w:rsidP="008B2A1F">
            <w:pPr>
              <w:rPr>
                <w:rFonts w:cs="Arial"/>
              </w:rPr>
            </w:pPr>
          </w:p>
        </w:tc>
      </w:tr>
      <w:tr w:rsidR="002E2600" w:rsidRPr="00BC613E" w14:paraId="3E2B4997" w14:textId="77777777" w:rsidTr="00F646FF">
        <w:tc>
          <w:tcPr>
            <w:tcW w:w="9354" w:type="dxa"/>
            <w:gridSpan w:val="4"/>
          </w:tcPr>
          <w:p w14:paraId="67302C95" w14:textId="11617C89" w:rsidR="002E2600" w:rsidRPr="002E2600" w:rsidRDefault="002E2600" w:rsidP="004F2847">
            <w:pPr>
              <w:spacing w:line="276" w:lineRule="auto"/>
              <w:rPr>
                <w:rFonts w:cs="Arial"/>
                <w:i/>
              </w:rPr>
            </w:pP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14:paraId="1DB2EA31" w14:textId="77777777" w:rsidR="00AF7AD9" w:rsidRDefault="00AF7AD9" w:rsidP="005C096F">
      <w:pPr>
        <w:rPr>
          <w:rFonts w:cs="Arial"/>
        </w:rPr>
      </w:pPr>
    </w:p>
    <w:p w14:paraId="73CF2673" w14:textId="77777777" w:rsidR="00801E86" w:rsidRDefault="00AF7AD9" w:rsidP="005C096F">
      <w:pPr>
        <w:rPr>
          <w:rFonts w:cs="Arial"/>
        </w:rPr>
      </w:pPr>
      <w:r>
        <w:rPr>
          <w:rFonts w:cs="Arial"/>
        </w:rPr>
        <w:t>a</w:t>
      </w:r>
    </w:p>
    <w:p w14:paraId="6D030302"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EC0164B" w14:textId="77777777" w:rsidTr="00AF7AD9">
        <w:tc>
          <w:tcPr>
            <w:tcW w:w="3794" w:type="dxa"/>
          </w:tcPr>
          <w:p w14:paraId="27976009"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54BF9EE" w14:textId="77777777" w:rsidR="00801E86" w:rsidRPr="00BC613E" w:rsidRDefault="00801E86" w:rsidP="00B96695">
            <w:pPr>
              <w:spacing w:line="276" w:lineRule="auto"/>
              <w:rPr>
                <w:rFonts w:cs="Arial"/>
              </w:rPr>
            </w:pPr>
          </w:p>
        </w:tc>
      </w:tr>
      <w:tr w:rsidR="00793922" w:rsidRPr="00BC613E" w14:paraId="3A15343A" w14:textId="77777777" w:rsidTr="00AF7AD9">
        <w:tc>
          <w:tcPr>
            <w:tcW w:w="3794" w:type="dxa"/>
          </w:tcPr>
          <w:p w14:paraId="2A243EBF" w14:textId="57AFF33E" w:rsidR="00793922" w:rsidRPr="00BC613E" w:rsidRDefault="00793922" w:rsidP="00793922">
            <w:pPr>
              <w:pStyle w:val="adresa"/>
              <w:spacing w:line="276" w:lineRule="auto"/>
              <w:rPr>
                <w:rFonts w:asciiTheme="minorHAnsi" w:hAnsiTheme="minorHAnsi" w:cs="Arial"/>
              </w:rPr>
            </w:pPr>
            <w:r>
              <w:rPr>
                <w:rFonts w:asciiTheme="minorHAnsi" w:hAnsiTheme="minorHAnsi" w:cs="Arial"/>
              </w:rPr>
              <w:t>AV MEDIA SYSTEMS, a.s.</w:t>
            </w:r>
          </w:p>
        </w:tc>
        <w:tc>
          <w:tcPr>
            <w:tcW w:w="5418" w:type="dxa"/>
          </w:tcPr>
          <w:p w14:paraId="4B87F6D5" w14:textId="77777777" w:rsidR="00793922" w:rsidRPr="00BC613E" w:rsidRDefault="00793922" w:rsidP="00793922">
            <w:pPr>
              <w:spacing w:line="276" w:lineRule="auto"/>
              <w:rPr>
                <w:rFonts w:cs="Arial"/>
              </w:rPr>
            </w:pPr>
          </w:p>
        </w:tc>
      </w:tr>
      <w:tr w:rsidR="00793922" w:rsidRPr="00BC613E" w14:paraId="0FEDC9BA" w14:textId="77777777" w:rsidTr="00AF7AD9">
        <w:tc>
          <w:tcPr>
            <w:tcW w:w="3794" w:type="dxa"/>
          </w:tcPr>
          <w:p w14:paraId="5A816FA8" w14:textId="4B26DCA2"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32A57106" w14:textId="51A8C495" w:rsidR="00793922" w:rsidRPr="00BC613E" w:rsidRDefault="00793922" w:rsidP="00793922">
            <w:pPr>
              <w:spacing w:line="276" w:lineRule="auto"/>
              <w:rPr>
                <w:rFonts w:cs="Arial"/>
              </w:rPr>
            </w:pPr>
            <w:r>
              <w:rPr>
                <w:rFonts w:cs="Arial"/>
              </w:rPr>
              <w:t>Pražská 1335/63, 102 00 Praha 10</w:t>
            </w:r>
          </w:p>
        </w:tc>
      </w:tr>
      <w:tr w:rsidR="00793922" w:rsidRPr="00BC613E" w14:paraId="13FF5BC7" w14:textId="77777777" w:rsidTr="00AF7AD9">
        <w:tc>
          <w:tcPr>
            <w:tcW w:w="3794" w:type="dxa"/>
          </w:tcPr>
          <w:p w14:paraId="3060902E" w14:textId="230B0B30"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0388039D" w14:textId="313690BB" w:rsidR="00793922" w:rsidRPr="00BC613E" w:rsidRDefault="00793922" w:rsidP="00793922">
            <w:pPr>
              <w:pStyle w:val="pole"/>
              <w:spacing w:line="276" w:lineRule="auto"/>
              <w:rPr>
                <w:rFonts w:asciiTheme="minorHAnsi" w:hAnsiTheme="minorHAnsi" w:cs="Arial"/>
              </w:rPr>
            </w:pPr>
          </w:p>
        </w:tc>
      </w:tr>
      <w:tr w:rsidR="00793922" w:rsidRPr="00BC613E" w14:paraId="48A816F0" w14:textId="77777777" w:rsidTr="00AF7AD9">
        <w:tc>
          <w:tcPr>
            <w:tcW w:w="3794" w:type="dxa"/>
          </w:tcPr>
          <w:p w14:paraId="4670AE8B" w14:textId="27EF18A6"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6BE4EEBF" w14:textId="543FFBE1" w:rsidR="00793922" w:rsidRPr="00BC613E" w:rsidRDefault="00793922" w:rsidP="00793922">
            <w:pPr>
              <w:spacing w:line="276" w:lineRule="auto"/>
              <w:rPr>
                <w:rFonts w:cs="Arial"/>
              </w:rPr>
            </w:pPr>
            <w:r>
              <w:rPr>
                <w:rFonts w:cs="Arial"/>
              </w:rPr>
              <w:t>48108375</w:t>
            </w:r>
          </w:p>
        </w:tc>
      </w:tr>
      <w:tr w:rsidR="00793922" w:rsidRPr="00BC613E" w14:paraId="1B6CAD18" w14:textId="77777777" w:rsidTr="00AF7AD9">
        <w:tc>
          <w:tcPr>
            <w:tcW w:w="3794" w:type="dxa"/>
          </w:tcPr>
          <w:p w14:paraId="7384D146" w14:textId="0B108B99"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495D4D56" w14:textId="5D012B6E" w:rsidR="00793922" w:rsidRPr="00BC613E" w:rsidRDefault="00793922" w:rsidP="00793922">
            <w:pPr>
              <w:spacing w:line="276" w:lineRule="auto"/>
              <w:rPr>
                <w:rFonts w:cs="Arial"/>
              </w:rPr>
            </w:pPr>
            <w:r>
              <w:rPr>
                <w:rFonts w:cs="Arial"/>
              </w:rPr>
              <w:t>CZ48108375</w:t>
            </w:r>
          </w:p>
        </w:tc>
      </w:tr>
      <w:tr w:rsidR="00793922" w:rsidRPr="00BC613E" w14:paraId="511699AD" w14:textId="77777777" w:rsidTr="00AF7AD9">
        <w:tc>
          <w:tcPr>
            <w:tcW w:w="3794" w:type="dxa"/>
          </w:tcPr>
          <w:p w14:paraId="333924D2" w14:textId="489C5CD1"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14:paraId="3246617C" w14:textId="155B2AFB" w:rsidR="00793922" w:rsidRPr="00BC613E" w:rsidRDefault="00793922" w:rsidP="00793922">
            <w:pPr>
              <w:spacing w:line="276" w:lineRule="auto"/>
              <w:rPr>
                <w:rFonts w:cs="Arial"/>
              </w:rPr>
            </w:pPr>
          </w:p>
        </w:tc>
      </w:tr>
      <w:tr w:rsidR="00793922" w:rsidRPr="00BC613E" w14:paraId="5090CDE9" w14:textId="77777777" w:rsidTr="00AF7AD9">
        <w:tc>
          <w:tcPr>
            <w:tcW w:w="3794" w:type="dxa"/>
          </w:tcPr>
          <w:p w14:paraId="6B127490" w14:textId="25712841" w:rsidR="00793922" w:rsidRDefault="00793922" w:rsidP="00793922">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14:paraId="3E0E95AC" w14:textId="658C98E0" w:rsidR="00793922" w:rsidRPr="00BC613E" w:rsidRDefault="00793922" w:rsidP="00793922">
            <w:pPr>
              <w:pStyle w:val="pole"/>
              <w:spacing w:line="276" w:lineRule="auto"/>
              <w:rPr>
                <w:rFonts w:asciiTheme="minorHAnsi" w:hAnsiTheme="minorHAnsi" w:cs="Arial"/>
              </w:rPr>
            </w:pPr>
          </w:p>
        </w:tc>
      </w:tr>
      <w:tr w:rsidR="00793922" w:rsidRPr="00BC613E" w14:paraId="65877C49" w14:textId="77777777" w:rsidTr="00AF7AD9">
        <w:tc>
          <w:tcPr>
            <w:tcW w:w="3794" w:type="dxa"/>
          </w:tcPr>
          <w:p w14:paraId="5E384919" w14:textId="134AA7FC"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14:paraId="30591BAD" w14:textId="5DD1C455" w:rsidR="00793922" w:rsidRPr="00BC613E" w:rsidRDefault="00793922" w:rsidP="00793922">
            <w:pPr>
              <w:spacing w:line="276" w:lineRule="auto"/>
              <w:rPr>
                <w:rFonts w:cs="Arial"/>
              </w:rPr>
            </w:pPr>
          </w:p>
        </w:tc>
      </w:tr>
      <w:tr w:rsidR="00793922" w:rsidRPr="00BC613E" w14:paraId="00C6734E" w14:textId="77777777" w:rsidTr="00AF7AD9">
        <w:tc>
          <w:tcPr>
            <w:tcW w:w="3794" w:type="dxa"/>
          </w:tcPr>
          <w:p w14:paraId="19B7DE74" w14:textId="72A9F7B9" w:rsidR="00793922" w:rsidRDefault="00793922" w:rsidP="00793922">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3DDDCB21" w14:textId="5365CD7D" w:rsidR="00793922" w:rsidRDefault="00793922" w:rsidP="00793922">
            <w:pPr>
              <w:spacing w:line="276" w:lineRule="auto"/>
              <w:rPr>
                <w:rFonts w:cs="Arial"/>
              </w:rPr>
            </w:pPr>
          </w:p>
        </w:tc>
      </w:tr>
      <w:tr w:rsidR="00793922" w:rsidRPr="00BC613E" w14:paraId="47A53D89" w14:textId="77777777" w:rsidTr="00AF7AD9">
        <w:tc>
          <w:tcPr>
            <w:tcW w:w="3794" w:type="dxa"/>
          </w:tcPr>
          <w:p w14:paraId="5842214B" w14:textId="0505D02C" w:rsidR="00793922" w:rsidRDefault="00793922" w:rsidP="00793922">
            <w:pPr>
              <w:pStyle w:val="adresa"/>
              <w:spacing w:line="276" w:lineRule="auto"/>
              <w:jc w:val="right"/>
              <w:rPr>
                <w:rFonts w:asciiTheme="minorHAnsi" w:hAnsiTheme="minorHAnsi" w:cs="Arial"/>
                <w:b w:val="0"/>
              </w:rPr>
            </w:pPr>
            <w:r w:rsidRPr="00D96291">
              <w:rPr>
                <w:rFonts w:asciiTheme="minorHAnsi" w:hAnsiTheme="minorHAnsi" w:cs="Arial"/>
                <w:b w:val="0"/>
              </w:rPr>
              <w:t>e-mail:</w:t>
            </w:r>
          </w:p>
        </w:tc>
        <w:tc>
          <w:tcPr>
            <w:tcW w:w="5418" w:type="dxa"/>
          </w:tcPr>
          <w:p w14:paraId="7C042FA8" w14:textId="038921BC" w:rsidR="00793922" w:rsidRDefault="00793922" w:rsidP="00793922">
            <w:pPr>
              <w:spacing w:line="276" w:lineRule="auto"/>
              <w:rPr>
                <w:rFonts w:cs="Arial"/>
              </w:rPr>
            </w:pPr>
          </w:p>
        </w:tc>
      </w:tr>
      <w:tr w:rsidR="00793922" w:rsidRPr="00BC613E" w14:paraId="2DE043CB" w14:textId="77777777" w:rsidTr="00B96695">
        <w:tc>
          <w:tcPr>
            <w:tcW w:w="9212" w:type="dxa"/>
            <w:gridSpan w:val="2"/>
          </w:tcPr>
          <w:p w14:paraId="29369433" w14:textId="21CB5550" w:rsidR="00793922" w:rsidRPr="00BC613E" w:rsidRDefault="00793922" w:rsidP="00793922">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w:t>
            </w:r>
            <w:r w:rsidRPr="00070C97">
              <w:rPr>
                <w:rFonts w:asciiTheme="minorHAnsi" w:hAnsiTheme="minorHAnsi" w:cstheme="minorHAnsi"/>
              </w:rPr>
              <w:t xml:space="preserve">u </w:t>
            </w:r>
            <w:r>
              <w:rPr>
                <w:rFonts w:asciiTheme="minorHAnsi" w:hAnsiTheme="minorHAnsi" w:cstheme="minorHAnsi"/>
              </w:rPr>
              <w:t>Městského soudu v Praze</w:t>
            </w:r>
            <w:r w:rsidRPr="00070C97">
              <w:rPr>
                <w:rFonts w:asciiTheme="minorHAnsi" w:hAnsiTheme="minorHAnsi" w:cstheme="minorHAnsi"/>
              </w:rPr>
              <w:t>, oddíl</w:t>
            </w:r>
            <w:r>
              <w:rPr>
                <w:rFonts w:asciiTheme="minorHAnsi" w:hAnsiTheme="minorHAnsi" w:cstheme="minorHAnsi"/>
              </w:rPr>
              <w:t xml:space="preserve"> B</w:t>
            </w:r>
            <w:r w:rsidRPr="00070C97">
              <w:rPr>
                <w:rFonts w:asciiTheme="minorHAnsi" w:hAnsiTheme="minorHAnsi" w:cstheme="minorHAnsi"/>
              </w:rPr>
              <w:t xml:space="preserve">, vložka </w:t>
            </w:r>
            <w:r>
              <w:rPr>
                <w:rFonts w:asciiTheme="minorHAnsi" w:hAnsiTheme="minorHAnsi" w:cstheme="minorHAnsi"/>
              </w:rPr>
              <w:t>10120</w:t>
            </w:r>
            <w:r w:rsidRPr="00BC613E">
              <w:rPr>
                <w:rFonts w:asciiTheme="minorHAnsi" w:hAnsiTheme="minorHAnsi" w:cs="Arial"/>
              </w:rPr>
              <w:t xml:space="preserve">  </w:t>
            </w:r>
          </w:p>
        </w:tc>
      </w:tr>
      <w:tr w:rsidR="002E2600" w:rsidRPr="00BC613E" w14:paraId="7543EA99" w14:textId="77777777" w:rsidTr="00BD1D4B">
        <w:tc>
          <w:tcPr>
            <w:tcW w:w="9212" w:type="dxa"/>
            <w:gridSpan w:val="2"/>
          </w:tcPr>
          <w:p w14:paraId="0F957F5E" w14:textId="77777777"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14:paraId="498BEB4A" w14:textId="77777777" w:rsidR="00AF7AD9" w:rsidRDefault="00AF7AD9" w:rsidP="00AF7AD9">
      <w:pPr>
        <w:jc w:val="center"/>
        <w:rPr>
          <w:rFonts w:cs="Arial"/>
        </w:rPr>
      </w:pPr>
    </w:p>
    <w:p w14:paraId="17CE4B87" w14:textId="77777777" w:rsidR="005C096F" w:rsidRDefault="005C096F" w:rsidP="00AF7AD9">
      <w:pPr>
        <w:jc w:val="center"/>
        <w:rPr>
          <w:rFonts w:cs="Arial"/>
        </w:rPr>
      </w:pPr>
    </w:p>
    <w:p w14:paraId="6034451F" w14:textId="77777777" w:rsidR="00801E86" w:rsidRDefault="00801E86" w:rsidP="00AF7AD9">
      <w:pPr>
        <w:jc w:val="center"/>
        <w:rPr>
          <w:rFonts w:cs="Arial"/>
        </w:rPr>
      </w:pPr>
      <w:r w:rsidRPr="00BC613E">
        <w:rPr>
          <w:rFonts w:cs="Arial"/>
        </w:rPr>
        <w:t>uzavírají níže uvedeného dne, měsíce a roku tuto</w:t>
      </w:r>
    </w:p>
    <w:p w14:paraId="504C9040" w14:textId="77777777" w:rsidR="005C096F" w:rsidRDefault="005C096F" w:rsidP="00AF7AD9">
      <w:pPr>
        <w:jc w:val="center"/>
        <w:rPr>
          <w:rFonts w:cs="Arial"/>
        </w:rPr>
      </w:pPr>
    </w:p>
    <w:p w14:paraId="2446C6DC" w14:textId="77777777" w:rsidR="005C096F" w:rsidRPr="00BC613E" w:rsidRDefault="005C096F" w:rsidP="00AF7AD9">
      <w:pPr>
        <w:jc w:val="center"/>
        <w:rPr>
          <w:rFonts w:cs="Arial"/>
        </w:rPr>
      </w:pPr>
    </w:p>
    <w:p w14:paraId="4A47B712"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3C46FC84" w14:textId="77777777" w:rsidR="005C096F" w:rsidRDefault="00BE76E8" w:rsidP="005C096F">
      <w:pPr>
        <w:jc w:val="center"/>
        <w:rPr>
          <w:rFonts w:cs="Arial"/>
          <w:b/>
        </w:rPr>
      </w:pPr>
      <w:r>
        <w:rPr>
          <w:rFonts w:cs="Arial"/>
          <w:b/>
        </w:rPr>
        <w:t>(dále jen „smlouva“)</w:t>
      </w:r>
    </w:p>
    <w:p w14:paraId="0A5218AA" w14:textId="77777777"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0A88FAE4" w14:textId="77777777" w:rsidR="00730504" w:rsidRPr="00BC613E" w:rsidRDefault="00730504" w:rsidP="005C096F">
      <w:pPr>
        <w:jc w:val="center"/>
        <w:rPr>
          <w:rFonts w:cs="Arial"/>
          <w:b/>
        </w:rPr>
      </w:pPr>
    </w:p>
    <w:p w14:paraId="440DBB18" w14:textId="0A596851" w:rsidR="00E17613" w:rsidRPr="002F6B7A"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w:t>
      </w:r>
      <w:r w:rsidRPr="002F6B7A">
        <w:rPr>
          <w:rFonts w:cs="Arial"/>
          <w:iCs/>
        </w:rPr>
        <w:t xml:space="preserve">základě výsledku </w:t>
      </w:r>
      <w:r w:rsidR="00212CF4" w:rsidRPr="002F6B7A">
        <w:rPr>
          <w:rFonts w:cstheme="minorHAnsi"/>
        </w:rPr>
        <w:t>výběrového</w:t>
      </w:r>
      <w:r w:rsidRPr="002F6B7A">
        <w:rPr>
          <w:rFonts w:cs="Arial"/>
          <w:iCs/>
        </w:rPr>
        <w:t xml:space="preserve"> řízení </w:t>
      </w:r>
      <w:r w:rsidR="00654A33" w:rsidRPr="002F6B7A">
        <w:rPr>
          <w:rFonts w:cs="Arial"/>
          <w:b/>
          <w:i/>
          <w:iCs/>
        </w:rPr>
        <w:t>„</w:t>
      </w:r>
      <w:r w:rsidR="005F244A" w:rsidRPr="002F6B7A">
        <w:rPr>
          <w:rFonts w:ascii="Calibri" w:hAnsi="Calibri" w:cs="Calibri"/>
          <w:b/>
          <w:i/>
          <w:iCs/>
        </w:rPr>
        <w:t xml:space="preserve">Pořízení ICT vybavení pro </w:t>
      </w:r>
      <w:r w:rsidR="005F244A" w:rsidRPr="002F6B7A">
        <w:rPr>
          <w:rFonts w:cstheme="minorHAnsi"/>
          <w:b/>
          <w:bCs/>
          <w:i/>
          <w:iCs/>
          <w:lang w:eastAsia="cs-CZ"/>
        </w:rPr>
        <w:t>Základní školu Kadaň, ul. Školní 1479, okr. Chomutov - 2023</w:t>
      </w:r>
      <w:r w:rsidR="00654A33" w:rsidRPr="002F6B7A">
        <w:rPr>
          <w:rFonts w:cstheme="minorHAnsi"/>
          <w:b/>
          <w:i/>
        </w:rPr>
        <w:t>“</w:t>
      </w:r>
    </w:p>
    <w:p w14:paraId="5DCF5F62" w14:textId="77777777" w:rsidR="00801E86" w:rsidRPr="002E2600" w:rsidRDefault="002E2600" w:rsidP="00D477AE">
      <w:pPr>
        <w:numPr>
          <w:ilvl w:val="0"/>
          <w:numId w:val="6"/>
        </w:numPr>
        <w:contextualSpacing/>
        <w:jc w:val="both"/>
        <w:rPr>
          <w:rFonts w:cs="Arial"/>
          <w:sz w:val="24"/>
        </w:rPr>
      </w:pPr>
      <w:r w:rsidRPr="002F6B7A">
        <w:rPr>
          <w:rFonts w:cstheme="minorHAnsi"/>
        </w:rPr>
        <w:t>Prodávající se touto smlouvou zavazuje, že kupujícímu odevzdá</w:t>
      </w:r>
      <w:r w:rsidRPr="002E2600">
        <w:rPr>
          <w:rFonts w:cstheme="minorHAnsi"/>
        </w:rPr>
        <w:t xml:space="preserve">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778B205E" w14:textId="77777777"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93D1D">
        <w:rPr>
          <w:rFonts w:cstheme="minorHAnsi"/>
        </w:rPr>
        <w:t>, instalaci a</w:t>
      </w:r>
      <w:r w:rsidR="00065E86">
        <w:rPr>
          <w:rFonts w:cstheme="minorHAnsi"/>
        </w:rPr>
        <w:t xml:space="preserve"> související činnosti (zejm. </w:t>
      </w:r>
      <w:r w:rsidR="0054471C">
        <w:rPr>
          <w:rFonts w:cstheme="minorHAnsi"/>
        </w:rPr>
        <w:t>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14:paraId="2F65BA53" w14:textId="77777777"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730504">
        <w:rPr>
          <w:rFonts w:cstheme="minorHAnsi"/>
        </w:rPr>
        <w:t>položkový rozpočet vč. specifikace předmětu plnění</w:t>
      </w:r>
      <w:r w:rsidR="00916C92">
        <w:rPr>
          <w:rFonts w:cstheme="minorHAnsi"/>
        </w:rPr>
        <w:t>), která obsahuje podrobnou</w:t>
      </w:r>
      <w:r w:rsidR="00730504">
        <w:rPr>
          <w:rFonts w:cstheme="minorHAnsi"/>
        </w:rPr>
        <w:t xml:space="preserve"> specifikaci</w:t>
      </w:r>
      <w:r w:rsidR="00916C92">
        <w:rPr>
          <w:rFonts w:cstheme="minorHAnsi"/>
        </w:rPr>
        <w:t xml:space="preserve"> předmětu plnění </w:t>
      </w:r>
      <w:r w:rsidR="00730504">
        <w:rPr>
          <w:rFonts w:cstheme="minorHAnsi"/>
        </w:rPr>
        <w:t xml:space="preserve">ve formě minimálních zadavatelem požadovaných parametrů </w:t>
      </w:r>
      <w:r w:rsidR="00916C92">
        <w:rPr>
          <w:rFonts w:cstheme="minorHAnsi"/>
        </w:rPr>
        <w:t xml:space="preserve">a </w:t>
      </w:r>
      <w:r w:rsidRPr="000F42E9">
        <w:rPr>
          <w:rFonts w:cstheme="minorHAnsi"/>
        </w:rPr>
        <w:t>je nedílnou součástí smlouvy.</w:t>
      </w:r>
    </w:p>
    <w:p w14:paraId="6CA9C583" w14:textId="77777777"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14:paraId="480B17BE" w14:textId="77777777"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14:paraId="6C9AB641" w14:textId="77777777" w:rsidR="005C29C5" w:rsidRDefault="005C29C5" w:rsidP="005C29C5">
      <w:pPr>
        <w:ind w:left="283"/>
        <w:contextualSpacing/>
        <w:jc w:val="both"/>
        <w:rPr>
          <w:rFonts w:cs="Arial"/>
          <w:color w:val="0000FF"/>
        </w:rPr>
      </w:pPr>
    </w:p>
    <w:p w14:paraId="064EBA7A" w14:textId="77777777" w:rsidR="00730504" w:rsidRPr="000F42E9" w:rsidRDefault="00730504" w:rsidP="005C29C5">
      <w:pPr>
        <w:ind w:left="283"/>
        <w:contextualSpacing/>
        <w:jc w:val="both"/>
        <w:rPr>
          <w:rFonts w:cs="Arial"/>
          <w:color w:val="0000FF"/>
        </w:rPr>
      </w:pPr>
    </w:p>
    <w:p w14:paraId="15548C4D" w14:textId="77777777"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67971F5E" w14:textId="77777777" w:rsidR="00730504" w:rsidRPr="00BC613E" w:rsidRDefault="00730504" w:rsidP="00B767EF">
      <w:pPr>
        <w:jc w:val="center"/>
        <w:rPr>
          <w:rFonts w:cs="Arial"/>
          <w:b/>
        </w:rPr>
      </w:pPr>
    </w:p>
    <w:p w14:paraId="2B9B383C" w14:textId="77777777" w:rsidR="00730504" w:rsidRPr="00730504" w:rsidRDefault="000F42E9" w:rsidP="00730504">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559"/>
        <w:gridCol w:w="1417"/>
        <w:gridCol w:w="1560"/>
        <w:gridCol w:w="1984"/>
      </w:tblGrid>
      <w:tr w:rsidR="00730504" w:rsidRPr="00910046" w14:paraId="4BD26DF8" w14:textId="77777777"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C91C87" w14:textId="77777777" w:rsidR="00730504" w:rsidRPr="00910046" w:rsidRDefault="00730504" w:rsidP="00702DC4">
            <w:pPr>
              <w:jc w:val="center"/>
              <w:rPr>
                <w:b/>
              </w:rPr>
            </w:pPr>
            <w:r>
              <w:rPr>
                <w:b/>
              </w:rPr>
              <w:t>položka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5852DD" w14:textId="77777777" w:rsidR="00730504" w:rsidRPr="00910046" w:rsidRDefault="00730504" w:rsidP="00702DC4">
            <w:pPr>
              <w:jc w:val="center"/>
              <w:rPr>
                <w:b/>
                <w:color w:val="000000"/>
              </w:rPr>
            </w:pPr>
            <w:r w:rsidRPr="00910046">
              <w:rPr>
                <w:rFonts w:cs="Calibri"/>
                <w:b/>
                <w:color w:val="000000"/>
              </w:rPr>
              <w:t>cena bez DPH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6FD0D0" w14:textId="77777777" w:rsidR="00730504" w:rsidRPr="00910046" w:rsidRDefault="00730504" w:rsidP="00702DC4">
            <w:pPr>
              <w:jc w:val="center"/>
              <w:rPr>
                <w:b/>
                <w:color w:val="000000"/>
              </w:rPr>
            </w:pPr>
            <w:r w:rsidRPr="00910046">
              <w:rPr>
                <w:rFonts w:cs="Calibri"/>
                <w:b/>
                <w:color w:val="000000"/>
              </w:rPr>
              <w:t>sazba DPH</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A7DF4" w14:textId="77777777" w:rsidR="00730504" w:rsidRPr="00910046" w:rsidRDefault="00730504" w:rsidP="00702DC4">
            <w:pPr>
              <w:jc w:val="center"/>
              <w:rPr>
                <w:b/>
                <w:color w:val="000000"/>
              </w:rPr>
            </w:pPr>
            <w:r w:rsidRPr="00910046">
              <w:rPr>
                <w:rFonts w:cs="Calibri"/>
                <w:b/>
                <w:color w:val="000000"/>
              </w:rPr>
              <w:t>výše DPH</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AEAA91" w14:textId="77777777" w:rsidR="00730504" w:rsidRPr="00910046" w:rsidRDefault="00730504" w:rsidP="00702DC4">
            <w:pPr>
              <w:jc w:val="center"/>
              <w:rPr>
                <w:b/>
                <w:color w:val="000000"/>
              </w:rPr>
            </w:pPr>
            <w:r w:rsidRPr="00910046">
              <w:rPr>
                <w:b/>
              </w:rPr>
              <w:t>cena vč. DPH</w:t>
            </w:r>
          </w:p>
        </w:tc>
      </w:tr>
      <w:tr w:rsidR="00730504" w:rsidRPr="00932245" w14:paraId="189BAB7C" w14:textId="77777777" w:rsidTr="00702DC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D18F25" w14:textId="3C8E42BF" w:rsidR="00730504" w:rsidRDefault="00E63DAC" w:rsidP="00702DC4">
            <w:pPr>
              <w:jc w:val="center"/>
              <w:rPr>
                <w:b/>
              </w:rPr>
            </w:pPr>
            <w:r>
              <w:rPr>
                <w:b/>
              </w:rPr>
              <w:t>výukové</w:t>
            </w:r>
            <w:r w:rsidR="00730504">
              <w:rPr>
                <w:b/>
              </w:rPr>
              <w:t xml:space="preserve"> pomůcky</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14:paraId="1C6D664B" w14:textId="31DFD291" w:rsidR="00730504" w:rsidRPr="003D27E7" w:rsidRDefault="003D27E7" w:rsidP="00702DC4">
            <w:pPr>
              <w:jc w:val="center"/>
              <w:rPr>
                <w:color w:val="000000"/>
              </w:rPr>
            </w:pPr>
            <w:r w:rsidRPr="003D27E7">
              <w:rPr>
                <w:color w:val="000000"/>
              </w:rPr>
              <w:t>308 426,00,-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BFA1BA5" w14:textId="77777777" w:rsidR="00730504" w:rsidRPr="003D27E7" w:rsidRDefault="00730504" w:rsidP="00702DC4">
            <w:pPr>
              <w:jc w:val="center"/>
              <w:rPr>
                <w:color w:val="000000"/>
              </w:rPr>
            </w:pPr>
            <w:r w:rsidRPr="003D27E7">
              <w:rPr>
                <w:color w:val="000000"/>
              </w:rPr>
              <w:t>21%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35035EF6" w14:textId="26E944A9" w:rsidR="00730504" w:rsidRPr="003D27E7" w:rsidRDefault="003D27E7" w:rsidP="00702DC4">
            <w:pPr>
              <w:jc w:val="center"/>
              <w:rPr>
                <w:color w:val="000000"/>
              </w:rPr>
            </w:pPr>
            <w:r w:rsidRPr="003D27E7">
              <w:rPr>
                <w:color w:val="000000"/>
              </w:rPr>
              <w:t>64 769,46,-</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5D5ECAEC" w14:textId="4249CC95" w:rsidR="00730504" w:rsidRPr="003D27E7" w:rsidRDefault="003D27E7" w:rsidP="00702DC4">
            <w:pPr>
              <w:jc w:val="center"/>
              <w:rPr>
                <w:color w:val="000000"/>
              </w:rPr>
            </w:pPr>
            <w:r w:rsidRPr="003D27E7">
              <w:rPr>
                <w:color w:val="000000"/>
              </w:rPr>
              <w:t>373 195,46,-</w:t>
            </w:r>
          </w:p>
        </w:tc>
      </w:tr>
      <w:tr w:rsidR="00730504" w:rsidRPr="00932245" w14:paraId="43D42647" w14:textId="77777777"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0E6F2B" w14:textId="77777777" w:rsidR="00730504" w:rsidRDefault="00730504" w:rsidP="00702DC4">
            <w:pPr>
              <w:jc w:val="center"/>
              <w:rPr>
                <w:b/>
              </w:rPr>
            </w:pPr>
            <w:r>
              <w:rPr>
                <w:b/>
              </w:rPr>
              <w:t>digitální propast</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14:paraId="6FCB8428" w14:textId="07AB4F94" w:rsidR="00730504" w:rsidRPr="003D27E7" w:rsidRDefault="003D27E7" w:rsidP="00702DC4">
            <w:pPr>
              <w:jc w:val="center"/>
              <w:rPr>
                <w:color w:val="000000"/>
              </w:rPr>
            </w:pPr>
            <w:r w:rsidRPr="003D27E7">
              <w:rPr>
                <w:color w:val="000000"/>
              </w:rPr>
              <w:t>373 648,00,-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D99F3EE" w14:textId="77777777" w:rsidR="00730504" w:rsidRPr="003D27E7" w:rsidRDefault="00730504" w:rsidP="00702DC4">
            <w:pPr>
              <w:jc w:val="center"/>
              <w:rPr>
                <w:color w:val="000000"/>
              </w:rPr>
            </w:pPr>
            <w:r w:rsidRPr="003D27E7">
              <w:rPr>
                <w:color w:val="000000"/>
              </w:rPr>
              <w:t>21%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62FE5F9" w14:textId="17D49F5A" w:rsidR="00730504" w:rsidRPr="003D27E7" w:rsidRDefault="003D27E7" w:rsidP="00702DC4">
            <w:pPr>
              <w:jc w:val="center"/>
              <w:rPr>
                <w:color w:val="000000"/>
              </w:rPr>
            </w:pPr>
            <w:r w:rsidRPr="003D27E7">
              <w:rPr>
                <w:color w:val="000000"/>
              </w:rPr>
              <w:t>78 466,08,-</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6966CAE" w14:textId="0FE21D24" w:rsidR="00730504" w:rsidRPr="003D27E7" w:rsidRDefault="003D27E7" w:rsidP="00702DC4">
            <w:pPr>
              <w:jc w:val="center"/>
              <w:rPr>
                <w:color w:val="000000"/>
              </w:rPr>
            </w:pPr>
            <w:r w:rsidRPr="003D27E7">
              <w:rPr>
                <w:color w:val="000000"/>
              </w:rPr>
              <w:t>452 114,08,-</w:t>
            </w:r>
          </w:p>
        </w:tc>
      </w:tr>
      <w:tr w:rsidR="00730504" w14:paraId="12A6D4CE" w14:textId="77777777"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CD4E2E" w14:textId="77777777" w:rsidR="00730504" w:rsidRDefault="00730504" w:rsidP="00702DC4">
            <w:pPr>
              <w:jc w:val="center"/>
              <w:rPr>
                <w:b/>
              </w:rPr>
            </w:pPr>
            <w:r>
              <w:rPr>
                <w:b/>
              </w:rPr>
              <w:t>Cena celkem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3D1321" w14:textId="6F304726" w:rsidR="00730504" w:rsidRPr="003D27E7" w:rsidRDefault="003D27E7" w:rsidP="00702DC4">
            <w:pPr>
              <w:jc w:val="center"/>
              <w:rPr>
                <w:b/>
                <w:color w:val="000000"/>
              </w:rPr>
            </w:pPr>
            <w:r w:rsidRPr="003D27E7">
              <w:rPr>
                <w:b/>
                <w:color w:val="000000"/>
              </w:rPr>
              <w:t>682 074,00,-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13995A" w14:textId="77777777" w:rsidR="00730504" w:rsidRPr="003D27E7" w:rsidRDefault="00730504" w:rsidP="00702DC4">
            <w:pPr>
              <w:jc w:val="center"/>
              <w:rPr>
                <w:b/>
                <w:color w:val="000000"/>
              </w:rPr>
            </w:pPr>
            <w:r w:rsidRPr="003D27E7">
              <w:rPr>
                <w:b/>
                <w:color w:val="000000"/>
              </w:rPr>
              <w:t>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EECA8" w14:textId="0C8BA62C" w:rsidR="00730504" w:rsidRPr="003D27E7" w:rsidRDefault="003D27E7" w:rsidP="00702DC4">
            <w:pPr>
              <w:jc w:val="center"/>
              <w:rPr>
                <w:b/>
                <w:color w:val="000000"/>
              </w:rPr>
            </w:pPr>
            <w:r w:rsidRPr="003D27E7">
              <w:rPr>
                <w:b/>
                <w:color w:val="000000"/>
              </w:rPr>
              <w:t>143 235,54,-</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F9D681" w14:textId="175C280F" w:rsidR="00730504" w:rsidRPr="003D27E7" w:rsidRDefault="003D27E7" w:rsidP="00730504">
            <w:pPr>
              <w:jc w:val="center"/>
              <w:rPr>
                <w:b/>
              </w:rPr>
            </w:pPr>
            <w:r w:rsidRPr="003D27E7">
              <w:rPr>
                <w:b/>
                <w:color w:val="000000"/>
              </w:rPr>
              <w:t>825 309,54,-</w:t>
            </w:r>
          </w:p>
        </w:tc>
      </w:tr>
    </w:tbl>
    <w:p w14:paraId="253E9052" w14:textId="77777777" w:rsidR="000F42E9" w:rsidRDefault="000F42E9" w:rsidP="00730504">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xml:space="preserve">, jeho </w:t>
      </w:r>
      <w:r w:rsidR="0037165E">
        <w:t xml:space="preserve">instalace a uvedení do provozu </w:t>
      </w:r>
      <w:r w:rsidRPr="000F42E9">
        <w:t>a</w:t>
      </w:r>
      <w:r w:rsidR="00916C92">
        <w:t xml:space="preserve"> následné</w:t>
      </w:r>
      <w:r>
        <w:t xml:space="preserve"> zaškolení kupujícího</w:t>
      </w:r>
      <w:r w:rsidRPr="000F42E9">
        <w:t xml:space="preserve"> nebo o</w:t>
      </w:r>
      <w:r>
        <w:t>sob jím určených ohledně způsobu užívání předmětu prodeje.</w:t>
      </w:r>
    </w:p>
    <w:p w14:paraId="6C335714" w14:textId="77777777"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14:paraId="08A08A70" w14:textId="77777777"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14:paraId="11EB9B05"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14:paraId="16A6C85D" w14:textId="77777777"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14:paraId="17615E72" w14:textId="77777777" w:rsidR="004508B6" w:rsidRPr="00DD184E" w:rsidRDefault="004508B6" w:rsidP="00542B40">
      <w:pPr>
        <w:pStyle w:val="Odstavecseseznamem"/>
        <w:numPr>
          <w:ilvl w:val="0"/>
          <w:numId w:val="21"/>
        </w:numPr>
        <w:ind w:left="284" w:hanging="284"/>
        <w:jc w:val="both"/>
      </w:pPr>
      <w:r w:rsidRPr="00093D1D">
        <w:rPr>
          <w:rFonts w:cstheme="minorHAnsi"/>
          <w:szCs w:val="20"/>
        </w:rPr>
        <w:lastRenderedPageBreak/>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14:paraId="0D70F9E8" w14:textId="77777777"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14:paraId="422FFF7D" w14:textId="77777777"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46693FD1" w14:textId="77777777" w:rsidR="004A17C9" w:rsidRDefault="004A17C9" w:rsidP="00801E86">
      <w:pPr>
        <w:jc w:val="center"/>
        <w:rPr>
          <w:rFonts w:cs="Arial"/>
          <w:b/>
        </w:rPr>
      </w:pPr>
    </w:p>
    <w:p w14:paraId="4EC213DC" w14:textId="77777777" w:rsidR="00730504" w:rsidRDefault="00730504" w:rsidP="00801E86">
      <w:pPr>
        <w:jc w:val="center"/>
        <w:rPr>
          <w:rFonts w:cs="Arial"/>
          <w:b/>
        </w:rPr>
      </w:pPr>
    </w:p>
    <w:p w14:paraId="0680BE16" w14:textId="77777777"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14:paraId="1408F955" w14:textId="77777777" w:rsidR="00730504" w:rsidRPr="00E71D41" w:rsidRDefault="00730504" w:rsidP="00801E86">
      <w:pPr>
        <w:jc w:val="center"/>
        <w:rPr>
          <w:rFonts w:cs="Arial"/>
          <w:b/>
        </w:rPr>
      </w:pPr>
    </w:p>
    <w:p w14:paraId="3751F338" w14:textId="77777777"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093D1D">
        <w:rPr>
          <w:rFonts w:cstheme="minorHAnsi"/>
          <w:szCs w:val="20"/>
        </w:rPr>
        <w:t>6</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14:paraId="5DEC6DCE" w14:textId="611CDC0A"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E63DAC" w:rsidRPr="009A40CA">
        <w:rPr>
          <w:rStyle w:val="tsubjname"/>
          <w:rFonts w:cstheme="minorHAnsi"/>
        </w:rPr>
        <w:t>Základní škola Kadaň, ul. Školní 1479, okr. Chomutov</w:t>
      </w:r>
      <w:r w:rsidR="00E63DAC" w:rsidRPr="0017201D">
        <w:rPr>
          <w:rFonts w:cstheme="minorHAnsi"/>
        </w:rPr>
        <w:t xml:space="preserve">, </w:t>
      </w:r>
      <w:r w:rsidR="00E63DAC">
        <w:rPr>
          <w:rFonts w:cstheme="minorHAnsi"/>
        </w:rPr>
        <w:t>432 01 Kadaň</w:t>
      </w:r>
      <w:r w:rsidR="00E71D41">
        <w:rPr>
          <w:rFonts w:cstheme="minorHAnsi"/>
        </w:rPr>
        <w:t>)</w:t>
      </w:r>
      <w:r w:rsidRPr="00EB45A1">
        <w:rPr>
          <w:rFonts w:cstheme="minorHAnsi"/>
          <w:szCs w:val="20"/>
        </w:rPr>
        <w:t>, náklady na dopr</w:t>
      </w:r>
      <w:r>
        <w:rPr>
          <w:rFonts w:cstheme="minorHAnsi"/>
          <w:szCs w:val="20"/>
        </w:rPr>
        <w:t>avu a předání nese prodávající.</w:t>
      </w:r>
    </w:p>
    <w:p w14:paraId="523D561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161CC3E4" w14:textId="77777777"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14:paraId="6893CE41" w14:textId="77777777"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095C77F2" w14:textId="77777777" w:rsidR="005222F8" w:rsidRDefault="005222F8" w:rsidP="005222F8">
      <w:pPr>
        <w:pStyle w:val="Odstavecseseznamem"/>
        <w:ind w:left="284"/>
        <w:jc w:val="both"/>
        <w:rPr>
          <w:rFonts w:cs="Arial"/>
        </w:rPr>
      </w:pPr>
    </w:p>
    <w:p w14:paraId="3B723AB5" w14:textId="77777777" w:rsidR="00730504" w:rsidRPr="004508B6" w:rsidRDefault="00730504" w:rsidP="005222F8">
      <w:pPr>
        <w:pStyle w:val="Odstavecseseznamem"/>
        <w:ind w:left="284"/>
        <w:jc w:val="both"/>
        <w:rPr>
          <w:rFonts w:cs="Arial"/>
        </w:rPr>
      </w:pPr>
    </w:p>
    <w:p w14:paraId="284309A6" w14:textId="77777777" w:rsidR="005222F8" w:rsidRDefault="005222F8" w:rsidP="005222F8">
      <w:pPr>
        <w:jc w:val="center"/>
        <w:rPr>
          <w:b/>
        </w:rPr>
      </w:pPr>
      <w:r>
        <w:rPr>
          <w:rFonts w:cs="Arial"/>
          <w:b/>
        </w:rPr>
        <w:t>V</w:t>
      </w:r>
      <w:r w:rsidRPr="00BC613E">
        <w:rPr>
          <w:rFonts w:cs="Arial"/>
          <w:b/>
        </w:rPr>
        <w:t>.</w:t>
      </w:r>
      <w:r>
        <w:rPr>
          <w:rFonts w:cs="Arial"/>
          <w:b/>
        </w:rPr>
        <w:t xml:space="preserve"> </w:t>
      </w:r>
      <w:r>
        <w:rPr>
          <w:b/>
        </w:rPr>
        <w:t>Odstoupení od smlouvy</w:t>
      </w:r>
    </w:p>
    <w:p w14:paraId="2ED5DB41" w14:textId="77777777" w:rsidR="00730504" w:rsidRPr="00BC613E" w:rsidRDefault="00730504" w:rsidP="005222F8">
      <w:pPr>
        <w:jc w:val="center"/>
        <w:rPr>
          <w:rFonts w:cs="Arial"/>
          <w:b/>
        </w:rPr>
      </w:pPr>
    </w:p>
    <w:p w14:paraId="5D491E0F" w14:textId="77777777"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14:paraId="5913104C" w14:textId="77777777"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14:paraId="4B650E33" w14:textId="77777777"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14:paraId="7EDE8527" w14:textId="77777777"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14:paraId="39A72613" w14:textId="77777777" w:rsidR="005222F8" w:rsidRPr="00655C7C" w:rsidRDefault="005222F8" w:rsidP="005222F8">
      <w:pPr>
        <w:pStyle w:val="Odstavecseseznamem"/>
        <w:numPr>
          <w:ilvl w:val="1"/>
          <w:numId w:val="17"/>
        </w:numPr>
        <w:jc w:val="both"/>
        <w:rPr>
          <w:rFonts w:cs="Arial"/>
        </w:rPr>
      </w:pPr>
      <w:r>
        <w:t>přírodní katastrofy (např. povodně, vichřice),</w:t>
      </w:r>
    </w:p>
    <w:p w14:paraId="5C6C78F3" w14:textId="77777777"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14:paraId="4868D825" w14:textId="77777777" w:rsidR="005222F8" w:rsidRPr="00655C7C" w:rsidRDefault="005222F8" w:rsidP="005222F8">
      <w:pPr>
        <w:pStyle w:val="Odstavecseseznamem"/>
        <w:numPr>
          <w:ilvl w:val="1"/>
          <w:numId w:val="17"/>
        </w:numPr>
        <w:jc w:val="both"/>
        <w:rPr>
          <w:rFonts w:cs="Arial"/>
        </w:rPr>
      </w:pPr>
      <w:r>
        <w:lastRenderedPageBreak/>
        <w:t>výtržnost, stávka nebo výluka vyvolaná jinými osobami než je personál zhotovitele a jiní zaměstnanci zhotovitele</w:t>
      </w:r>
    </w:p>
    <w:p w14:paraId="7938E36C" w14:textId="77777777"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14:paraId="16799A3A" w14:textId="77777777" w:rsidR="004508B6" w:rsidRPr="005222F8" w:rsidRDefault="005222F8" w:rsidP="005222F8">
      <w:pPr>
        <w:pStyle w:val="Odstavecseseznamem"/>
        <w:numPr>
          <w:ilvl w:val="0"/>
          <w:numId w:val="17"/>
        </w:numPr>
        <w:ind w:left="284" w:hanging="284"/>
        <w:jc w:val="both"/>
        <w:rPr>
          <w:rFonts w:cs="Arial"/>
        </w:rPr>
      </w:pPr>
      <w:r>
        <w:t>Důsledky z vyšší moci může každá strana uplatnit nejpozději do 30 dnů po zjištění jejího vzniku.</w:t>
      </w:r>
    </w:p>
    <w:p w14:paraId="521E5D70" w14:textId="77777777" w:rsidR="005222F8" w:rsidRDefault="005222F8" w:rsidP="005222F8">
      <w:pPr>
        <w:rPr>
          <w:rFonts w:cs="Arial"/>
        </w:rPr>
      </w:pPr>
    </w:p>
    <w:p w14:paraId="71F37EA1" w14:textId="77777777" w:rsidR="00730504" w:rsidRDefault="00730504" w:rsidP="005222F8">
      <w:pPr>
        <w:rPr>
          <w:rFonts w:cs="Arial"/>
        </w:rPr>
      </w:pPr>
    </w:p>
    <w:p w14:paraId="254DEABD" w14:textId="77777777" w:rsidR="00801E86" w:rsidRDefault="00103F74" w:rsidP="00BE76E8">
      <w:pPr>
        <w:jc w:val="center"/>
        <w:rPr>
          <w:b/>
        </w:rPr>
      </w:pPr>
      <w:r>
        <w:rPr>
          <w:rFonts w:cs="Arial"/>
          <w:b/>
        </w:rPr>
        <w:t>V</w:t>
      </w:r>
      <w:r w:rsidR="00A3281F">
        <w:rPr>
          <w:rFonts w:cs="Arial"/>
          <w:b/>
        </w:rPr>
        <w:t>I</w:t>
      </w:r>
      <w:r w:rsidR="00801E86" w:rsidRPr="00BC613E">
        <w:rPr>
          <w:rFonts w:cs="Arial"/>
          <w:b/>
        </w:rPr>
        <w:t>.</w:t>
      </w:r>
      <w:r w:rsidR="00BE76E8">
        <w:rPr>
          <w:rFonts w:cs="Arial"/>
          <w:b/>
        </w:rPr>
        <w:t xml:space="preserve"> </w:t>
      </w:r>
      <w:r w:rsidR="00542B40">
        <w:rPr>
          <w:b/>
        </w:rPr>
        <w:t>Další ujednání</w:t>
      </w:r>
    </w:p>
    <w:p w14:paraId="39331F11" w14:textId="77777777" w:rsidR="00730504" w:rsidRPr="00BC613E" w:rsidRDefault="00730504" w:rsidP="00BE76E8">
      <w:pPr>
        <w:jc w:val="center"/>
        <w:rPr>
          <w:rFonts w:cs="Arial"/>
          <w:b/>
        </w:rPr>
      </w:pPr>
    </w:p>
    <w:p w14:paraId="793B90CF" w14:textId="77777777"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14:paraId="7D2F59E5"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1C989A68" w14:textId="13BCBE76"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w:t>
      </w:r>
      <w:r w:rsidR="005F4181">
        <w:rPr>
          <w:rFonts w:cstheme="minorHAnsi"/>
        </w:rPr>
        <w:t xml:space="preserve"> nejméně</w:t>
      </w:r>
      <w:r w:rsidRPr="001F09DB">
        <w:rPr>
          <w:rFonts w:cstheme="minorHAnsi"/>
        </w:rPr>
        <w:t xml:space="preserve">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w:t>
      </w:r>
      <w:r w:rsidR="005F4181">
        <w:rPr>
          <w:rFonts w:cstheme="minorHAnsi"/>
        </w:rPr>
        <w:t xml:space="preserve"> Přesná doba trvání poskytnuté záruky za jakost u jednotlivých položek je obsažena v příloze č. 1 této smlouvy.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14:paraId="25685722"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14:paraId="2EE3748A" w14:textId="29F89035"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E63DAC" w:rsidRPr="009A40CA">
        <w:rPr>
          <w:rStyle w:val="tsubjname"/>
          <w:rFonts w:cstheme="minorHAnsi"/>
        </w:rPr>
        <w:t>Základní škola Kadaň, ul. Školní 1479, okr. Chomutov</w:t>
      </w:r>
      <w:r w:rsidR="00E63DAC" w:rsidRPr="0017201D">
        <w:rPr>
          <w:rFonts w:cstheme="minorHAnsi"/>
        </w:rPr>
        <w:t xml:space="preserve">, </w:t>
      </w:r>
      <w:r w:rsidR="00E63DAC">
        <w:rPr>
          <w:rFonts w:cstheme="minorHAnsi"/>
        </w:rPr>
        <w:t>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14:paraId="66FAAD05" w14:textId="77777777"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39CC7F52" w14:textId="0084CE15"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w:t>
      </w:r>
      <w:r w:rsidR="00D64957">
        <w:rPr>
          <w:rFonts w:cstheme="minorHAnsi"/>
          <w:color w:val="000000"/>
        </w:rPr>
        <w:t>prodávající</w:t>
      </w:r>
      <w:r w:rsidRPr="005C29C5">
        <w:rPr>
          <w:rFonts w:cstheme="minorHAnsi"/>
          <w:color w:val="000000"/>
        </w:rPr>
        <w:t xml:space="preserve"> má uzavřenu pojistnou smlouvu, nejpozději však před podpisem kupní smlouvy. Porušení této povinnosti zakládá právo </w:t>
      </w:r>
      <w:r w:rsidR="00D64957">
        <w:rPr>
          <w:rFonts w:cstheme="minorHAnsi"/>
          <w:color w:val="000000"/>
        </w:rPr>
        <w:t>kupujícího</w:t>
      </w:r>
      <w:r w:rsidRPr="005C29C5">
        <w:rPr>
          <w:rFonts w:cstheme="minorHAnsi"/>
          <w:color w:val="000000"/>
        </w:rPr>
        <w:t xml:space="preserve"> od smlouvy odstoupit.</w:t>
      </w:r>
    </w:p>
    <w:p w14:paraId="753D32D8" w14:textId="2650134F"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w:t>
      </w:r>
      <w:r w:rsidR="00730504">
        <w:t>šak do 31. 12. 203</w:t>
      </w:r>
      <w:r w:rsidR="00A94BE9">
        <w:t>3</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14:paraId="47D4824D" w14:textId="77777777" w:rsidR="00065E86" w:rsidRDefault="00065E86">
      <w:pPr>
        <w:rPr>
          <w:b/>
        </w:rPr>
      </w:pPr>
    </w:p>
    <w:p w14:paraId="3E97AB4D" w14:textId="77777777" w:rsidR="00730504" w:rsidRDefault="00730504">
      <w:pPr>
        <w:rPr>
          <w:b/>
        </w:rPr>
      </w:pPr>
    </w:p>
    <w:p w14:paraId="5B936EF4" w14:textId="77777777" w:rsidR="00B47DAB" w:rsidRDefault="00B47DAB" w:rsidP="00B47DAB">
      <w:pPr>
        <w:jc w:val="center"/>
        <w:rPr>
          <w:b/>
        </w:rPr>
      </w:pPr>
      <w:r w:rsidRPr="00B47DAB">
        <w:rPr>
          <w:b/>
        </w:rPr>
        <w:t>V</w:t>
      </w:r>
      <w:r w:rsidR="00A3281F">
        <w:rPr>
          <w:b/>
        </w:rPr>
        <w:t>I</w:t>
      </w:r>
      <w:r w:rsidRPr="00B47DAB">
        <w:rPr>
          <w:b/>
        </w:rPr>
        <w:t xml:space="preserve">I. </w:t>
      </w:r>
      <w:r w:rsidR="001F09DB">
        <w:rPr>
          <w:b/>
        </w:rPr>
        <w:t>Závěrečná ustanovení</w:t>
      </w:r>
    </w:p>
    <w:p w14:paraId="42147982" w14:textId="77777777" w:rsidR="00730504" w:rsidRPr="00B47DAB" w:rsidRDefault="00730504" w:rsidP="00B47DAB">
      <w:pPr>
        <w:jc w:val="center"/>
        <w:rPr>
          <w:rFonts w:cs="Arial"/>
          <w:b/>
        </w:rPr>
      </w:pPr>
    </w:p>
    <w:p w14:paraId="2686352A" w14:textId="77777777"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14:paraId="05B243EF" w14:textId="77777777"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lastRenderedPageBreak/>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14:paraId="22E4D9BB" w14:textId="77777777" w:rsidR="008607FD" w:rsidRPr="00093D1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14:paraId="40818D5C"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14:paraId="4518E5A0"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14:paraId="672E17D8"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14:paraId="6E55A8CF"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673A0A41"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14:paraId="38A83F99" w14:textId="77777777" w:rsidR="005D57A9" w:rsidRDefault="005D57A9" w:rsidP="00C3207C">
      <w:pPr>
        <w:pStyle w:val="Zkladntext"/>
        <w:widowControl w:val="0"/>
        <w:autoSpaceDE w:val="0"/>
        <w:autoSpaceDN w:val="0"/>
        <w:adjustRightInd w:val="0"/>
        <w:rPr>
          <w:rFonts w:asciiTheme="minorHAnsi" w:hAnsiTheme="minorHAnsi" w:cs="Arial"/>
          <w:sz w:val="22"/>
          <w:szCs w:val="22"/>
        </w:rPr>
      </w:pPr>
    </w:p>
    <w:p w14:paraId="299C9E36" w14:textId="77777777" w:rsidR="00730504" w:rsidRPr="005D57A9" w:rsidRDefault="00730504" w:rsidP="00C3207C">
      <w:pPr>
        <w:pStyle w:val="Zkladntext"/>
        <w:widowControl w:val="0"/>
        <w:autoSpaceDE w:val="0"/>
        <w:autoSpaceDN w:val="0"/>
        <w:adjustRightInd w:val="0"/>
        <w:rPr>
          <w:rFonts w:asciiTheme="minorHAnsi" w:hAnsiTheme="minorHAnsi" w:cs="Arial"/>
          <w:sz w:val="22"/>
          <w:szCs w:val="22"/>
        </w:rPr>
      </w:pPr>
    </w:p>
    <w:p w14:paraId="786E37FC" w14:textId="77777777"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14:paraId="3D34E478" w14:textId="77777777" w:rsidTr="00B96695">
        <w:tc>
          <w:tcPr>
            <w:tcW w:w="4606" w:type="dxa"/>
          </w:tcPr>
          <w:p w14:paraId="3766AB7E" w14:textId="1CA2208F" w:rsidR="00801E86" w:rsidRPr="00BC613E" w:rsidRDefault="00801E86" w:rsidP="00B96695">
            <w:pPr>
              <w:widowControl w:val="0"/>
              <w:autoSpaceDE w:val="0"/>
              <w:autoSpaceDN w:val="0"/>
              <w:adjustRightInd w:val="0"/>
              <w:rPr>
                <w:rFonts w:cs="Arial"/>
              </w:rPr>
            </w:pPr>
            <w:r w:rsidRPr="00BC613E">
              <w:rPr>
                <w:rFonts w:cs="Arial"/>
              </w:rPr>
              <w:t xml:space="preserve">V </w:t>
            </w:r>
            <w:r w:rsidR="00093D1D">
              <w:rPr>
                <w:rFonts w:cs="Arial"/>
              </w:rPr>
              <w:t>Kadani</w:t>
            </w:r>
            <w:r w:rsidRPr="00BC613E">
              <w:rPr>
                <w:rFonts w:cs="Arial"/>
              </w:rPr>
              <w:t xml:space="preserve"> dne </w:t>
            </w:r>
            <w:r w:rsidR="006533B8">
              <w:rPr>
                <w:rFonts w:cs="Arial"/>
              </w:rPr>
              <w:t>dle data el. podpisu</w:t>
            </w:r>
          </w:p>
          <w:p w14:paraId="78CDDECE" w14:textId="77777777" w:rsidR="00801E86" w:rsidRPr="00BC613E" w:rsidRDefault="00801E86" w:rsidP="00B96695">
            <w:pPr>
              <w:widowControl w:val="0"/>
              <w:autoSpaceDE w:val="0"/>
              <w:autoSpaceDN w:val="0"/>
              <w:adjustRightInd w:val="0"/>
              <w:rPr>
                <w:rFonts w:cs="Arial"/>
              </w:rPr>
            </w:pPr>
          </w:p>
          <w:p w14:paraId="0CE98378" w14:textId="77777777" w:rsidR="00826E83" w:rsidRDefault="00826E83" w:rsidP="00B96695">
            <w:pPr>
              <w:widowControl w:val="0"/>
              <w:autoSpaceDE w:val="0"/>
              <w:autoSpaceDN w:val="0"/>
              <w:adjustRightInd w:val="0"/>
              <w:rPr>
                <w:rFonts w:cs="Arial"/>
              </w:rPr>
            </w:pPr>
          </w:p>
          <w:p w14:paraId="7565452B" w14:textId="77777777" w:rsidR="00C3207C" w:rsidRPr="00BC613E" w:rsidRDefault="00C3207C" w:rsidP="00B96695">
            <w:pPr>
              <w:widowControl w:val="0"/>
              <w:autoSpaceDE w:val="0"/>
              <w:autoSpaceDN w:val="0"/>
              <w:adjustRightInd w:val="0"/>
              <w:rPr>
                <w:rFonts w:cs="Arial"/>
              </w:rPr>
            </w:pPr>
          </w:p>
        </w:tc>
        <w:tc>
          <w:tcPr>
            <w:tcW w:w="4606" w:type="dxa"/>
          </w:tcPr>
          <w:p w14:paraId="491B73C3" w14:textId="310D58D5" w:rsidR="00801E86" w:rsidRPr="00BC613E" w:rsidRDefault="00801E86" w:rsidP="00B96695">
            <w:pPr>
              <w:widowControl w:val="0"/>
              <w:autoSpaceDE w:val="0"/>
              <w:autoSpaceDN w:val="0"/>
              <w:adjustRightInd w:val="0"/>
              <w:rPr>
                <w:rFonts w:cs="Arial"/>
              </w:rPr>
            </w:pPr>
            <w:r w:rsidRPr="00BC613E">
              <w:rPr>
                <w:rFonts w:cs="Arial"/>
              </w:rPr>
              <w:t xml:space="preserve">V </w:t>
            </w:r>
            <w:r w:rsidR="006533B8">
              <w:rPr>
                <w:rFonts w:cs="Arial"/>
              </w:rPr>
              <w:t>Praze dne dle data el. podpisu</w:t>
            </w:r>
          </w:p>
        </w:tc>
      </w:tr>
      <w:tr w:rsidR="00801E86" w:rsidRPr="00BC613E" w14:paraId="3F9C8933" w14:textId="77777777" w:rsidTr="00B96695">
        <w:tc>
          <w:tcPr>
            <w:tcW w:w="4606" w:type="dxa"/>
          </w:tcPr>
          <w:p w14:paraId="312DA743"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3F767CBF"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793922" w:rsidRPr="00BC613E" w14:paraId="5D647CD3" w14:textId="77777777" w:rsidTr="00B96695">
        <w:tc>
          <w:tcPr>
            <w:tcW w:w="4606" w:type="dxa"/>
          </w:tcPr>
          <w:p w14:paraId="73482CE3" w14:textId="77777777" w:rsidR="00793922" w:rsidRPr="00BC613E" w:rsidRDefault="00793922" w:rsidP="00793922">
            <w:pPr>
              <w:widowControl w:val="0"/>
              <w:autoSpaceDE w:val="0"/>
              <w:autoSpaceDN w:val="0"/>
              <w:adjustRightInd w:val="0"/>
              <w:rPr>
                <w:rFonts w:cs="Arial"/>
              </w:rPr>
            </w:pPr>
            <w:r>
              <w:rPr>
                <w:rFonts w:cs="Arial"/>
              </w:rPr>
              <w:t>Kupující</w:t>
            </w:r>
          </w:p>
          <w:p w14:paraId="11EBC0A2" w14:textId="3EDFDD4C" w:rsidR="00793922" w:rsidRPr="00826E83" w:rsidRDefault="00793922" w:rsidP="00793922">
            <w:pPr>
              <w:widowControl w:val="0"/>
              <w:autoSpaceDE w:val="0"/>
              <w:autoSpaceDN w:val="0"/>
              <w:adjustRightInd w:val="0"/>
              <w:rPr>
                <w:rFonts w:cs="Arial"/>
                <w:highlight w:val="yellow"/>
              </w:rPr>
            </w:pPr>
          </w:p>
        </w:tc>
        <w:tc>
          <w:tcPr>
            <w:tcW w:w="4606" w:type="dxa"/>
          </w:tcPr>
          <w:p w14:paraId="77CAF1D9" w14:textId="77777777" w:rsidR="00793922" w:rsidRPr="00BC613E" w:rsidRDefault="00793922" w:rsidP="00793922">
            <w:pPr>
              <w:widowControl w:val="0"/>
              <w:autoSpaceDE w:val="0"/>
              <w:autoSpaceDN w:val="0"/>
              <w:adjustRightInd w:val="0"/>
              <w:rPr>
                <w:rFonts w:cs="Arial"/>
              </w:rPr>
            </w:pPr>
            <w:r>
              <w:rPr>
                <w:rFonts w:cs="Arial"/>
              </w:rPr>
              <w:t>Prodávající</w:t>
            </w:r>
          </w:p>
          <w:p w14:paraId="7F61937F" w14:textId="2D3988B3" w:rsidR="00793922" w:rsidRPr="00BC613E" w:rsidRDefault="00793922" w:rsidP="00793922">
            <w:pPr>
              <w:widowControl w:val="0"/>
              <w:autoSpaceDE w:val="0"/>
              <w:autoSpaceDN w:val="0"/>
              <w:adjustRightInd w:val="0"/>
              <w:rPr>
                <w:rFonts w:cs="Arial"/>
              </w:rPr>
            </w:pPr>
            <w:r>
              <w:rPr>
                <w:rFonts w:cs="Arial"/>
              </w:rPr>
              <w:t xml:space="preserve"> </w:t>
            </w:r>
          </w:p>
        </w:tc>
      </w:tr>
    </w:tbl>
    <w:p w14:paraId="73159712" w14:textId="77777777" w:rsidR="00994BF2" w:rsidRDefault="00994BF2" w:rsidP="00826E83">
      <w:pPr>
        <w:widowControl w:val="0"/>
        <w:autoSpaceDE w:val="0"/>
        <w:snapToGrid w:val="0"/>
      </w:pPr>
    </w:p>
    <w:p w14:paraId="1E518760" w14:textId="77777777" w:rsidR="00185A7D" w:rsidRDefault="00185A7D" w:rsidP="00185A7D">
      <w:pPr>
        <w:tabs>
          <w:tab w:val="left" w:pos="1282"/>
        </w:tabs>
        <w:rPr>
          <w:rFonts w:cstheme="minorHAnsi"/>
          <w:b/>
          <w:szCs w:val="20"/>
        </w:rPr>
      </w:pPr>
    </w:p>
    <w:p w14:paraId="38C32ED7" w14:textId="77777777"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14:paraId="32E8B417" w14:textId="7DCAA984" w:rsidR="00185A7D" w:rsidRDefault="00185A7D" w:rsidP="00185A7D">
      <w:pPr>
        <w:tabs>
          <w:tab w:val="left" w:pos="1282"/>
        </w:tabs>
        <w:rPr>
          <w:rFonts w:cstheme="minorHAnsi"/>
          <w:szCs w:val="20"/>
        </w:rPr>
      </w:pPr>
      <w:r w:rsidRPr="00EB45A1">
        <w:rPr>
          <w:rFonts w:cstheme="minorHAnsi"/>
          <w:szCs w:val="20"/>
        </w:rPr>
        <w:t>Příloha č. 1</w:t>
      </w:r>
      <w:r w:rsidR="005F4181">
        <w:rPr>
          <w:rFonts w:cstheme="minorHAnsi"/>
          <w:szCs w:val="20"/>
        </w:rPr>
        <w:t>a</w:t>
      </w:r>
      <w:r w:rsidRPr="00EB45A1">
        <w:rPr>
          <w:rFonts w:cstheme="minorHAnsi"/>
          <w:szCs w:val="20"/>
        </w:rPr>
        <w:t xml:space="preserve">: </w:t>
      </w:r>
      <w:r w:rsidR="00730504">
        <w:rPr>
          <w:rFonts w:cstheme="minorHAnsi"/>
          <w:szCs w:val="20"/>
        </w:rPr>
        <w:t>Položkový rozpočet vč. s</w:t>
      </w:r>
      <w:r w:rsidR="008441EA">
        <w:rPr>
          <w:rFonts w:cstheme="minorHAnsi"/>
          <w:szCs w:val="20"/>
        </w:rPr>
        <w:t>pecifikace předmětu plnění</w:t>
      </w:r>
      <w:r w:rsidR="005F4181">
        <w:rPr>
          <w:rFonts w:cstheme="minorHAnsi"/>
          <w:szCs w:val="20"/>
        </w:rPr>
        <w:t xml:space="preserve"> – výukové pomůcky</w:t>
      </w:r>
    </w:p>
    <w:p w14:paraId="4E278259" w14:textId="5B923DBB" w:rsidR="005F4181" w:rsidRPr="00EB45A1" w:rsidRDefault="005F4181" w:rsidP="00185A7D">
      <w:pPr>
        <w:tabs>
          <w:tab w:val="left" w:pos="1282"/>
        </w:tabs>
        <w:rPr>
          <w:rFonts w:cstheme="minorHAnsi"/>
          <w:szCs w:val="20"/>
        </w:rPr>
      </w:pPr>
      <w:r w:rsidRPr="00EB45A1">
        <w:rPr>
          <w:rFonts w:cstheme="minorHAnsi"/>
          <w:szCs w:val="20"/>
        </w:rPr>
        <w:t>Příloha č. 1</w:t>
      </w:r>
      <w:r>
        <w:rPr>
          <w:rFonts w:cstheme="minorHAnsi"/>
          <w:szCs w:val="20"/>
        </w:rPr>
        <w:t>b</w:t>
      </w:r>
      <w:r w:rsidRPr="00EB45A1">
        <w:rPr>
          <w:rFonts w:cstheme="minorHAnsi"/>
          <w:szCs w:val="20"/>
        </w:rPr>
        <w:t xml:space="preserve">: </w:t>
      </w:r>
      <w:r>
        <w:rPr>
          <w:rFonts w:cstheme="minorHAnsi"/>
          <w:szCs w:val="20"/>
        </w:rPr>
        <w:t>Položkový rozpočet vč. specifikace předmětu plnění – digitální propast</w:t>
      </w:r>
    </w:p>
    <w:sectPr w:rsidR="005F4181" w:rsidRPr="00EB45A1" w:rsidSect="00EC25D3">
      <w:headerReference w:type="default" r:id="rId7"/>
      <w:footerReference w:type="default" r:id="rId8"/>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DFF8" w14:textId="77777777" w:rsidR="005C7C87" w:rsidRDefault="005C7C87" w:rsidP="00994BF2">
      <w:r>
        <w:separator/>
      </w:r>
    </w:p>
  </w:endnote>
  <w:endnote w:type="continuationSeparator" w:id="0">
    <w:p w14:paraId="1A09E208" w14:textId="77777777" w:rsidR="005C7C87" w:rsidRDefault="005C7C87"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2C876F33" w14:textId="77777777"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AA5443">
          <w:rPr>
            <w:noProof/>
          </w:rPr>
          <w:t>1</w:t>
        </w:r>
        <w:r w:rsidR="002E663A">
          <w:fldChar w:fldCharType="end"/>
        </w:r>
      </w:p>
    </w:sdtContent>
  </w:sdt>
  <w:p w14:paraId="62C1D2B7"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39ED" w14:textId="77777777" w:rsidR="005C7C87" w:rsidRDefault="005C7C87" w:rsidP="00994BF2">
      <w:r>
        <w:separator/>
      </w:r>
    </w:p>
  </w:footnote>
  <w:footnote w:type="continuationSeparator" w:id="0">
    <w:p w14:paraId="78B0781A" w14:textId="77777777" w:rsidR="005C7C87" w:rsidRDefault="005C7C87"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1621" w14:textId="77777777"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15:restartNumberingAfterBreak="0">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8492065">
    <w:abstractNumId w:val="2"/>
  </w:num>
  <w:num w:numId="2" w16cid:durableId="1323510869">
    <w:abstractNumId w:val="5"/>
  </w:num>
  <w:num w:numId="3" w16cid:durableId="1594586543">
    <w:abstractNumId w:val="19"/>
  </w:num>
  <w:num w:numId="4" w16cid:durableId="2039160440">
    <w:abstractNumId w:val="17"/>
  </w:num>
  <w:num w:numId="5" w16cid:durableId="105660791">
    <w:abstractNumId w:val="10"/>
  </w:num>
  <w:num w:numId="6" w16cid:durableId="1876232563">
    <w:abstractNumId w:val="7"/>
  </w:num>
  <w:num w:numId="7" w16cid:durableId="233659736">
    <w:abstractNumId w:val="8"/>
  </w:num>
  <w:num w:numId="8" w16cid:durableId="1557276136">
    <w:abstractNumId w:val="4"/>
  </w:num>
  <w:num w:numId="9" w16cid:durableId="2046714053">
    <w:abstractNumId w:val="16"/>
  </w:num>
  <w:num w:numId="10" w16cid:durableId="1514027019">
    <w:abstractNumId w:val="25"/>
  </w:num>
  <w:num w:numId="11" w16cid:durableId="1219852880">
    <w:abstractNumId w:val="14"/>
  </w:num>
  <w:num w:numId="12" w16cid:durableId="324866974">
    <w:abstractNumId w:val="3"/>
  </w:num>
  <w:num w:numId="13" w16cid:durableId="1887914694">
    <w:abstractNumId w:val="18"/>
  </w:num>
  <w:num w:numId="14" w16cid:durableId="812019992">
    <w:abstractNumId w:val="12"/>
  </w:num>
  <w:num w:numId="15" w16cid:durableId="1250309894">
    <w:abstractNumId w:val="0"/>
  </w:num>
  <w:num w:numId="16" w16cid:durableId="1256981819">
    <w:abstractNumId w:val="6"/>
  </w:num>
  <w:num w:numId="17" w16cid:durableId="1961454523">
    <w:abstractNumId w:val="20"/>
  </w:num>
  <w:num w:numId="18" w16cid:durableId="1365325201">
    <w:abstractNumId w:val="24"/>
  </w:num>
  <w:num w:numId="19" w16cid:durableId="1143354607">
    <w:abstractNumId w:val="1"/>
  </w:num>
  <w:num w:numId="20" w16cid:durableId="689798192">
    <w:abstractNumId w:val="22"/>
  </w:num>
  <w:num w:numId="21" w16cid:durableId="1062945516">
    <w:abstractNumId w:val="13"/>
  </w:num>
  <w:num w:numId="22" w16cid:durableId="1614288999">
    <w:abstractNumId w:val="9"/>
  </w:num>
  <w:num w:numId="23" w16cid:durableId="583760438">
    <w:abstractNumId w:val="21"/>
  </w:num>
  <w:num w:numId="24" w16cid:durableId="380132287">
    <w:abstractNumId w:val="15"/>
  </w:num>
  <w:num w:numId="25" w16cid:durableId="1097403791">
    <w:abstractNumId w:val="23"/>
  </w:num>
  <w:num w:numId="26" w16cid:durableId="781731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23943"/>
    <w:rsid w:val="00061747"/>
    <w:rsid w:val="00065E86"/>
    <w:rsid w:val="00093309"/>
    <w:rsid w:val="00093D1D"/>
    <w:rsid w:val="000A77CE"/>
    <w:rsid w:val="000E30D7"/>
    <w:rsid w:val="000F42E9"/>
    <w:rsid w:val="001032F6"/>
    <w:rsid w:val="00103F74"/>
    <w:rsid w:val="00113472"/>
    <w:rsid w:val="00115C67"/>
    <w:rsid w:val="00120433"/>
    <w:rsid w:val="0014009F"/>
    <w:rsid w:val="001449D5"/>
    <w:rsid w:val="00183DE3"/>
    <w:rsid w:val="00185A7D"/>
    <w:rsid w:val="001A693C"/>
    <w:rsid w:val="001B0D22"/>
    <w:rsid w:val="001D3AA6"/>
    <w:rsid w:val="001F09DB"/>
    <w:rsid w:val="001F7132"/>
    <w:rsid w:val="00212CF4"/>
    <w:rsid w:val="0023747F"/>
    <w:rsid w:val="00263945"/>
    <w:rsid w:val="002714C0"/>
    <w:rsid w:val="00297ED1"/>
    <w:rsid w:val="002B63CB"/>
    <w:rsid w:val="002C054A"/>
    <w:rsid w:val="002D1E80"/>
    <w:rsid w:val="002E2600"/>
    <w:rsid w:val="002E317C"/>
    <w:rsid w:val="002E663A"/>
    <w:rsid w:val="002F6B7A"/>
    <w:rsid w:val="003041C0"/>
    <w:rsid w:val="003076F3"/>
    <w:rsid w:val="003100F6"/>
    <w:rsid w:val="00332E5E"/>
    <w:rsid w:val="003552A6"/>
    <w:rsid w:val="00355466"/>
    <w:rsid w:val="0037165E"/>
    <w:rsid w:val="003752BA"/>
    <w:rsid w:val="00375389"/>
    <w:rsid w:val="00375DAD"/>
    <w:rsid w:val="00394DFC"/>
    <w:rsid w:val="003B18DC"/>
    <w:rsid w:val="003D27E7"/>
    <w:rsid w:val="003E3DC4"/>
    <w:rsid w:val="003F0421"/>
    <w:rsid w:val="003F40AA"/>
    <w:rsid w:val="00402CA9"/>
    <w:rsid w:val="00426535"/>
    <w:rsid w:val="004459A4"/>
    <w:rsid w:val="004508B6"/>
    <w:rsid w:val="00470038"/>
    <w:rsid w:val="00496E29"/>
    <w:rsid w:val="004A17C9"/>
    <w:rsid w:val="004F2847"/>
    <w:rsid w:val="004F30A0"/>
    <w:rsid w:val="00505F84"/>
    <w:rsid w:val="00516B42"/>
    <w:rsid w:val="005211EE"/>
    <w:rsid w:val="005222F8"/>
    <w:rsid w:val="00523332"/>
    <w:rsid w:val="00542B40"/>
    <w:rsid w:val="0054471C"/>
    <w:rsid w:val="00544A71"/>
    <w:rsid w:val="00564236"/>
    <w:rsid w:val="0057156D"/>
    <w:rsid w:val="00582D1F"/>
    <w:rsid w:val="005C096F"/>
    <w:rsid w:val="005C29C5"/>
    <w:rsid w:val="005C7C87"/>
    <w:rsid w:val="005D57A9"/>
    <w:rsid w:val="005E35E8"/>
    <w:rsid w:val="005F244A"/>
    <w:rsid w:val="005F24CB"/>
    <w:rsid w:val="005F4181"/>
    <w:rsid w:val="00601FDD"/>
    <w:rsid w:val="00603B4B"/>
    <w:rsid w:val="00640DCD"/>
    <w:rsid w:val="00642B49"/>
    <w:rsid w:val="00646DC7"/>
    <w:rsid w:val="006533B8"/>
    <w:rsid w:val="00654A33"/>
    <w:rsid w:val="00661E3E"/>
    <w:rsid w:val="00664621"/>
    <w:rsid w:val="00664E36"/>
    <w:rsid w:val="0066562F"/>
    <w:rsid w:val="006676EE"/>
    <w:rsid w:val="006A38C6"/>
    <w:rsid w:val="006B3B59"/>
    <w:rsid w:val="006B505D"/>
    <w:rsid w:val="006C3E77"/>
    <w:rsid w:val="006C46BD"/>
    <w:rsid w:val="006E39DB"/>
    <w:rsid w:val="00721F79"/>
    <w:rsid w:val="0073038F"/>
    <w:rsid w:val="00730504"/>
    <w:rsid w:val="00736608"/>
    <w:rsid w:val="00784B44"/>
    <w:rsid w:val="0078568E"/>
    <w:rsid w:val="00793922"/>
    <w:rsid w:val="00795B63"/>
    <w:rsid w:val="007A186E"/>
    <w:rsid w:val="007C3873"/>
    <w:rsid w:val="00801E86"/>
    <w:rsid w:val="00814A37"/>
    <w:rsid w:val="00820095"/>
    <w:rsid w:val="008213AC"/>
    <w:rsid w:val="0082197C"/>
    <w:rsid w:val="00825BB0"/>
    <w:rsid w:val="00826E83"/>
    <w:rsid w:val="00840AF0"/>
    <w:rsid w:val="008441EA"/>
    <w:rsid w:val="00846B54"/>
    <w:rsid w:val="008607FD"/>
    <w:rsid w:val="008751D1"/>
    <w:rsid w:val="008842EA"/>
    <w:rsid w:val="00887B1E"/>
    <w:rsid w:val="00891DDC"/>
    <w:rsid w:val="008A33B6"/>
    <w:rsid w:val="008A54A6"/>
    <w:rsid w:val="008B5947"/>
    <w:rsid w:val="008C5D8E"/>
    <w:rsid w:val="00902E1E"/>
    <w:rsid w:val="00916C92"/>
    <w:rsid w:val="009452D1"/>
    <w:rsid w:val="009618FC"/>
    <w:rsid w:val="00976090"/>
    <w:rsid w:val="00980E70"/>
    <w:rsid w:val="00986EA6"/>
    <w:rsid w:val="00994BF2"/>
    <w:rsid w:val="00996D56"/>
    <w:rsid w:val="009B3C5F"/>
    <w:rsid w:val="009E0858"/>
    <w:rsid w:val="009F1C7C"/>
    <w:rsid w:val="00A0277E"/>
    <w:rsid w:val="00A2415B"/>
    <w:rsid w:val="00A3281F"/>
    <w:rsid w:val="00A36774"/>
    <w:rsid w:val="00A41A19"/>
    <w:rsid w:val="00A61675"/>
    <w:rsid w:val="00A84E8F"/>
    <w:rsid w:val="00A92BEF"/>
    <w:rsid w:val="00A94BE9"/>
    <w:rsid w:val="00AA5443"/>
    <w:rsid w:val="00AA5969"/>
    <w:rsid w:val="00AA6695"/>
    <w:rsid w:val="00AF0833"/>
    <w:rsid w:val="00AF7AD9"/>
    <w:rsid w:val="00B12EB1"/>
    <w:rsid w:val="00B376F3"/>
    <w:rsid w:val="00B47DAB"/>
    <w:rsid w:val="00B51ED7"/>
    <w:rsid w:val="00B767EF"/>
    <w:rsid w:val="00B91BFF"/>
    <w:rsid w:val="00B93D5C"/>
    <w:rsid w:val="00B97460"/>
    <w:rsid w:val="00BC613E"/>
    <w:rsid w:val="00BE0A4F"/>
    <w:rsid w:val="00BE751E"/>
    <w:rsid w:val="00BE76E8"/>
    <w:rsid w:val="00BF0079"/>
    <w:rsid w:val="00BF1A38"/>
    <w:rsid w:val="00C06B3F"/>
    <w:rsid w:val="00C06DCB"/>
    <w:rsid w:val="00C1007A"/>
    <w:rsid w:val="00C3207C"/>
    <w:rsid w:val="00C46749"/>
    <w:rsid w:val="00C56D11"/>
    <w:rsid w:val="00C613B5"/>
    <w:rsid w:val="00C632D3"/>
    <w:rsid w:val="00C6534C"/>
    <w:rsid w:val="00C832C1"/>
    <w:rsid w:val="00CA1990"/>
    <w:rsid w:val="00CA545F"/>
    <w:rsid w:val="00CF16E8"/>
    <w:rsid w:val="00CF2693"/>
    <w:rsid w:val="00CF77F0"/>
    <w:rsid w:val="00D17B1A"/>
    <w:rsid w:val="00D477AE"/>
    <w:rsid w:val="00D617C7"/>
    <w:rsid w:val="00D64957"/>
    <w:rsid w:val="00D67C16"/>
    <w:rsid w:val="00D7357F"/>
    <w:rsid w:val="00D802CA"/>
    <w:rsid w:val="00DD184E"/>
    <w:rsid w:val="00DE4681"/>
    <w:rsid w:val="00DE66FD"/>
    <w:rsid w:val="00DF1E42"/>
    <w:rsid w:val="00DF731D"/>
    <w:rsid w:val="00E17613"/>
    <w:rsid w:val="00E3474C"/>
    <w:rsid w:val="00E533C1"/>
    <w:rsid w:val="00E63DAC"/>
    <w:rsid w:val="00E71D41"/>
    <w:rsid w:val="00EA2AF4"/>
    <w:rsid w:val="00EA7F41"/>
    <w:rsid w:val="00EC25D3"/>
    <w:rsid w:val="00ED35D3"/>
    <w:rsid w:val="00EE6E88"/>
    <w:rsid w:val="00EE6F50"/>
    <w:rsid w:val="00EF7BAF"/>
    <w:rsid w:val="00F05C83"/>
    <w:rsid w:val="00F17DEE"/>
    <w:rsid w:val="00F17F8F"/>
    <w:rsid w:val="00F55402"/>
    <w:rsid w:val="00F66025"/>
    <w:rsid w:val="00F836C6"/>
    <w:rsid w:val="00F9062E"/>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C3315"/>
  <w15:docId w15:val="{2D5832A5-04DB-42A7-ABFA-AEC5466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10597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cp:lastPrinted>2017-05-02T12:22:00Z</cp:lastPrinted>
  <dcterms:created xsi:type="dcterms:W3CDTF">2023-11-08T07:55:00Z</dcterms:created>
  <dcterms:modified xsi:type="dcterms:W3CDTF">2023-11-08T07:55:00Z</dcterms:modified>
</cp:coreProperties>
</file>