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(dále jen „ObčZ“)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ustanovení § 104 odst. 17., zákona č. 127/2005 Sb., o elektronických komunikacích a o změně některých souvisejících zákonů, v platném znění (dále jen „ZeK“)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13242D2A" w14:textId="78F32AC7" w:rsidR="00730F72" w:rsidRDefault="00730F72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Pr="009B3394">
        <w:rPr>
          <w:rFonts w:ascii="Arial" w:hAnsi="Arial" w:cs="Arial"/>
        </w:rPr>
        <w:t xml:space="preserve">: </w:t>
      </w:r>
      <w:r w:rsidR="00025704" w:rsidRPr="00285D88">
        <w:rPr>
          <w:rFonts w:ascii="Arial" w:hAnsi="Arial" w:cs="Arial"/>
          <w:b/>
        </w:rPr>
        <w:t>22/003/238</w:t>
      </w:r>
    </w:p>
    <w:p w14:paraId="6DE552F9" w14:textId="6C4E7214" w:rsidR="000949CE" w:rsidRDefault="00025704" w:rsidP="00CA334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285D88">
        <w:rPr>
          <w:rFonts w:ascii="Arial" w:hAnsi="Arial" w:cs="Arial"/>
        </w:rPr>
        <w:t>Číslo smlouvy ŘSD ČR:</w:t>
      </w:r>
      <w:r>
        <w:rPr>
          <w:rFonts w:ascii="Arial" w:hAnsi="Arial" w:cs="Arial"/>
        </w:rPr>
        <w:t xml:space="preserve"> </w:t>
      </w:r>
      <w:r w:rsidRPr="00285D88">
        <w:rPr>
          <w:rFonts w:ascii="Arial" w:hAnsi="Arial" w:cs="Arial"/>
          <w:b/>
        </w:rPr>
        <w:t>01-192/CDT/SO450/007</w:t>
      </w:r>
      <w:r w:rsidR="00285D88">
        <w:rPr>
          <w:rFonts w:ascii="Arial" w:hAnsi="Arial" w:cs="Arial"/>
          <w:b/>
        </w:rPr>
        <w:t>/</w:t>
      </w:r>
      <w:r w:rsidRPr="00285D88">
        <w:rPr>
          <w:rFonts w:ascii="Arial" w:hAnsi="Arial" w:cs="Arial"/>
          <w:b/>
        </w:rPr>
        <w:t>2023</w:t>
      </w:r>
    </w:p>
    <w:p w14:paraId="187B511E" w14:textId="77777777" w:rsidR="00285D88" w:rsidRPr="00285D88" w:rsidRDefault="00285D88" w:rsidP="00CA3344">
      <w:pPr>
        <w:spacing w:after="120"/>
        <w:jc w:val="both"/>
        <w:rPr>
          <w:rFonts w:ascii="Arial" w:hAnsi="Arial" w:cs="Arial"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019FB4B2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261188">
        <w:rPr>
          <w:rFonts w:ascii="Arial" w:hAnsi="Arial" w:cs="Arial"/>
        </w:rPr>
        <w:t>xx</w:t>
      </w:r>
    </w:p>
    <w:p w14:paraId="4D9D238D" w14:textId="77777777" w:rsidR="003C564F" w:rsidRDefault="00CA3344" w:rsidP="005B1123">
      <w:pPr>
        <w:tabs>
          <w:tab w:val="left" w:pos="2268"/>
        </w:tabs>
        <w:spacing w:after="40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</w:t>
      </w:r>
      <w:r w:rsidR="005B1123">
        <w:rPr>
          <w:rFonts w:ascii="Arial" w:hAnsi="Arial" w:cs="Arial"/>
        </w:rPr>
        <w:tab/>
      </w:r>
      <w:r w:rsidR="005B1123" w:rsidRPr="005B1123">
        <w:rPr>
          <w:rFonts w:ascii="Helv" w:hAnsi="Helv" w:cs="Helv"/>
          <w:color w:val="000000"/>
        </w:rPr>
        <w:t>Ing. Jan</w:t>
      </w:r>
      <w:r w:rsidR="005B1123">
        <w:rPr>
          <w:rFonts w:ascii="Helv" w:hAnsi="Helv" w:cs="Helv"/>
          <w:color w:val="000000"/>
        </w:rPr>
        <w:t>em</w:t>
      </w:r>
      <w:r w:rsidR="005B1123" w:rsidRPr="005B1123">
        <w:rPr>
          <w:rFonts w:ascii="Helv" w:hAnsi="Helv" w:cs="Helv"/>
          <w:color w:val="000000"/>
        </w:rPr>
        <w:t xml:space="preserve"> Hobz</w:t>
      </w:r>
      <w:r w:rsidR="005B1123">
        <w:rPr>
          <w:rFonts w:ascii="Helv" w:hAnsi="Helv" w:cs="Helv"/>
          <w:color w:val="000000"/>
        </w:rPr>
        <w:t>ou</w:t>
      </w:r>
      <w:r w:rsidR="005B1123" w:rsidRPr="005B1123">
        <w:rPr>
          <w:rFonts w:ascii="Arial" w:hAnsi="Arial" w:cs="Arial"/>
        </w:rPr>
        <w:t>, předsed</w:t>
      </w:r>
      <w:r w:rsidR="00C6750B">
        <w:rPr>
          <w:rFonts w:ascii="Arial" w:hAnsi="Arial" w:cs="Arial"/>
        </w:rPr>
        <w:t>ou</w:t>
      </w:r>
      <w:r w:rsidR="005B1123">
        <w:rPr>
          <w:rFonts w:ascii="Arial" w:hAnsi="Arial" w:cs="Arial"/>
        </w:rPr>
        <w:t xml:space="preserve"> představenstva</w:t>
      </w:r>
    </w:p>
    <w:p w14:paraId="7F3DB1BA" w14:textId="1428673C" w:rsidR="00CC7E94" w:rsidRPr="00CC7E94" w:rsidRDefault="003C564F" w:rsidP="003C564F">
      <w:pPr>
        <w:tabs>
          <w:tab w:val="left" w:pos="2127"/>
        </w:tabs>
        <w:spacing w:after="40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439">
        <w:rPr>
          <w:rFonts w:ascii="Arial" w:hAnsi="Arial" w:cs="Arial"/>
        </w:rPr>
        <w:t>a Mgr. Tomášem Businským, členem představenstva</w:t>
      </w: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3235AB98" w:rsidR="00CC29E1" w:rsidRPr="00DA7F4D" w:rsidRDefault="00285D88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Ředitelství silnic a dálnic ČR, státní příspěvková organizace, Správa České Budějovice</w:t>
      </w:r>
    </w:p>
    <w:p w14:paraId="4AA6CE9D" w14:textId="5004BCFC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285D88">
        <w:rPr>
          <w:rFonts w:ascii="Arial" w:hAnsi="Arial" w:cs="Arial"/>
        </w:rPr>
        <w:t>Na Pankráci 546/56, Nusle, 140 00 Praha 4</w:t>
      </w:r>
    </w:p>
    <w:p w14:paraId="7C5137EB" w14:textId="60D2F66C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285D88">
        <w:rPr>
          <w:rFonts w:ascii="Arial" w:hAnsi="Arial" w:cs="Arial"/>
        </w:rPr>
        <w:t>65993390</w:t>
      </w:r>
    </w:p>
    <w:p w14:paraId="52DB3F3C" w14:textId="18447623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285D88">
        <w:rPr>
          <w:rFonts w:ascii="Arial" w:hAnsi="Arial" w:cs="Arial"/>
        </w:rPr>
        <w:t>65993390</w:t>
      </w:r>
      <w:r w:rsidRPr="00DA7F4D">
        <w:rPr>
          <w:rFonts w:ascii="Arial" w:hAnsi="Arial" w:cs="Arial"/>
        </w:rPr>
        <w:t xml:space="preserve"> </w:t>
      </w:r>
    </w:p>
    <w:p w14:paraId="4015CD38" w14:textId="0123C2F4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261188">
        <w:rPr>
          <w:rFonts w:ascii="Arial" w:hAnsi="Arial" w:cs="Arial"/>
        </w:rPr>
        <w:t>xx</w:t>
      </w:r>
    </w:p>
    <w:p w14:paraId="748202BC" w14:textId="489B2543" w:rsidR="00CC29E1" w:rsidRPr="00DA7F4D" w:rsidRDefault="00CC29E1" w:rsidP="006D7640">
      <w:pPr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zastoupená</w:t>
      </w:r>
      <w:r w:rsidR="00285D88">
        <w:rPr>
          <w:rFonts w:ascii="Arial" w:hAnsi="Arial" w:cs="Arial"/>
        </w:rPr>
        <w:t xml:space="preserve">:                     </w:t>
      </w:r>
      <w:r w:rsidR="00261188">
        <w:rPr>
          <w:rFonts w:ascii="Arial" w:hAnsi="Arial" w:cs="Arial"/>
        </w:rPr>
        <w:t>xx</w:t>
      </w:r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35891198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Stavebník bude realizovat stavbu</w:t>
      </w:r>
      <w:r w:rsidR="00285D88">
        <w:rPr>
          <w:rFonts w:ascii="Arial" w:hAnsi="Arial" w:cs="Arial"/>
        </w:rPr>
        <w:t xml:space="preserve"> </w:t>
      </w:r>
      <w:r w:rsidR="00285D88" w:rsidRPr="008A20A6">
        <w:rPr>
          <w:rFonts w:ascii="Arial" w:hAnsi="Arial" w:cs="Arial"/>
          <w:b/>
        </w:rPr>
        <w:t>„</w:t>
      </w:r>
      <w:r w:rsidR="008A20A6" w:rsidRPr="008A20A6">
        <w:rPr>
          <w:rFonts w:ascii="Arial" w:hAnsi="Arial" w:cs="Arial"/>
          <w:b/>
        </w:rPr>
        <w:t>I/20 České Budějovice, severní spojka“</w:t>
      </w:r>
      <w:r>
        <w:rPr>
          <w:rFonts w:ascii="Arial" w:hAnsi="Arial" w:cs="Arial"/>
        </w:rPr>
        <w:t>, na základě níž dojde k přeložení SEK ČDT oproti původnímu stavu jejího uložení.</w:t>
      </w:r>
    </w:p>
    <w:p w14:paraId="20716215" w14:textId="3548997D" w:rsidR="008D265D" w:rsidRPr="008A20A6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8A20A6" w:rsidRPr="008A20A6">
        <w:rPr>
          <w:rFonts w:ascii="Arial" w:hAnsi="Arial" w:cs="Arial"/>
          <w:b/>
        </w:rPr>
        <w:t>„I/20 České Budějovice, severní spojka – SO 450 Přeložky kabelizace ČD  Telematika“</w:t>
      </w:r>
      <w:r w:rsidRPr="008A20A6">
        <w:rPr>
          <w:rFonts w:ascii="Arial" w:hAnsi="Arial" w:cs="Arial"/>
          <w:b/>
        </w:rPr>
        <w:t xml:space="preserve">.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ZeK,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3AD6DA34" w:rsidR="005221E0" w:rsidRPr="008A20A6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8A20A6" w:rsidRPr="008A20A6">
        <w:rPr>
          <w:rFonts w:ascii="Arial" w:hAnsi="Arial" w:cs="Arial"/>
          <w:sz w:val="20"/>
          <w:szCs w:val="20"/>
        </w:rPr>
        <w:t>společností KTA technika s.r.o., Klatovská 100, 301 00 Plzeň ve stupni DÚR z 02/2020.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5A163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2F471D93" w14:textId="40764965" w:rsidR="00195E23" w:rsidRPr="006053FF" w:rsidRDefault="00195E23" w:rsidP="00195E23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ČDT je oprávněna v rámci překládky SEK provést změnu technického řešení na překládaném úseku SEK. Veškeré náklady na realizaci změny nese ČDT. Předmětná změna bude provedena po vzájemné dohodě smluvních stran.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138E67AC" w14:textId="77777777" w:rsidR="004E358B" w:rsidRPr="00DF7F18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zajistit vyhotovení realizační dokumentace Překládky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C232A20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nezbytné geometrické plány věcných břemen</w:t>
      </w:r>
      <w:r w:rsidR="00FA7A99" w:rsidRPr="00D3311A">
        <w:rPr>
          <w:rFonts w:ascii="Arial" w:hAnsi="Arial" w:cs="Arial"/>
          <w:sz w:val="20"/>
          <w:szCs w:val="20"/>
        </w:rPr>
        <w:t>,</w:t>
      </w:r>
    </w:p>
    <w:p w14:paraId="1C14034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60E57327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 Územního</w:t>
      </w:r>
      <w:r>
        <w:rPr>
          <w:rFonts w:ascii="Arial" w:hAnsi="Arial" w:cs="Arial"/>
          <w:sz w:val="20"/>
          <w:szCs w:val="20"/>
        </w:rPr>
        <w:t xml:space="preserve"> rozhodnutí </w:t>
      </w:r>
      <w:r w:rsidR="001A26BA">
        <w:rPr>
          <w:rFonts w:ascii="Arial" w:hAnsi="Arial" w:cs="Arial"/>
          <w:sz w:val="20"/>
          <w:szCs w:val="20"/>
        </w:rPr>
        <w:t xml:space="preserve">– rozhodnutí o umístění stavby </w:t>
      </w:r>
      <w:r w:rsidR="008A20A6">
        <w:rPr>
          <w:rFonts w:ascii="Arial" w:hAnsi="Arial" w:cs="Arial"/>
          <w:sz w:val="20"/>
          <w:szCs w:val="20"/>
        </w:rPr>
        <w:t>„I/20 České Budějovice, severní spojka“ č.j. SU/2075/2018-36</w:t>
      </w:r>
      <w:r w:rsidR="001A26BA">
        <w:rPr>
          <w:rFonts w:ascii="Arial" w:hAnsi="Arial" w:cs="Arial"/>
          <w:sz w:val="20"/>
          <w:szCs w:val="20"/>
        </w:rPr>
        <w:t xml:space="preserve"> ze dne </w:t>
      </w:r>
      <w:r w:rsidR="008A20A6">
        <w:rPr>
          <w:rFonts w:ascii="Arial" w:hAnsi="Arial" w:cs="Arial"/>
          <w:sz w:val="20"/>
          <w:szCs w:val="20"/>
        </w:rPr>
        <w:t>30.06.2021</w:t>
      </w:r>
      <w:r w:rsidR="001A26BA">
        <w:rPr>
          <w:rFonts w:ascii="Arial" w:hAnsi="Arial" w:cs="Arial"/>
          <w:sz w:val="20"/>
          <w:szCs w:val="20"/>
        </w:rPr>
        <w:t xml:space="preserve"> a to toliko práva k umístění, resp. přeložení veřejné komunikační sítě ČDT za </w:t>
      </w:r>
      <w:r w:rsidR="001A26BA">
        <w:rPr>
          <w:rFonts w:ascii="Arial" w:hAnsi="Arial" w:cs="Arial"/>
          <w:sz w:val="20"/>
          <w:szCs w:val="20"/>
        </w:rPr>
        <w:lastRenderedPageBreak/>
        <w:t>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3F378469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 w:rsidRPr="00032B97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>DT a vlastníky Překládkou dotčených nemovitosti musí dojít s ohledem na ustanovení § 104 ZeK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>smlouvy. Náhrady za zřízení služebnosti či náhrady z jiné smlouvy, které ČDT vlastníkům dotčených nemovitostí uhradí, bude Stavebník s ohledem na ustanovení § 104 odst. 17., ZeK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7777777" w:rsidR="00CC7E94" w:rsidRPr="009926EF" w:rsidRDefault="001A26BA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Náklady spojené s překládkou SEK</w:t>
      </w:r>
    </w:p>
    <w:p w14:paraId="01D314EC" w14:textId="55736C88" w:rsidR="001A26BA" w:rsidRPr="001A26BA" w:rsidRDefault="0026118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19D66360" w14:textId="498B236F" w:rsidR="00E7542F" w:rsidRDefault="0026118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50AF11D9" w14:textId="6AF010CA" w:rsidR="00E7542F" w:rsidRDefault="0026118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674C969C" w14:textId="03302940" w:rsidR="00E7542F" w:rsidRDefault="0026118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712C5426" w14:textId="4CA523F3" w:rsidR="00261188" w:rsidRDefault="0026118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400C4BCC" w14:textId="6766E356" w:rsidR="00FD1776" w:rsidRDefault="00FD1776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858A92E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6C5F09FF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50F75FF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0D2E82F1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4C622015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6B7598DF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BD08BC1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7A8E3EBB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3E09810C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0DA87F9B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4341369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CD95C2B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9B199DD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D688EA0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4F3453B6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57C40D0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2ACF4148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6C083933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28755C3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6CF1D39B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44FE33D" w14:textId="77777777" w:rsidR="00261188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57CD4D70" w14:textId="77777777" w:rsidR="00261188" w:rsidRPr="00FD1776" w:rsidRDefault="00261188" w:rsidP="00FD1776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Cs/>
          <w:color w:val="000000"/>
        </w:rPr>
      </w:pPr>
    </w:p>
    <w:p w14:paraId="13DF5196" w14:textId="1B362FF9" w:rsidR="00CC7E94" w:rsidRPr="009926EF" w:rsidRDefault="00CC7E94" w:rsidP="003544F5">
      <w:pPr>
        <w:pStyle w:val="lnek-odstavec"/>
        <w:tabs>
          <w:tab w:val="left" w:pos="855"/>
          <w:tab w:val="center" w:pos="4890"/>
        </w:tabs>
        <w:spacing w:before="300"/>
      </w:pPr>
      <w:r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77777777" w:rsidR="00A46B8E" w:rsidRDefault="00A46B8E" w:rsidP="00A46B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Smluvní sankce</w:t>
      </w:r>
    </w:p>
    <w:p w14:paraId="7403205C" w14:textId="763DF3DC" w:rsidR="00A46B8E" w:rsidRDefault="0026118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36FD5026" w14:textId="2EC79321" w:rsidR="00A46B8E" w:rsidRDefault="0026118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2EF89CD8" w14:textId="4FE58FE4" w:rsidR="00A46B8E" w:rsidRDefault="0026118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12A5D88C" w14:textId="7CC20817" w:rsidR="00A46B8E" w:rsidRDefault="0026118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5DC57FBB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F464FEA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774BA19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4140EC0" w14:textId="77777777" w:rsidR="00261188" w:rsidRP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4BDC6094" w:rsidR="00695B14" w:rsidRPr="0045480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ve věcech smluvních: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4A954DD4" w14:textId="5C4F1F99" w:rsidR="00695B14" w:rsidRPr="0045480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tel.: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5CD7ABB6" w14:textId="7A2096F4" w:rsidR="00695B14" w:rsidRPr="0045480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ve věcech technických: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58E33BF5" w14:textId="39B392B7" w:rsidR="00695B14" w:rsidRPr="0045480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tel.: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4C1A59CE" w14:textId="6221EFC6" w:rsidR="00660439" w:rsidRPr="00454804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ve věcech realizace: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29F406C9" w14:textId="2699EE87" w:rsidR="00660439" w:rsidRPr="00454804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tel.: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11B5036C" w14:textId="588E7472" w:rsidR="00660439" w:rsidRPr="00454804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ve věcech realizace (zástupce):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6850F4C3" w14:textId="7ECE294E" w:rsidR="00660439" w:rsidRPr="00454804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4804"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 w:rsidRPr="00454804">
        <w:rPr>
          <w:rFonts w:ascii="Arial" w:hAnsi="Arial" w:cs="Arial"/>
          <w:sz w:val="20"/>
          <w:szCs w:val="20"/>
        </w:rPr>
        <w:tab/>
        <w:t xml:space="preserve">tel.: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208013DA" w14:textId="77777777" w:rsidR="002C20B6" w:rsidRPr="00695B14" w:rsidRDefault="002C20B6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1EEE0F15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r w:rsidR="00261188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682DA0F5" w14:textId="4574FBA6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ab/>
        <w:t xml:space="preserve">tel.: </w:t>
      </w:r>
    </w:p>
    <w:p w14:paraId="3984B5A4" w14:textId="584EF569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r w:rsidR="00261188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ab/>
        <w:t xml:space="preserve">funkce: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333917DD" w14:textId="59787CA8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261188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ab/>
        <w:t xml:space="preserve">tel.: </w:t>
      </w:r>
      <w:r w:rsidR="00261188">
        <w:rPr>
          <w:rFonts w:ascii="Arial" w:hAnsi="Arial" w:cs="Arial"/>
          <w:sz w:val="20"/>
          <w:szCs w:val="20"/>
        </w:rPr>
        <w:t>xx</w:t>
      </w:r>
    </w:p>
    <w:p w14:paraId="4F4C039A" w14:textId="77777777" w:rsidR="00261188" w:rsidRDefault="00261188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33199E" w14:textId="77777777" w:rsidR="00261188" w:rsidRDefault="00261188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6A80BD" w14:textId="77777777" w:rsidR="00261188" w:rsidRDefault="00261188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D9B14C" w14:textId="77777777" w:rsidR="00261188" w:rsidRDefault="00261188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F7373F9" w14:textId="77777777" w:rsidR="00261188" w:rsidRPr="00695B14" w:rsidRDefault="00261188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555779" w14:textId="77777777" w:rsidR="00695B14" w:rsidRPr="009926EF" w:rsidRDefault="00695B14" w:rsidP="003D41BA">
      <w:pPr>
        <w:pStyle w:val="lnek-odstavec"/>
        <w:spacing w:before="300"/>
      </w:pPr>
      <w:r>
        <w:t>IX</w:t>
      </w:r>
      <w:r w:rsidRPr="009926EF">
        <w:t>.</w:t>
      </w:r>
    </w:p>
    <w:p w14:paraId="55097CCC" w14:textId="77777777" w:rsidR="00695B14" w:rsidRPr="00CE1E9A" w:rsidRDefault="00695B14" w:rsidP="00695B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Odstoupení od </w:t>
      </w:r>
      <w:r w:rsidR="000949CE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mlouvy</w:t>
      </w:r>
    </w:p>
    <w:p w14:paraId="68056EA8" w14:textId="7E6E84E1" w:rsidR="00695B14" w:rsidRDefault="00261188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337306FD" w14:textId="25273731" w:rsidR="00CF5C48" w:rsidRDefault="00261188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3FF7EC0B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B34D640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50C10F8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AF3CB04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5C038E3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A532D89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B986C4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B74161A" w14:textId="77777777" w:rsidR="00261188" w:rsidRP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77777777" w:rsidR="00CF5C48" w:rsidRPr="00CE1E9A" w:rsidRDefault="000949CE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Rozvazovací podmínka</w:t>
      </w:r>
    </w:p>
    <w:p w14:paraId="4A05AF54" w14:textId="0D1F735D" w:rsidR="00CF5C48" w:rsidRDefault="00261188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57240C92" w14:textId="3A719F4E" w:rsidR="00CF5C48" w:rsidRDefault="00261188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7F809186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7A2558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8F7745E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837F3FE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59839CE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BEE6834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42080F7" w14:textId="77777777" w:rsid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E0030B0" w14:textId="77777777" w:rsidR="00261188" w:rsidRPr="00261188" w:rsidRDefault="00261188" w:rsidP="0026118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123C2361" w14:textId="4D6ED0A0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9E707A">
        <w:rPr>
          <w:rFonts w:ascii="Arial" w:hAnsi="Arial" w:cs="Arial"/>
        </w:rPr>
        <w:t>Strany berou na vědomí, že</w:t>
      </w:r>
      <w:r w:rsidR="009E389D">
        <w:rPr>
          <w:rFonts w:ascii="Arial" w:hAnsi="Arial" w:cs="Arial"/>
        </w:rPr>
        <w:t xml:space="preserve"> </w:t>
      </w:r>
      <w:r w:rsidRPr="009E707A">
        <w:rPr>
          <w:rFonts w:ascii="Arial" w:hAnsi="Arial" w:cs="Arial"/>
        </w:rPr>
        <w:t>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>mlouvy za předmět obchodního tajemství ve smyslu § 504 ObčZ.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7E8528FD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</w:t>
      </w:r>
      <w:r w:rsidRPr="003D41BA">
        <w:rPr>
          <w:rFonts w:ascii="Arial" w:hAnsi="Arial" w:cs="Arial"/>
          <w:sz w:val="20"/>
          <w:szCs w:val="20"/>
        </w:rPr>
        <w:lastRenderedPageBreak/>
        <w:t>údajů, zejména s nařízením Evropského parlamentu a Rady (EU) č. 2016/679 ze dne 27. 4. 2016 (obecné nařízení o ochraně osobních údajů)</w:t>
      </w:r>
      <w:r w:rsidR="00CF41DA">
        <w:rPr>
          <w:rFonts w:ascii="Arial" w:hAnsi="Arial" w:cs="Arial"/>
          <w:sz w:val="20"/>
          <w:szCs w:val="20"/>
        </w:rPr>
        <w:t xml:space="preserve"> </w:t>
      </w:r>
      <w:r w:rsidRPr="003D41BA">
        <w:rPr>
          <w:rFonts w:ascii="Arial" w:hAnsi="Arial" w:cs="Arial"/>
          <w:sz w:val="20"/>
          <w:szCs w:val="20"/>
        </w:rPr>
        <w:t>(dále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>mlouvou, se řídí ustanoveními ObčZ a ZeK.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>není stanoveno jinak (viz. čl.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>mlouvy. Strany se dohodly, že ustanovení § 573 ObčZ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ObčZ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ObčZ,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>mlouvy není fixním závazkem podle § 1980 ObčZ</w:t>
      </w:r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6EF6C7EC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 xml:space="preserve">mlouva je vyhotovena </w:t>
      </w:r>
      <w:r w:rsidR="003C1A3B">
        <w:rPr>
          <w:rFonts w:ascii="Arial" w:hAnsi="Arial" w:cs="Arial"/>
          <w:snapToGrid w:val="0"/>
        </w:rPr>
        <w:t>elektronicky a podepsána zaručeným elektronickým podpisem založeným na kvalifikovaném certifikátu pro elektronický podpis nebo kvalifikovaným elektronickým podpisem. Každá ze smluvních stran obdrží vyhotovení se zaručeným elektronickým podpisem obou stran.</w:t>
      </w:r>
    </w:p>
    <w:p w14:paraId="18ADA062" w14:textId="01A90B23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</w:t>
      </w:r>
      <w:r w:rsidR="00CF41DA">
        <w:rPr>
          <w:rFonts w:ascii="Arial" w:hAnsi="Arial" w:cs="Arial"/>
          <w:snapToGrid w:val="0"/>
        </w:rPr>
        <w:t>–</w:t>
      </w:r>
      <w:r w:rsidR="003D41BA">
        <w:rPr>
          <w:rFonts w:ascii="Arial" w:hAnsi="Arial" w:cs="Arial"/>
          <w:snapToGrid w:val="0"/>
        </w:rPr>
        <w:t xml:space="preserve"> </w:t>
      </w:r>
      <w:r w:rsidR="00CF41DA">
        <w:rPr>
          <w:rFonts w:ascii="Arial" w:hAnsi="Arial" w:cs="Arial"/>
          <w:snapToGrid w:val="0"/>
        </w:rPr>
        <w:t>Podmínky pro stavební činnosti v blízkosti komunikačního vedení ve vlastnictví ČD – Telematika a.s.</w:t>
      </w:r>
      <w:r w:rsidR="003D41BA" w:rsidRPr="00797EDC">
        <w:rPr>
          <w:rFonts w:ascii="Arial" w:hAnsi="Arial" w:cs="Arial"/>
          <w:snapToGrid w:val="0"/>
        </w:rPr>
        <w:t>.</w:t>
      </w:r>
    </w:p>
    <w:p w14:paraId="7406CF23" w14:textId="77777777" w:rsidR="00261188" w:rsidRDefault="00261188" w:rsidP="00261188">
      <w:pPr>
        <w:spacing w:before="120" w:after="600"/>
        <w:jc w:val="both"/>
        <w:rPr>
          <w:rFonts w:ascii="Arial" w:hAnsi="Arial" w:cs="Arial"/>
          <w:snapToGrid w:val="0"/>
        </w:rPr>
      </w:pPr>
    </w:p>
    <w:p w14:paraId="444560E9" w14:textId="77777777" w:rsidR="00261188" w:rsidRDefault="00261188" w:rsidP="00261188">
      <w:pPr>
        <w:spacing w:before="120" w:after="600"/>
        <w:jc w:val="both"/>
        <w:rPr>
          <w:rFonts w:ascii="Arial" w:hAnsi="Arial" w:cs="Arial"/>
          <w:snapToGrid w:val="0"/>
        </w:rPr>
      </w:pPr>
    </w:p>
    <w:p w14:paraId="34A39367" w14:textId="77777777" w:rsidR="00261188" w:rsidRDefault="00261188" w:rsidP="00261188">
      <w:pPr>
        <w:spacing w:before="120" w:after="600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5802F548" w:rsidR="00383BE8" w:rsidRPr="00AC5BAE" w:rsidRDefault="00383BE8" w:rsidP="00261188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r w:rsidR="00261188">
              <w:rPr>
                <w:rFonts w:ascii="Arial" w:hAnsi="Arial" w:cs="Arial"/>
              </w:rPr>
              <w:t xml:space="preserve"> 1.11.2023</w:t>
            </w:r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0953FAA2" w:rsidR="00383BE8" w:rsidRPr="00AC5BAE" w:rsidRDefault="00383BE8" w:rsidP="00261188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 xml:space="preserve">V </w:t>
            </w:r>
            <w:r w:rsidR="00CF41DA">
              <w:rPr>
                <w:rFonts w:ascii="Arial" w:hAnsi="Arial" w:cs="Arial"/>
              </w:rPr>
              <w:t>Českých Budějovicích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 xml:space="preserve">dne </w:t>
            </w:r>
            <w:r w:rsidR="00261188">
              <w:rPr>
                <w:rFonts w:ascii="Arial" w:hAnsi="Arial" w:cs="Arial"/>
              </w:rPr>
              <w:t>7.11.2023</w:t>
            </w:r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7B17A60D" w:rsidR="00383BE8" w:rsidRPr="00043DCF" w:rsidRDefault="00CF41DA" w:rsidP="00CF4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Ředitelství silnic a dálnic ČR</w:t>
            </w:r>
          </w:p>
        </w:tc>
      </w:tr>
      <w:tr w:rsidR="00383BE8" w:rsidRPr="00AC5BAE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25FD1936" w14:textId="77777777" w:rsidR="005B1123" w:rsidRPr="005B1123" w:rsidRDefault="005B1123" w:rsidP="00B73203">
            <w:pPr>
              <w:jc w:val="center"/>
              <w:rPr>
                <w:rFonts w:ascii="Helv" w:hAnsi="Helv" w:cs="Helv"/>
                <w:color w:val="000000"/>
              </w:rPr>
            </w:pPr>
            <w:r w:rsidRPr="005B1123">
              <w:rPr>
                <w:rFonts w:ascii="Helv" w:hAnsi="Helv" w:cs="Helv"/>
                <w:color w:val="000000"/>
              </w:rPr>
              <w:t>Ing. Jan Hobza</w:t>
            </w:r>
          </w:p>
          <w:p w14:paraId="674DEAE6" w14:textId="77777777" w:rsidR="00383BE8" w:rsidRDefault="005B1123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představenstva</w:t>
            </w:r>
          </w:p>
          <w:p w14:paraId="2330F29E" w14:textId="3F17D81D" w:rsidR="00B05640" w:rsidRPr="00AC5BAE" w:rsidRDefault="00B05640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(podepsáno elektronicky)</w:t>
            </w:r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673B4188" w14:textId="4ACCBF37" w:rsidR="00B05640" w:rsidRDefault="00261188" w:rsidP="00CF4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  <w:p w14:paraId="749BCE55" w14:textId="745A0FC6" w:rsidR="00B05640" w:rsidRPr="00AC5BAE" w:rsidRDefault="00B05640" w:rsidP="00CF41DA">
            <w:pPr>
              <w:jc w:val="center"/>
              <w:rPr>
                <w:rFonts w:ascii="Arial" w:hAnsi="Arial" w:cs="Arial"/>
              </w:rPr>
            </w:pPr>
          </w:p>
        </w:tc>
      </w:tr>
      <w:tr w:rsidR="00660439" w:rsidRPr="00AC5BAE" w14:paraId="4CE8E963" w14:textId="77777777" w:rsidTr="007976B1">
        <w:trPr>
          <w:gridAfter w:val="3"/>
          <w:wAfter w:w="5435" w:type="dxa"/>
          <w:jc w:val="center"/>
        </w:trPr>
        <w:tc>
          <w:tcPr>
            <w:tcW w:w="3654" w:type="dxa"/>
          </w:tcPr>
          <w:p w14:paraId="5527FCCB" w14:textId="77777777" w:rsidR="00660439" w:rsidRDefault="00660439" w:rsidP="007976B1">
            <w:pPr>
              <w:jc w:val="center"/>
              <w:rPr>
                <w:rFonts w:ascii="Arial" w:hAnsi="Arial" w:cs="Arial"/>
                <w:b/>
              </w:rPr>
            </w:pPr>
          </w:p>
          <w:p w14:paraId="7A19DAB9" w14:textId="77777777" w:rsidR="00660439" w:rsidRPr="00AC5BAE" w:rsidRDefault="00660439" w:rsidP="007976B1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</w:tr>
      <w:tr w:rsidR="00660439" w:rsidRPr="00AC5BAE" w14:paraId="2573F2BD" w14:textId="77777777" w:rsidTr="007976B1">
        <w:trPr>
          <w:gridAfter w:val="3"/>
          <w:wAfter w:w="5435" w:type="dxa"/>
          <w:trHeight w:val="1619"/>
          <w:jc w:val="center"/>
        </w:trPr>
        <w:tc>
          <w:tcPr>
            <w:tcW w:w="3654" w:type="dxa"/>
          </w:tcPr>
          <w:p w14:paraId="1E4E5050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3D6BBC45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6922672D" w14:textId="77777777" w:rsidR="00660439" w:rsidRPr="00AC5BAE" w:rsidRDefault="00660439" w:rsidP="007976B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97B7E5D" w14:textId="77777777" w:rsidR="005C6A38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Tomáš Businský, </w:t>
            </w:r>
          </w:p>
          <w:p w14:paraId="10847F09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  <w:p w14:paraId="67DD0775" w14:textId="11CD8D6E" w:rsidR="00B05640" w:rsidRPr="00AC5BAE" w:rsidRDefault="00B05640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(podepsáno elektronicky)</w:t>
            </w:r>
          </w:p>
        </w:tc>
      </w:tr>
    </w:tbl>
    <w:p w14:paraId="0B7DEE6A" w14:textId="77777777" w:rsidR="005E2CBC" w:rsidRPr="00931A96" w:rsidRDefault="005E2CBC" w:rsidP="00CC7E94">
      <w:pPr>
        <w:rPr>
          <w:rFonts w:ascii="Arial" w:hAnsi="Arial" w:cs="Arial"/>
          <w:sz w:val="22"/>
        </w:rPr>
      </w:pPr>
    </w:p>
    <w:sectPr w:rsidR="005E2CBC" w:rsidRPr="00931A96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83C2" w14:textId="77777777" w:rsidR="008870AC" w:rsidRDefault="008870AC">
      <w:r>
        <w:separator/>
      </w:r>
    </w:p>
  </w:endnote>
  <w:endnote w:type="continuationSeparator" w:id="0">
    <w:p w14:paraId="732A8F68" w14:textId="77777777" w:rsidR="008870AC" w:rsidRDefault="008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261188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261188">
      <w:rPr>
        <w:rStyle w:val="slostrnky"/>
        <w:rFonts w:ascii="Arial" w:hAnsi="Arial" w:cs="Arial"/>
        <w:noProof/>
        <w:color w:val="7F7F7F"/>
      </w:rPr>
      <w:t>7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6AAF" w14:textId="77777777" w:rsidR="008870AC" w:rsidRDefault="008870AC">
      <w:r>
        <w:separator/>
      </w:r>
    </w:p>
  </w:footnote>
  <w:footnote w:type="continuationSeparator" w:id="0">
    <w:p w14:paraId="7058F877" w14:textId="77777777" w:rsidR="008870AC" w:rsidRDefault="0088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25704"/>
    <w:rsid w:val="00032B97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E19FF"/>
    <w:rsid w:val="000F0AE9"/>
    <w:rsid w:val="001024D7"/>
    <w:rsid w:val="00103340"/>
    <w:rsid w:val="00110ACF"/>
    <w:rsid w:val="00111D05"/>
    <w:rsid w:val="00111DDD"/>
    <w:rsid w:val="00113A3B"/>
    <w:rsid w:val="00130CAC"/>
    <w:rsid w:val="001672CE"/>
    <w:rsid w:val="001740F9"/>
    <w:rsid w:val="001813C5"/>
    <w:rsid w:val="00185377"/>
    <w:rsid w:val="001869E3"/>
    <w:rsid w:val="00186C03"/>
    <w:rsid w:val="00192691"/>
    <w:rsid w:val="00195E23"/>
    <w:rsid w:val="001A26BA"/>
    <w:rsid w:val="001B3F1D"/>
    <w:rsid w:val="001C3682"/>
    <w:rsid w:val="001C65C2"/>
    <w:rsid w:val="001D109F"/>
    <w:rsid w:val="001D1523"/>
    <w:rsid w:val="001D4CEA"/>
    <w:rsid w:val="001D69ED"/>
    <w:rsid w:val="001E1EE3"/>
    <w:rsid w:val="001E71CA"/>
    <w:rsid w:val="001F3502"/>
    <w:rsid w:val="001F46DC"/>
    <w:rsid w:val="002170EC"/>
    <w:rsid w:val="00221FF7"/>
    <w:rsid w:val="00222983"/>
    <w:rsid w:val="0023167F"/>
    <w:rsid w:val="002320ED"/>
    <w:rsid w:val="00233305"/>
    <w:rsid w:val="002345B6"/>
    <w:rsid w:val="0025549C"/>
    <w:rsid w:val="00261188"/>
    <w:rsid w:val="00262172"/>
    <w:rsid w:val="00264BB2"/>
    <w:rsid w:val="002722F2"/>
    <w:rsid w:val="00282288"/>
    <w:rsid w:val="00285D88"/>
    <w:rsid w:val="0028798F"/>
    <w:rsid w:val="002A582C"/>
    <w:rsid w:val="002B5375"/>
    <w:rsid w:val="002C00D6"/>
    <w:rsid w:val="002C20B6"/>
    <w:rsid w:val="002C4E3D"/>
    <w:rsid w:val="002C6C8F"/>
    <w:rsid w:val="002D21E9"/>
    <w:rsid w:val="002E0515"/>
    <w:rsid w:val="002F1F0F"/>
    <w:rsid w:val="002F7A3C"/>
    <w:rsid w:val="00300DB3"/>
    <w:rsid w:val="0030582B"/>
    <w:rsid w:val="0031197E"/>
    <w:rsid w:val="003130A9"/>
    <w:rsid w:val="00314EB0"/>
    <w:rsid w:val="003204E4"/>
    <w:rsid w:val="003235FE"/>
    <w:rsid w:val="003344E5"/>
    <w:rsid w:val="00334F8E"/>
    <w:rsid w:val="00343953"/>
    <w:rsid w:val="003544F5"/>
    <w:rsid w:val="0036416A"/>
    <w:rsid w:val="003664FB"/>
    <w:rsid w:val="00367085"/>
    <w:rsid w:val="00370B57"/>
    <w:rsid w:val="00374343"/>
    <w:rsid w:val="003817C7"/>
    <w:rsid w:val="00381912"/>
    <w:rsid w:val="00383BE8"/>
    <w:rsid w:val="00393EDF"/>
    <w:rsid w:val="00394464"/>
    <w:rsid w:val="003A27D1"/>
    <w:rsid w:val="003B3471"/>
    <w:rsid w:val="003B48A6"/>
    <w:rsid w:val="003C14A4"/>
    <w:rsid w:val="003C18F9"/>
    <w:rsid w:val="003C1A3B"/>
    <w:rsid w:val="003C564F"/>
    <w:rsid w:val="003D2EEE"/>
    <w:rsid w:val="003D41BA"/>
    <w:rsid w:val="003D4DE6"/>
    <w:rsid w:val="003E0936"/>
    <w:rsid w:val="003E3844"/>
    <w:rsid w:val="003F40B4"/>
    <w:rsid w:val="003F4941"/>
    <w:rsid w:val="003F6F95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52B50"/>
    <w:rsid w:val="00454804"/>
    <w:rsid w:val="00455612"/>
    <w:rsid w:val="00456833"/>
    <w:rsid w:val="00462C16"/>
    <w:rsid w:val="00466BB9"/>
    <w:rsid w:val="004701A5"/>
    <w:rsid w:val="0047480A"/>
    <w:rsid w:val="00482E42"/>
    <w:rsid w:val="00484268"/>
    <w:rsid w:val="0048489E"/>
    <w:rsid w:val="004A76DA"/>
    <w:rsid w:val="004B0376"/>
    <w:rsid w:val="004B5EA0"/>
    <w:rsid w:val="004B6558"/>
    <w:rsid w:val="004C0968"/>
    <w:rsid w:val="004C1CE1"/>
    <w:rsid w:val="004C2714"/>
    <w:rsid w:val="004D7689"/>
    <w:rsid w:val="004E358B"/>
    <w:rsid w:val="004E4C3B"/>
    <w:rsid w:val="004E729F"/>
    <w:rsid w:val="00510C7D"/>
    <w:rsid w:val="00513E3B"/>
    <w:rsid w:val="00514834"/>
    <w:rsid w:val="00520676"/>
    <w:rsid w:val="005219D4"/>
    <w:rsid w:val="005221E0"/>
    <w:rsid w:val="00523DE3"/>
    <w:rsid w:val="00534975"/>
    <w:rsid w:val="00536C6C"/>
    <w:rsid w:val="00552FD0"/>
    <w:rsid w:val="00575537"/>
    <w:rsid w:val="00576596"/>
    <w:rsid w:val="00591ADB"/>
    <w:rsid w:val="00594364"/>
    <w:rsid w:val="005953A2"/>
    <w:rsid w:val="005A027E"/>
    <w:rsid w:val="005A1633"/>
    <w:rsid w:val="005A2200"/>
    <w:rsid w:val="005A3750"/>
    <w:rsid w:val="005A7316"/>
    <w:rsid w:val="005B1123"/>
    <w:rsid w:val="005B5B37"/>
    <w:rsid w:val="005C372B"/>
    <w:rsid w:val="005C4BCD"/>
    <w:rsid w:val="005C6A38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53FF"/>
    <w:rsid w:val="006059C2"/>
    <w:rsid w:val="006078BD"/>
    <w:rsid w:val="00610E5B"/>
    <w:rsid w:val="00612ED7"/>
    <w:rsid w:val="006202A0"/>
    <w:rsid w:val="0062675D"/>
    <w:rsid w:val="00633318"/>
    <w:rsid w:val="00641597"/>
    <w:rsid w:val="00654685"/>
    <w:rsid w:val="00655F77"/>
    <w:rsid w:val="00660439"/>
    <w:rsid w:val="006605D3"/>
    <w:rsid w:val="00666D97"/>
    <w:rsid w:val="00670D40"/>
    <w:rsid w:val="00673165"/>
    <w:rsid w:val="00680E77"/>
    <w:rsid w:val="0068477E"/>
    <w:rsid w:val="00687C59"/>
    <w:rsid w:val="00695B14"/>
    <w:rsid w:val="006A379B"/>
    <w:rsid w:val="006B5573"/>
    <w:rsid w:val="006D08FB"/>
    <w:rsid w:val="006D7640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17F64"/>
    <w:rsid w:val="008236D8"/>
    <w:rsid w:val="00831E72"/>
    <w:rsid w:val="00841556"/>
    <w:rsid w:val="00846040"/>
    <w:rsid w:val="008465F8"/>
    <w:rsid w:val="0085014B"/>
    <w:rsid w:val="00851769"/>
    <w:rsid w:val="00864C42"/>
    <w:rsid w:val="008663B5"/>
    <w:rsid w:val="00872895"/>
    <w:rsid w:val="00884402"/>
    <w:rsid w:val="00885CF0"/>
    <w:rsid w:val="008870AC"/>
    <w:rsid w:val="00890D6B"/>
    <w:rsid w:val="008A149B"/>
    <w:rsid w:val="008A1A86"/>
    <w:rsid w:val="008A20A6"/>
    <w:rsid w:val="008A3DB2"/>
    <w:rsid w:val="008B727C"/>
    <w:rsid w:val="008B745E"/>
    <w:rsid w:val="008D265D"/>
    <w:rsid w:val="008D703F"/>
    <w:rsid w:val="008E6A49"/>
    <w:rsid w:val="008E6CC9"/>
    <w:rsid w:val="008F5891"/>
    <w:rsid w:val="0090628C"/>
    <w:rsid w:val="00931A96"/>
    <w:rsid w:val="00935B36"/>
    <w:rsid w:val="00937CF3"/>
    <w:rsid w:val="0094625A"/>
    <w:rsid w:val="009470AF"/>
    <w:rsid w:val="00954EC0"/>
    <w:rsid w:val="00964E15"/>
    <w:rsid w:val="00965679"/>
    <w:rsid w:val="009737F9"/>
    <w:rsid w:val="0097442F"/>
    <w:rsid w:val="009872A0"/>
    <w:rsid w:val="009926EF"/>
    <w:rsid w:val="00994853"/>
    <w:rsid w:val="009A203D"/>
    <w:rsid w:val="009A4CEB"/>
    <w:rsid w:val="009A5820"/>
    <w:rsid w:val="009A58F3"/>
    <w:rsid w:val="009B3394"/>
    <w:rsid w:val="009B68B8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677E"/>
    <w:rsid w:val="00A21161"/>
    <w:rsid w:val="00A21AD6"/>
    <w:rsid w:val="00A2378E"/>
    <w:rsid w:val="00A3087D"/>
    <w:rsid w:val="00A3153D"/>
    <w:rsid w:val="00A33112"/>
    <w:rsid w:val="00A35F42"/>
    <w:rsid w:val="00A4688D"/>
    <w:rsid w:val="00A46B8E"/>
    <w:rsid w:val="00A55717"/>
    <w:rsid w:val="00A60CF6"/>
    <w:rsid w:val="00A73757"/>
    <w:rsid w:val="00A76E31"/>
    <w:rsid w:val="00A86039"/>
    <w:rsid w:val="00A86D3F"/>
    <w:rsid w:val="00A91163"/>
    <w:rsid w:val="00A972C8"/>
    <w:rsid w:val="00A979A4"/>
    <w:rsid w:val="00AB4076"/>
    <w:rsid w:val="00AB5609"/>
    <w:rsid w:val="00AB706B"/>
    <w:rsid w:val="00AB752A"/>
    <w:rsid w:val="00AC5BAE"/>
    <w:rsid w:val="00AD03EE"/>
    <w:rsid w:val="00AE0F86"/>
    <w:rsid w:val="00B023D7"/>
    <w:rsid w:val="00B052AD"/>
    <w:rsid w:val="00B05640"/>
    <w:rsid w:val="00B22E37"/>
    <w:rsid w:val="00B26372"/>
    <w:rsid w:val="00B33305"/>
    <w:rsid w:val="00B37FEA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237F"/>
    <w:rsid w:val="00BD372A"/>
    <w:rsid w:val="00BE3126"/>
    <w:rsid w:val="00BF0B9C"/>
    <w:rsid w:val="00BF16C3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47292"/>
    <w:rsid w:val="00C53A93"/>
    <w:rsid w:val="00C575F2"/>
    <w:rsid w:val="00C65430"/>
    <w:rsid w:val="00C6750B"/>
    <w:rsid w:val="00C825AA"/>
    <w:rsid w:val="00C8408D"/>
    <w:rsid w:val="00C969A2"/>
    <w:rsid w:val="00CA3344"/>
    <w:rsid w:val="00CC29E1"/>
    <w:rsid w:val="00CC36FF"/>
    <w:rsid w:val="00CC7E94"/>
    <w:rsid w:val="00CD6627"/>
    <w:rsid w:val="00CE08E3"/>
    <w:rsid w:val="00CE1E9A"/>
    <w:rsid w:val="00CE3147"/>
    <w:rsid w:val="00CE5EF9"/>
    <w:rsid w:val="00CF1A91"/>
    <w:rsid w:val="00CF39DD"/>
    <w:rsid w:val="00CF401B"/>
    <w:rsid w:val="00CF41DA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CEC"/>
    <w:rsid w:val="00D3311A"/>
    <w:rsid w:val="00D3480F"/>
    <w:rsid w:val="00D41F9A"/>
    <w:rsid w:val="00D5356B"/>
    <w:rsid w:val="00D5624C"/>
    <w:rsid w:val="00D60AB7"/>
    <w:rsid w:val="00D633B1"/>
    <w:rsid w:val="00D7339B"/>
    <w:rsid w:val="00D81ACC"/>
    <w:rsid w:val="00D822A1"/>
    <w:rsid w:val="00D96A40"/>
    <w:rsid w:val="00DB4E76"/>
    <w:rsid w:val="00DC5960"/>
    <w:rsid w:val="00DE1ECF"/>
    <w:rsid w:val="00DE1F7B"/>
    <w:rsid w:val="00DE2FEE"/>
    <w:rsid w:val="00DE42F8"/>
    <w:rsid w:val="00DE675A"/>
    <w:rsid w:val="00DE7415"/>
    <w:rsid w:val="00DF7F18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D5E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1300C"/>
    <w:rsid w:val="00F20FAC"/>
    <w:rsid w:val="00F31BD7"/>
    <w:rsid w:val="00F320E6"/>
    <w:rsid w:val="00F36615"/>
    <w:rsid w:val="00F42582"/>
    <w:rsid w:val="00F47104"/>
    <w:rsid w:val="00F61ADE"/>
    <w:rsid w:val="00F650EF"/>
    <w:rsid w:val="00F74368"/>
    <w:rsid w:val="00F76F3A"/>
    <w:rsid w:val="00F8000E"/>
    <w:rsid w:val="00F93724"/>
    <w:rsid w:val="00F93A6E"/>
    <w:rsid w:val="00F9575A"/>
    <w:rsid w:val="00FA3039"/>
    <w:rsid w:val="00FA3652"/>
    <w:rsid w:val="00FA7A99"/>
    <w:rsid w:val="00FC061A"/>
    <w:rsid w:val="00FC6193"/>
    <w:rsid w:val="00FD1776"/>
    <w:rsid w:val="00FE689F"/>
    <w:rsid w:val="00FE6914"/>
    <w:rsid w:val="00FF03AB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718523-7A45-4C32-971A-6D12F86FDE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E92F2-1C73-4049-990F-C3E18823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C1BC7-384B-4C30-B5E2-B4B386E20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A1C2C-67CC-4612-95AB-91DED5A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0</TotalTime>
  <Pages>7</Pages>
  <Words>2051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2</cp:revision>
  <cp:lastPrinted>2018-08-20T12:12:00Z</cp:lastPrinted>
  <dcterms:created xsi:type="dcterms:W3CDTF">2023-11-07T13:06:00Z</dcterms:created>
  <dcterms:modified xsi:type="dcterms:W3CDTF">2023-11-07T13:06:00Z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