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E354" w14:textId="77777777" w:rsidR="002F5649" w:rsidRPr="006E7F0C" w:rsidRDefault="002F5649" w:rsidP="003E08C5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221917">
        <w:rPr>
          <w:b/>
          <w:szCs w:val="22"/>
        </w:rPr>
        <w:t>2</w:t>
      </w:r>
      <w:r w:rsidRPr="006E7F0C">
        <w:rPr>
          <w:b/>
          <w:szCs w:val="22"/>
        </w:rPr>
        <w:t xml:space="preserve"> –- </w:t>
      </w:r>
      <w:r w:rsidR="00221917">
        <w:rPr>
          <w:b/>
          <w:szCs w:val="22"/>
        </w:rPr>
        <w:t>Podrobná specifikace díla</w:t>
      </w:r>
    </w:p>
    <w:p w14:paraId="14A9DAFF" w14:textId="77777777" w:rsidR="002F5649" w:rsidRDefault="002F5649" w:rsidP="002F5649">
      <w:pPr>
        <w:keepNext/>
        <w:keepLines/>
        <w:tabs>
          <w:tab w:val="left" w:pos="-2268"/>
        </w:tabs>
        <w:rPr>
          <w:b/>
        </w:rPr>
      </w:pPr>
    </w:p>
    <w:p w14:paraId="53431511" w14:textId="77777777" w:rsidR="00221917" w:rsidRDefault="00221917" w:rsidP="0022191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Dílo</w:t>
      </w:r>
    </w:p>
    <w:p w14:paraId="4F8C225D" w14:textId="77777777" w:rsidR="00221917" w:rsidRDefault="00221917" w:rsidP="00221917">
      <w:pPr>
        <w:rPr>
          <w:rFonts w:cs="Arial"/>
          <w:szCs w:val="22"/>
        </w:rPr>
      </w:pPr>
    </w:p>
    <w:p w14:paraId="570DDDF5" w14:textId="4A786536" w:rsidR="00FE75B2" w:rsidRDefault="00697AB0" w:rsidP="00FE75B2">
      <w:pPr>
        <w:pStyle w:val="Default"/>
        <w:rPr>
          <w:sz w:val="22"/>
          <w:szCs w:val="22"/>
        </w:rPr>
      </w:pPr>
      <w:bookmarkStart w:id="0" w:name="_Hlk144738879"/>
      <w:r>
        <w:rPr>
          <w:sz w:val="22"/>
          <w:szCs w:val="22"/>
        </w:rPr>
        <w:t xml:space="preserve">Předmětem plnění Díla je </w:t>
      </w:r>
      <w:r w:rsidR="00FE75B2">
        <w:rPr>
          <w:sz w:val="22"/>
          <w:szCs w:val="22"/>
        </w:rPr>
        <w:t>oprav</w:t>
      </w:r>
      <w:r>
        <w:rPr>
          <w:sz w:val="22"/>
          <w:szCs w:val="22"/>
        </w:rPr>
        <w:t>a</w:t>
      </w:r>
      <w:r w:rsidR="00FE75B2">
        <w:rPr>
          <w:sz w:val="22"/>
          <w:szCs w:val="22"/>
        </w:rPr>
        <w:t xml:space="preserve"> dvou navazujících mostních objektů. </w:t>
      </w:r>
    </w:p>
    <w:p w14:paraId="4A08EFCC" w14:textId="77777777" w:rsidR="00FE75B2" w:rsidRDefault="00FE75B2" w:rsidP="00FE75B2">
      <w:pPr>
        <w:pStyle w:val="Default"/>
        <w:rPr>
          <w:sz w:val="22"/>
          <w:szCs w:val="22"/>
        </w:rPr>
      </w:pPr>
    </w:p>
    <w:p w14:paraId="53E43F3F" w14:textId="77777777" w:rsidR="00FE75B2" w:rsidRDefault="00FE75B2" w:rsidP="00FE75B2">
      <w:pPr>
        <w:pStyle w:val="Default"/>
        <w:ind w:left="567" w:hanging="567"/>
        <w:rPr>
          <w:sz w:val="22"/>
          <w:szCs w:val="22"/>
        </w:rPr>
      </w:pPr>
      <w:r w:rsidRPr="00893CE1">
        <w:rPr>
          <w:sz w:val="22"/>
          <w:szCs w:val="22"/>
          <w:u w:val="single"/>
        </w:rPr>
        <w:t>Most Y</w:t>
      </w:r>
      <w:proofErr w:type="gramStart"/>
      <w:r w:rsidRPr="00893CE1">
        <w:rPr>
          <w:sz w:val="22"/>
          <w:szCs w:val="22"/>
          <w:u w:val="single"/>
        </w:rPr>
        <w:t>529</w:t>
      </w:r>
      <w:r>
        <w:rPr>
          <w:sz w:val="22"/>
          <w:szCs w:val="22"/>
        </w:rPr>
        <w:t xml:space="preserve">  -</w:t>
      </w:r>
      <w:proofErr w:type="gramEnd"/>
      <w:r>
        <w:rPr>
          <w:sz w:val="22"/>
          <w:szCs w:val="22"/>
        </w:rPr>
        <w:t xml:space="preserve"> jedná se o výměnu izolace a ochrany izolace v pomalém jízdním pruhu včetně odvodnění, opravu předpolí, opravu dilatačních závěrů a rektifikaci závěsů mostu na základě geodetického zaměření současného tvaru konstrukce, zjištění stavu napjatosti závěsů a přepočtu. </w:t>
      </w:r>
    </w:p>
    <w:p w14:paraId="765B416E" w14:textId="77777777" w:rsidR="00FE75B2" w:rsidRDefault="00FE75B2" w:rsidP="00FE75B2">
      <w:pPr>
        <w:pStyle w:val="Default"/>
        <w:rPr>
          <w:sz w:val="22"/>
          <w:szCs w:val="22"/>
        </w:rPr>
      </w:pPr>
    </w:p>
    <w:p w14:paraId="25EA083B" w14:textId="77777777" w:rsidR="00FE75B2" w:rsidRDefault="00FE75B2" w:rsidP="00E313A8">
      <w:pPr>
        <w:pStyle w:val="Default"/>
        <w:ind w:left="567" w:hanging="567"/>
        <w:rPr>
          <w:sz w:val="22"/>
          <w:szCs w:val="22"/>
        </w:rPr>
      </w:pPr>
      <w:r w:rsidRPr="00893CE1">
        <w:rPr>
          <w:sz w:val="22"/>
          <w:szCs w:val="22"/>
          <w:u w:val="single"/>
        </w:rPr>
        <w:t>Most X</w:t>
      </w:r>
      <w:proofErr w:type="gramStart"/>
      <w:r w:rsidRPr="00893CE1">
        <w:rPr>
          <w:sz w:val="22"/>
          <w:szCs w:val="22"/>
          <w:u w:val="single"/>
        </w:rPr>
        <w:t>576..</w:t>
      </w:r>
      <w:proofErr w:type="gramEnd"/>
      <w:r w:rsidRPr="00893CE1">
        <w:rPr>
          <w:sz w:val="22"/>
          <w:szCs w:val="22"/>
          <w:u w:val="single"/>
        </w:rPr>
        <w:t>2</w:t>
      </w:r>
      <w:r>
        <w:rPr>
          <w:sz w:val="22"/>
          <w:szCs w:val="22"/>
        </w:rPr>
        <w:t xml:space="preserve">  - jedná se o výměnu izolace a ochrany izolace v pomalém jízdním pruhu včetně odvodnění, opravu předpolí, výměnu krajní římsy a proti dotykových zábran. </w:t>
      </w:r>
    </w:p>
    <w:p w14:paraId="1E4A8F3C" w14:textId="1662AB6B" w:rsidR="00FE75B2" w:rsidRDefault="00FE75B2" w:rsidP="00E313A8">
      <w:pPr>
        <w:ind w:left="567" w:hanging="567"/>
      </w:pPr>
      <w:r>
        <w:t xml:space="preserve">      </w:t>
      </w:r>
      <w:r w:rsidR="00E313A8">
        <w:t xml:space="preserve">  </w:t>
      </w:r>
      <w:r>
        <w:t xml:space="preserve"> Celá oprava pomalého pruhu bude provedena v jedné uzavírce viz. projekt DIO.</w:t>
      </w:r>
    </w:p>
    <w:p w14:paraId="7330F468" w14:textId="381D1E1C" w:rsidR="00E313A8" w:rsidRDefault="00E313A8" w:rsidP="00FE75B2">
      <w:pPr>
        <w:ind w:left="567" w:hanging="426"/>
      </w:pPr>
    </w:p>
    <w:p w14:paraId="5018FA67" w14:textId="41063610" w:rsidR="00E313A8" w:rsidRDefault="00E313A8" w:rsidP="00E313A8">
      <w:r>
        <w:t>Odstranění vozovkového souvrství a nové provedení není součástí předmětu plnění, avšak je nutná koordinace obou akcí, neboť na sebe navazují.</w:t>
      </w:r>
    </w:p>
    <w:p w14:paraId="58906C1C" w14:textId="62E0D709" w:rsidR="00FE75B2" w:rsidRDefault="00FE75B2" w:rsidP="0033004E">
      <w:pPr>
        <w:tabs>
          <w:tab w:val="left" w:pos="426"/>
        </w:tabs>
        <w:contextualSpacing/>
        <w:rPr>
          <w:rFonts w:eastAsia="Calibri" w:cs="Arial"/>
          <w:szCs w:val="22"/>
          <w:lang w:eastAsia="en-US"/>
        </w:rPr>
      </w:pPr>
    </w:p>
    <w:p w14:paraId="66A65287" w14:textId="77777777" w:rsidR="00E313A8" w:rsidRDefault="00E313A8" w:rsidP="0033004E">
      <w:pPr>
        <w:tabs>
          <w:tab w:val="left" w:pos="426"/>
        </w:tabs>
        <w:contextualSpacing/>
        <w:rPr>
          <w:rFonts w:eastAsia="Calibri" w:cs="Arial"/>
          <w:szCs w:val="22"/>
          <w:lang w:eastAsia="en-US"/>
        </w:rPr>
      </w:pPr>
    </w:p>
    <w:p w14:paraId="39B67842" w14:textId="77777777" w:rsidR="00FE75B2" w:rsidRDefault="00FE75B2" w:rsidP="0033004E">
      <w:pPr>
        <w:tabs>
          <w:tab w:val="left" w:pos="426"/>
        </w:tabs>
        <w:contextualSpacing/>
        <w:rPr>
          <w:rFonts w:eastAsia="Calibri" w:cs="Arial"/>
          <w:szCs w:val="22"/>
          <w:lang w:eastAsia="en-US"/>
        </w:rPr>
      </w:pPr>
    </w:p>
    <w:p w14:paraId="01B57F0D" w14:textId="77777777" w:rsidR="00FE75B2" w:rsidRDefault="00FE75B2" w:rsidP="00FE75B2">
      <w:pPr>
        <w:ind w:left="567" w:hanging="426"/>
      </w:pPr>
      <w:r w:rsidRPr="00235F30">
        <w:rPr>
          <w:u w:val="single"/>
        </w:rPr>
        <w:t>Součástí předmětu plnění je</w:t>
      </w:r>
      <w:r>
        <w:t xml:space="preserve">: </w:t>
      </w:r>
    </w:p>
    <w:p w14:paraId="2AD7C48E" w14:textId="77777777" w:rsidR="00FE75B2" w:rsidRDefault="00FE75B2" w:rsidP="00FE75B2">
      <w:pPr>
        <w:ind w:left="567" w:hanging="426"/>
      </w:pPr>
    </w:p>
    <w:p w14:paraId="329C4339" w14:textId="0F9CC5B7" w:rsidR="00FE75B2" w:rsidRPr="0025458A" w:rsidRDefault="00FE75B2" w:rsidP="00547ED4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5458A">
        <w:rPr>
          <w:rFonts w:ascii="Arial" w:hAnsi="Arial" w:cs="Arial"/>
        </w:rPr>
        <w:t>zajištění ohlášení stavby – ohlášení BOZP (min. 8 dní před fyzickým započetím stavby)</w:t>
      </w:r>
    </w:p>
    <w:p w14:paraId="2FCB9EB3" w14:textId="6D4918A1" w:rsidR="00FE75B2" w:rsidRPr="001C74EF" w:rsidRDefault="00FE75B2" w:rsidP="00547ED4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5458A">
        <w:rPr>
          <w:rFonts w:ascii="Arial" w:hAnsi="Arial" w:cs="Arial"/>
        </w:rPr>
        <w:t xml:space="preserve">projednání </w:t>
      </w:r>
      <w:r w:rsidR="0025458A" w:rsidRPr="0025458A">
        <w:rPr>
          <w:rFonts w:ascii="Arial" w:hAnsi="Arial" w:cs="Arial"/>
        </w:rPr>
        <w:t>vydání dopravně</w:t>
      </w:r>
      <w:r w:rsidR="001C74EF" w:rsidRPr="0025458A">
        <w:rPr>
          <w:rFonts w:ascii="Arial" w:eastAsia="Calibri" w:hAnsi="Arial" w:cs="Arial"/>
        </w:rPr>
        <w:t xml:space="preserve"> inženýrského </w:t>
      </w:r>
      <w:r w:rsidR="0025458A" w:rsidRPr="0025458A">
        <w:rPr>
          <w:rFonts w:ascii="Arial" w:eastAsia="Calibri" w:hAnsi="Arial" w:cs="Arial"/>
        </w:rPr>
        <w:t>rozhodnutí (</w:t>
      </w:r>
      <w:r w:rsidRPr="0025458A">
        <w:rPr>
          <w:rFonts w:ascii="Arial" w:hAnsi="Arial" w:cs="Arial"/>
        </w:rPr>
        <w:t>DIR</w:t>
      </w:r>
      <w:r w:rsidR="001C74EF" w:rsidRPr="0025458A">
        <w:rPr>
          <w:rFonts w:ascii="Arial" w:hAnsi="Arial" w:cs="Arial"/>
        </w:rPr>
        <w:t xml:space="preserve">) </w:t>
      </w:r>
      <w:r w:rsidRPr="0025458A">
        <w:rPr>
          <w:rFonts w:ascii="Arial" w:hAnsi="Arial" w:cs="Arial"/>
        </w:rPr>
        <w:t xml:space="preserve">a realizace </w:t>
      </w:r>
      <w:r w:rsidR="001C74EF" w:rsidRPr="0025458A">
        <w:rPr>
          <w:rFonts w:ascii="Arial" w:eastAsia="Calibri" w:hAnsi="Arial" w:cs="Arial"/>
        </w:rPr>
        <w:t xml:space="preserve">dopravně inženýrského </w:t>
      </w:r>
      <w:proofErr w:type="gramStart"/>
      <w:r w:rsidR="001C74EF" w:rsidRPr="0025458A">
        <w:rPr>
          <w:rFonts w:ascii="Arial" w:eastAsia="Calibri" w:hAnsi="Arial" w:cs="Arial"/>
        </w:rPr>
        <w:t>opatření</w:t>
      </w:r>
      <w:r w:rsidR="001C74EF" w:rsidRPr="001C74EF">
        <w:rPr>
          <w:rFonts w:ascii="Arial" w:eastAsia="Calibri" w:hAnsi="Arial" w:cs="Arial"/>
        </w:rPr>
        <w:t xml:space="preserve">  (</w:t>
      </w:r>
      <w:proofErr w:type="gramEnd"/>
      <w:r w:rsidRPr="001C74EF">
        <w:rPr>
          <w:rFonts w:ascii="Arial" w:hAnsi="Arial" w:cs="Arial"/>
        </w:rPr>
        <w:t>DIO</w:t>
      </w:r>
      <w:r w:rsidR="001C74EF" w:rsidRPr="001C74EF">
        <w:rPr>
          <w:rFonts w:ascii="Arial" w:hAnsi="Arial" w:cs="Arial"/>
        </w:rPr>
        <w:t>)</w:t>
      </w:r>
      <w:r w:rsidRPr="001C74EF">
        <w:rPr>
          <w:rFonts w:ascii="Arial" w:hAnsi="Arial" w:cs="Arial"/>
        </w:rPr>
        <w:t xml:space="preserve"> odbornou firmou</w:t>
      </w:r>
    </w:p>
    <w:p w14:paraId="31940D53" w14:textId="6C0236A3" w:rsidR="00FE75B2" w:rsidRPr="001C74EF" w:rsidRDefault="00FE75B2" w:rsidP="00547ED4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1C74EF">
        <w:rPr>
          <w:rFonts w:ascii="Arial" w:hAnsi="Arial" w:cs="Arial"/>
        </w:rPr>
        <w:t>projednání a zajištění potřebného záboru pro zřízení staveniště včetně energetických zdrojů</w:t>
      </w:r>
    </w:p>
    <w:p w14:paraId="17CFE9E5" w14:textId="25039518" w:rsidR="00FE75B2" w:rsidRPr="001C74EF" w:rsidRDefault="00FE75B2" w:rsidP="0025458A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1C74EF">
        <w:rPr>
          <w:rFonts w:ascii="Arial" w:hAnsi="Arial" w:cs="Arial"/>
        </w:rPr>
        <w:t xml:space="preserve">zajištění vypracování první mostní prohlídky </w:t>
      </w:r>
      <w:r w:rsidR="00E313A8">
        <w:rPr>
          <w:rFonts w:ascii="Arial" w:hAnsi="Arial" w:cs="Arial"/>
        </w:rPr>
        <w:t>po</w:t>
      </w:r>
      <w:r w:rsidRPr="001C74EF">
        <w:rPr>
          <w:rFonts w:ascii="Arial" w:hAnsi="Arial" w:cs="Arial"/>
        </w:rPr>
        <w:t xml:space="preserve"> dokončení stavebních prací, které mění použitelnost, případně zatížitelnost mostního objektu (mostní prohlídka bude vložená do systému BMS)</w:t>
      </w:r>
    </w:p>
    <w:p w14:paraId="750E45F9" w14:textId="5082CFC4" w:rsidR="00547ED4" w:rsidRPr="001C74EF" w:rsidRDefault="00547ED4" w:rsidP="0025458A">
      <w:pPr>
        <w:numPr>
          <w:ilvl w:val="0"/>
          <w:numId w:val="31"/>
        </w:numPr>
        <w:tabs>
          <w:tab w:val="num" w:pos="1428"/>
        </w:tabs>
        <w:contextualSpacing/>
        <w:rPr>
          <w:rFonts w:cs="Arial"/>
        </w:rPr>
      </w:pPr>
      <w:r w:rsidRPr="001C74EF">
        <w:rPr>
          <w:rFonts w:cs="Arial"/>
        </w:rPr>
        <w:t xml:space="preserve">aktualizace Mostního listu po dokončení prací (pokud se z důvodu rekonstrukce mění parametry stavby) v systému BMS a následně v systému BMS odsouhlasení úsekem správy mostních a speciálních objektů </w:t>
      </w:r>
      <w:r w:rsidR="00697AB0">
        <w:rPr>
          <w:rFonts w:cs="Arial"/>
        </w:rPr>
        <w:t>Objednatele</w:t>
      </w:r>
    </w:p>
    <w:p w14:paraId="7DB9DAEE" w14:textId="699EE2A2" w:rsidR="00FE75B2" w:rsidRPr="001C74EF" w:rsidRDefault="00FE75B2" w:rsidP="00547ED4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1C74EF">
        <w:rPr>
          <w:rFonts w:ascii="Arial" w:hAnsi="Arial" w:cs="Arial"/>
        </w:rPr>
        <w:t>zaměření skutečného provedení stavby</w:t>
      </w:r>
    </w:p>
    <w:p w14:paraId="64A2A397" w14:textId="56FC09C3" w:rsidR="00DC5553" w:rsidRPr="001C74EF" w:rsidRDefault="0025458A" w:rsidP="00DC5553">
      <w:pPr>
        <w:pStyle w:val="Odstavecseseznamem"/>
        <w:numPr>
          <w:ilvl w:val="0"/>
          <w:numId w:val="31"/>
        </w:numPr>
        <w:jc w:val="left"/>
        <w:rPr>
          <w:rFonts w:ascii="Arial" w:hAnsi="Arial" w:cs="Arial"/>
        </w:rPr>
      </w:pPr>
      <w:r w:rsidRPr="001C74EF">
        <w:rPr>
          <w:rFonts w:ascii="Arial" w:hAnsi="Arial" w:cs="Arial"/>
        </w:rPr>
        <w:t>dodání realizační</w:t>
      </w:r>
      <w:r w:rsidR="00DC5553" w:rsidRPr="001C74EF">
        <w:rPr>
          <w:rFonts w:ascii="Arial" w:hAnsi="Arial" w:cs="Arial"/>
        </w:rPr>
        <w:t xml:space="preserve"> dokumentace stavby (RDS) a dokumentace skutečného provedení stavby (DSPS) v </w:t>
      </w:r>
      <w:r w:rsidR="00E313A8">
        <w:rPr>
          <w:rFonts w:ascii="Arial" w:hAnsi="Arial" w:cs="Arial"/>
        </w:rPr>
        <w:t>listinné</w:t>
      </w:r>
      <w:r w:rsidR="00DC5553" w:rsidRPr="001C74EF">
        <w:rPr>
          <w:rFonts w:ascii="Arial" w:hAnsi="Arial" w:cs="Arial"/>
        </w:rPr>
        <w:t xml:space="preserve"> i elektronické podobě, </w:t>
      </w:r>
    </w:p>
    <w:p w14:paraId="44A11D87" w14:textId="3E3E93D9" w:rsidR="00FE75B2" w:rsidRPr="00E313A8" w:rsidRDefault="00FE75B2" w:rsidP="00547ED4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1C74EF">
        <w:rPr>
          <w:rFonts w:ascii="Arial" w:hAnsi="Arial" w:cs="Arial"/>
        </w:rPr>
        <w:t xml:space="preserve">dodání veškerých </w:t>
      </w:r>
      <w:r w:rsidR="001C74EF" w:rsidRPr="001C74EF">
        <w:rPr>
          <w:rFonts w:ascii="Arial" w:hAnsi="Arial" w:cs="Arial"/>
        </w:rPr>
        <w:t>technologických postupů</w:t>
      </w:r>
      <w:r w:rsidRPr="001C74EF">
        <w:rPr>
          <w:rFonts w:ascii="Arial" w:hAnsi="Arial" w:cs="Arial"/>
        </w:rPr>
        <w:t xml:space="preserve">, </w:t>
      </w:r>
      <w:r w:rsidR="00DC5553" w:rsidRPr="001C74EF">
        <w:rPr>
          <w:rFonts w:ascii="Arial" w:hAnsi="Arial" w:cs="Arial"/>
        </w:rPr>
        <w:t xml:space="preserve">kontrolních a </w:t>
      </w:r>
      <w:r w:rsidR="001C74EF" w:rsidRPr="001C74EF">
        <w:rPr>
          <w:rFonts w:ascii="Arial" w:hAnsi="Arial" w:cs="Arial"/>
        </w:rPr>
        <w:t>zkušebních plánů (</w:t>
      </w:r>
      <w:r w:rsidRPr="001C74EF">
        <w:rPr>
          <w:rFonts w:ascii="Arial" w:hAnsi="Arial" w:cs="Arial"/>
        </w:rPr>
        <w:t>KZP</w:t>
      </w:r>
      <w:r w:rsidR="001C74EF" w:rsidRPr="001C74EF">
        <w:rPr>
          <w:rFonts w:ascii="Arial" w:hAnsi="Arial" w:cs="Arial"/>
        </w:rPr>
        <w:t>)</w:t>
      </w:r>
      <w:r w:rsidRPr="001C74EF">
        <w:rPr>
          <w:rFonts w:ascii="Arial" w:hAnsi="Arial" w:cs="Arial"/>
        </w:rPr>
        <w:t xml:space="preserve"> a </w:t>
      </w:r>
      <w:r w:rsidRPr="00E313A8">
        <w:rPr>
          <w:rFonts w:ascii="Arial" w:hAnsi="Arial" w:cs="Arial"/>
        </w:rPr>
        <w:t>všech dokladů stavby</w:t>
      </w:r>
    </w:p>
    <w:p w14:paraId="73F6945D" w14:textId="1E168B6D" w:rsidR="00FE75B2" w:rsidRPr="00E313A8" w:rsidRDefault="00FE75B2" w:rsidP="00547ED4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E313A8">
        <w:rPr>
          <w:rFonts w:ascii="Arial" w:hAnsi="Arial" w:cs="Arial"/>
        </w:rPr>
        <w:t>dodání Referenčního listu</w:t>
      </w:r>
    </w:p>
    <w:p w14:paraId="55A6A932" w14:textId="5C12300D" w:rsidR="00FE75B2" w:rsidRPr="00E313A8" w:rsidRDefault="00FE75B2" w:rsidP="0025458A">
      <w:pPr>
        <w:pStyle w:val="Odstavecseseznamem"/>
        <w:numPr>
          <w:ilvl w:val="0"/>
          <w:numId w:val="28"/>
        </w:numPr>
        <w:tabs>
          <w:tab w:val="clear" w:pos="360"/>
          <w:tab w:val="num" w:pos="546"/>
        </w:tabs>
        <w:ind w:left="546" w:hanging="425"/>
        <w:rPr>
          <w:rFonts w:ascii="Arial" w:eastAsia="Calibri" w:hAnsi="Arial" w:cs="Arial"/>
        </w:rPr>
      </w:pPr>
      <w:r w:rsidRPr="00E313A8">
        <w:rPr>
          <w:rFonts w:ascii="Arial" w:eastAsia="Calibri" w:hAnsi="Arial" w:cs="Arial"/>
        </w:rPr>
        <w:t>zajištění projektu a realizace dopravně inženýrského opatření</w:t>
      </w:r>
      <w:r w:rsidR="00BE5D01" w:rsidRPr="00E313A8">
        <w:rPr>
          <w:rFonts w:ascii="Arial" w:eastAsia="Calibri" w:hAnsi="Arial" w:cs="Arial"/>
        </w:rPr>
        <w:t xml:space="preserve"> </w:t>
      </w:r>
      <w:r w:rsidRPr="00E313A8">
        <w:rPr>
          <w:rFonts w:ascii="Arial" w:eastAsia="Calibri" w:hAnsi="Arial" w:cs="Arial"/>
        </w:rPr>
        <w:t xml:space="preserve">dle uvedených etap ve dvousměnném pracovním režimu (prodloužené směny), projednání a zajištění dopravně inženýrského </w:t>
      </w:r>
      <w:proofErr w:type="gramStart"/>
      <w:r w:rsidRPr="00E313A8">
        <w:rPr>
          <w:rFonts w:ascii="Arial" w:eastAsia="Calibri" w:hAnsi="Arial" w:cs="Arial"/>
        </w:rPr>
        <w:t xml:space="preserve">rozhodnutí </w:t>
      </w:r>
      <w:r w:rsidR="00DC5553" w:rsidRPr="00E313A8">
        <w:rPr>
          <w:rFonts w:ascii="Arial" w:eastAsia="Calibri" w:hAnsi="Arial" w:cs="Arial"/>
        </w:rPr>
        <w:t xml:space="preserve"> </w:t>
      </w:r>
      <w:r w:rsidRPr="00E313A8">
        <w:rPr>
          <w:rFonts w:ascii="Arial" w:eastAsia="Calibri" w:hAnsi="Arial" w:cs="Arial"/>
        </w:rPr>
        <w:t>(</w:t>
      </w:r>
      <w:proofErr w:type="gramEnd"/>
      <w:r w:rsidRPr="00E313A8">
        <w:rPr>
          <w:rFonts w:ascii="Arial" w:eastAsia="Calibri" w:hAnsi="Arial" w:cs="Arial"/>
        </w:rPr>
        <w:t xml:space="preserve">nebo stanovení) v souladu s harmonogramem plnění veřejné a to včetně naplnění stanovených podmínek, osazení provizorního dopravního značení; </w:t>
      </w:r>
    </w:p>
    <w:p w14:paraId="75B5D547" w14:textId="2CF19AF5" w:rsidR="00FE75B2" w:rsidRPr="00E313A8" w:rsidRDefault="00FE75B2" w:rsidP="0025458A">
      <w:pPr>
        <w:numPr>
          <w:ilvl w:val="0"/>
          <w:numId w:val="28"/>
        </w:numPr>
        <w:tabs>
          <w:tab w:val="clear" w:pos="360"/>
          <w:tab w:val="num" w:pos="55"/>
          <w:tab w:val="num" w:pos="993"/>
        </w:tabs>
        <w:spacing w:after="120" w:line="276" w:lineRule="auto"/>
        <w:ind w:left="569" w:hanging="437"/>
        <w:contextualSpacing/>
        <w:rPr>
          <w:rFonts w:cs="Arial"/>
        </w:rPr>
      </w:pPr>
      <w:r w:rsidRPr="00E313A8">
        <w:rPr>
          <w:rFonts w:cs="Arial"/>
        </w:rPr>
        <w:t>zhotovení geometrických plánů po ukončení stavby,</w:t>
      </w:r>
    </w:p>
    <w:p w14:paraId="5BC3F722" w14:textId="77777777" w:rsidR="00FE75B2" w:rsidRPr="0025458A" w:rsidRDefault="00FE75B2" w:rsidP="0025458A">
      <w:pPr>
        <w:numPr>
          <w:ilvl w:val="1"/>
          <w:numId w:val="30"/>
        </w:numPr>
        <w:tabs>
          <w:tab w:val="clear" w:pos="732"/>
          <w:tab w:val="num" w:pos="546"/>
        </w:tabs>
        <w:spacing w:after="120" w:line="276" w:lineRule="auto"/>
        <w:ind w:left="546" w:hanging="425"/>
        <w:contextualSpacing/>
        <w:rPr>
          <w:rFonts w:cs="Arial"/>
        </w:rPr>
      </w:pPr>
      <w:r w:rsidRPr="0025458A">
        <w:rPr>
          <w:rFonts w:cs="Arial"/>
        </w:rPr>
        <w:t>zajištění a provedení všech opatření organizačního a stavebně technologického charakteru k řádnému provedení díla;</w:t>
      </w:r>
    </w:p>
    <w:p w14:paraId="07ECB463" w14:textId="77777777" w:rsidR="00FE75B2" w:rsidRPr="0025458A" w:rsidRDefault="00FE75B2" w:rsidP="0025458A">
      <w:pPr>
        <w:numPr>
          <w:ilvl w:val="1"/>
          <w:numId w:val="30"/>
        </w:numPr>
        <w:tabs>
          <w:tab w:val="clear" w:pos="732"/>
          <w:tab w:val="num" w:pos="546"/>
        </w:tabs>
        <w:spacing w:after="120" w:line="276" w:lineRule="auto"/>
        <w:ind w:left="546" w:hanging="425"/>
        <w:contextualSpacing/>
        <w:rPr>
          <w:rFonts w:cs="Arial"/>
        </w:rPr>
      </w:pPr>
      <w:r w:rsidRPr="0025458A">
        <w:rPr>
          <w:rFonts w:cs="Arial"/>
        </w:rPr>
        <w:t xml:space="preserve">účast na pravidelných kontrolních dnech stavby; </w:t>
      </w:r>
    </w:p>
    <w:p w14:paraId="1ED0F60F" w14:textId="77777777" w:rsidR="00FE75B2" w:rsidRPr="0025458A" w:rsidRDefault="00FE75B2" w:rsidP="0025458A">
      <w:pPr>
        <w:numPr>
          <w:ilvl w:val="1"/>
          <w:numId w:val="30"/>
        </w:numPr>
        <w:tabs>
          <w:tab w:val="clear" w:pos="732"/>
          <w:tab w:val="num" w:pos="546"/>
        </w:tabs>
        <w:spacing w:after="120" w:line="276" w:lineRule="auto"/>
        <w:ind w:left="546" w:hanging="425"/>
        <w:contextualSpacing/>
        <w:rPr>
          <w:rFonts w:cs="Arial"/>
        </w:rPr>
      </w:pPr>
      <w:r w:rsidRPr="0025458A">
        <w:rPr>
          <w:rFonts w:cs="Arial"/>
        </w:rPr>
        <w:t>veškeré práce a dodávky související s bezpečnostními opatřeními na ochranu osob a majetku;</w:t>
      </w:r>
    </w:p>
    <w:p w14:paraId="517C6AD9" w14:textId="77777777" w:rsidR="00FE75B2" w:rsidRPr="0025458A" w:rsidRDefault="00FE75B2" w:rsidP="0025458A">
      <w:pPr>
        <w:numPr>
          <w:ilvl w:val="1"/>
          <w:numId w:val="30"/>
        </w:numPr>
        <w:tabs>
          <w:tab w:val="clear" w:pos="732"/>
          <w:tab w:val="num" w:pos="546"/>
        </w:tabs>
        <w:spacing w:after="120" w:line="276" w:lineRule="auto"/>
        <w:ind w:left="546" w:hanging="425"/>
        <w:contextualSpacing/>
        <w:rPr>
          <w:rFonts w:cs="Arial"/>
        </w:rPr>
      </w:pPr>
      <w:r w:rsidRPr="0025458A">
        <w:rPr>
          <w:rFonts w:cs="Arial"/>
        </w:rPr>
        <w:t xml:space="preserve">likvidace, odvoz a uložení vybouraných hmot a stavební suti na skládku včetně poplatku za uskladnění v souladu s ustanoveními zákona č. 541/2020 Sb., o odpadech; </w:t>
      </w:r>
    </w:p>
    <w:p w14:paraId="2D1BF906" w14:textId="77777777" w:rsidR="00FE75B2" w:rsidRPr="0025458A" w:rsidRDefault="00FE75B2" w:rsidP="0025458A">
      <w:pPr>
        <w:numPr>
          <w:ilvl w:val="1"/>
          <w:numId w:val="30"/>
        </w:numPr>
        <w:tabs>
          <w:tab w:val="clear" w:pos="732"/>
          <w:tab w:val="num" w:pos="546"/>
        </w:tabs>
        <w:spacing w:after="120" w:line="276" w:lineRule="auto"/>
        <w:ind w:left="546" w:hanging="425"/>
        <w:contextualSpacing/>
        <w:rPr>
          <w:rFonts w:cs="Arial"/>
        </w:rPr>
      </w:pPr>
      <w:r w:rsidRPr="0025458A">
        <w:rPr>
          <w:rFonts w:cs="Arial"/>
        </w:rPr>
        <w:t xml:space="preserve">zajištění bezpečnosti práce a ochrany životního prostředí; </w:t>
      </w:r>
    </w:p>
    <w:p w14:paraId="252D2E21" w14:textId="77777777" w:rsidR="00FE75B2" w:rsidRPr="0025458A" w:rsidRDefault="00FE75B2" w:rsidP="0025458A">
      <w:pPr>
        <w:numPr>
          <w:ilvl w:val="1"/>
          <w:numId w:val="30"/>
        </w:numPr>
        <w:tabs>
          <w:tab w:val="clear" w:pos="732"/>
          <w:tab w:val="num" w:pos="546"/>
        </w:tabs>
        <w:spacing w:after="120" w:line="276" w:lineRule="auto"/>
        <w:ind w:left="546" w:hanging="425"/>
        <w:contextualSpacing/>
        <w:rPr>
          <w:rFonts w:cs="Arial"/>
        </w:rPr>
      </w:pPr>
      <w:r w:rsidRPr="0025458A">
        <w:rPr>
          <w:rFonts w:cs="Arial"/>
        </w:rPr>
        <w:lastRenderedPageBreak/>
        <w:t xml:space="preserve">projednání a zajištění zvláštního užívání komunikací a veřejných ploch včetně úhrady vyměřených poplatků a nájemného; </w:t>
      </w:r>
    </w:p>
    <w:p w14:paraId="514F5E63" w14:textId="77777777" w:rsidR="00FE75B2" w:rsidRPr="0025458A" w:rsidRDefault="00FE75B2" w:rsidP="0025458A">
      <w:pPr>
        <w:numPr>
          <w:ilvl w:val="1"/>
          <w:numId w:val="30"/>
        </w:numPr>
        <w:tabs>
          <w:tab w:val="clear" w:pos="732"/>
          <w:tab w:val="num" w:pos="546"/>
        </w:tabs>
        <w:spacing w:after="120" w:line="276" w:lineRule="auto"/>
        <w:ind w:left="546" w:hanging="425"/>
        <w:contextualSpacing/>
        <w:rPr>
          <w:rFonts w:cs="Arial"/>
        </w:rPr>
      </w:pPr>
      <w:r w:rsidRPr="0025458A">
        <w:rPr>
          <w:rFonts w:cs="Arial"/>
        </w:rPr>
        <w:t xml:space="preserve">provedení přejímky stavby; </w:t>
      </w:r>
    </w:p>
    <w:p w14:paraId="6CE4D0DB" w14:textId="77777777" w:rsidR="00FE75B2" w:rsidRPr="0025458A" w:rsidRDefault="00FE75B2" w:rsidP="0025458A">
      <w:pPr>
        <w:numPr>
          <w:ilvl w:val="1"/>
          <w:numId w:val="30"/>
        </w:numPr>
        <w:tabs>
          <w:tab w:val="clear" w:pos="732"/>
          <w:tab w:val="num" w:pos="546"/>
        </w:tabs>
        <w:spacing w:after="120" w:line="276" w:lineRule="auto"/>
        <w:ind w:left="546" w:hanging="425"/>
        <w:contextualSpacing/>
        <w:rPr>
          <w:rFonts w:cs="Arial"/>
        </w:rPr>
      </w:pPr>
      <w:r w:rsidRPr="0025458A">
        <w:rPr>
          <w:rFonts w:cs="Arial"/>
        </w:rPr>
        <w:t xml:space="preserve"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díla, péče o nepředané objekty a konstrukce stavby, jejich ošetřování, pojištění atd.; </w:t>
      </w:r>
    </w:p>
    <w:p w14:paraId="212D5A0C" w14:textId="77777777" w:rsidR="00FE75B2" w:rsidRPr="0025458A" w:rsidRDefault="00FE75B2" w:rsidP="0025458A">
      <w:pPr>
        <w:numPr>
          <w:ilvl w:val="1"/>
          <w:numId w:val="30"/>
        </w:numPr>
        <w:tabs>
          <w:tab w:val="clear" w:pos="732"/>
          <w:tab w:val="num" w:pos="546"/>
          <w:tab w:val="num" w:pos="993"/>
        </w:tabs>
        <w:spacing w:after="120" w:line="276" w:lineRule="auto"/>
        <w:ind w:left="546" w:hanging="425"/>
        <w:contextualSpacing/>
        <w:rPr>
          <w:rFonts w:cs="Arial"/>
        </w:rPr>
      </w:pPr>
      <w:r w:rsidRPr="0025458A">
        <w:rPr>
          <w:rFonts w:cs="Arial"/>
        </w:rPr>
        <w:t xml:space="preserve">průvodní technická dokumentace, zkušební protokoly, revizní zprávy, atesty a doklady dle zákona č. 22/1997 Sb., o technických požadavcích na výrobky a o změně a doplnění některých zákonů, prohlášení o shodě, předepsané ochranné a bezpečnostní pomůcky ve dvou vyhotoveních; </w:t>
      </w:r>
    </w:p>
    <w:p w14:paraId="63E434D5" w14:textId="69946829" w:rsidR="00FE75B2" w:rsidRPr="0025458A" w:rsidRDefault="00FE75B2" w:rsidP="0025458A">
      <w:pPr>
        <w:numPr>
          <w:ilvl w:val="0"/>
          <w:numId w:val="28"/>
        </w:numPr>
        <w:tabs>
          <w:tab w:val="clear" w:pos="360"/>
          <w:tab w:val="num" w:pos="1495"/>
          <w:tab w:val="num" w:pos="2061"/>
        </w:tabs>
        <w:spacing w:after="120" w:line="276" w:lineRule="auto"/>
        <w:ind w:left="569" w:hanging="437"/>
        <w:contextualSpacing/>
        <w:rPr>
          <w:rFonts w:cs="Arial"/>
        </w:rPr>
      </w:pPr>
      <w:r w:rsidRPr="0025458A">
        <w:rPr>
          <w:rFonts w:cs="Arial"/>
        </w:rPr>
        <w:t xml:space="preserve">týdně aktualizovaný popis stavby a jejího průběhu pro umístění na webových stránkách </w:t>
      </w:r>
      <w:r w:rsidR="00697AB0">
        <w:rPr>
          <w:rFonts w:cs="Arial"/>
        </w:rPr>
        <w:t>Objednatele</w:t>
      </w:r>
      <w:r w:rsidRPr="0025458A">
        <w:rPr>
          <w:rFonts w:cs="Arial"/>
        </w:rPr>
        <w:t xml:space="preserve"> na </w:t>
      </w:r>
      <w:hyperlink r:id="rId7" w:history="1">
        <w:r w:rsidRPr="0025458A">
          <w:rPr>
            <w:rStyle w:val="Hypertextovodkaz"/>
            <w:rFonts w:cs="Arial"/>
          </w:rPr>
          <w:t>www.tsk-praha.cz</w:t>
        </w:r>
      </w:hyperlink>
      <w:r w:rsidRPr="0025458A">
        <w:rPr>
          <w:rFonts w:cs="Arial"/>
        </w:rPr>
        <w:t>,</w:t>
      </w:r>
    </w:p>
    <w:p w14:paraId="44CBAB3E" w14:textId="77777777" w:rsidR="00FE75B2" w:rsidRPr="0025458A" w:rsidRDefault="00FE75B2" w:rsidP="0025458A">
      <w:pPr>
        <w:numPr>
          <w:ilvl w:val="0"/>
          <w:numId w:val="28"/>
        </w:numPr>
        <w:tabs>
          <w:tab w:val="clear" w:pos="360"/>
          <w:tab w:val="num" w:pos="1495"/>
          <w:tab w:val="num" w:pos="2061"/>
        </w:tabs>
        <w:spacing w:after="120" w:line="276" w:lineRule="auto"/>
        <w:ind w:left="569" w:hanging="437"/>
        <w:contextualSpacing/>
        <w:rPr>
          <w:rFonts w:cs="Arial"/>
        </w:rPr>
      </w:pPr>
      <w:r w:rsidRPr="0025458A">
        <w:rPr>
          <w:rFonts w:cs="Arial"/>
        </w:rPr>
        <w:t>zajištění umístění informačních tabulí MHMP dle manuálu, který je uveřejněn na adrese:</w:t>
      </w:r>
    </w:p>
    <w:p w14:paraId="54753786" w14:textId="77777777" w:rsidR="00FE75B2" w:rsidRPr="0025458A" w:rsidRDefault="00FE75B2" w:rsidP="0025458A">
      <w:pPr>
        <w:spacing w:line="276" w:lineRule="auto"/>
        <w:ind w:left="546"/>
        <w:contextualSpacing/>
        <w:rPr>
          <w:rFonts w:cs="Arial"/>
        </w:rPr>
      </w:pPr>
      <w:r w:rsidRPr="0025458A">
        <w:rPr>
          <w:rFonts w:cs="Arial"/>
        </w:rPr>
        <w:t>https://www.tsk-praha.cz/wps/wcm/connect/www.tsk-praha.cz20642/6776d5a6-aca9-499c-bc0f-bc19d0489d8a/1402513_262479_Praha_info_panely_staveb_manual_03_2012_n3.pdf?MOD=AJPERES</w:t>
      </w:r>
    </w:p>
    <w:p w14:paraId="2FDFECE4" w14:textId="77777777" w:rsidR="00FE75B2" w:rsidRPr="0025458A" w:rsidRDefault="00FE75B2" w:rsidP="0025458A">
      <w:pPr>
        <w:spacing w:line="276" w:lineRule="auto"/>
        <w:ind w:left="546"/>
        <w:contextualSpacing/>
        <w:rPr>
          <w:rFonts w:cs="Arial"/>
        </w:rPr>
      </w:pPr>
      <w:r w:rsidRPr="0025458A">
        <w:rPr>
          <w:rFonts w:cs="Arial"/>
        </w:rPr>
        <w:t>doplněných o QR kód odkazující na popis stavby na www.tsk-praha.cz</w:t>
      </w:r>
    </w:p>
    <w:p w14:paraId="3C8FBF2B" w14:textId="294CBE72" w:rsidR="00FE75B2" w:rsidRPr="0025458A" w:rsidRDefault="00FE75B2" w:rsidP="0025458A">
      <w:pPr>
        <w:numPr>
          <w:ilvl w:val="0"/>
          <w:numId w:val="28"/>
        </w:numPr>
        <w:tabs>
          <w:tab w:val="clear" w:pos="360"/>
          <w:tab w:val="num" w:pos="1135"/>
          <w:tab w:val="num" w:pos="1701"/>
        </w:tabs>
        <w:spacing w:after="120" w:line="276" w:lineRule="auto"/>
        <w:ind w:left="569" w:hanging="437"/>
        <w:contextualSpacing/>
        <w:rPr>
          <w:rFonts w:cs="Arial"/>
        </w:rPr>
      </w:pPr>
      <w:r w:rsidRPr="0025458A">
        <w:rPr>
          <w:rFonts w:cs="Arial"/>
        </w:rPr>
        <w:t>zajištění umístění informačních tabulí o omezení provozu dle přiloženého vzoru</w:t>
      </w:r>
      <w:r w:rsidR="00697AB0">
        <w:rPr>
          <w:rFonts w:cs="Arial"/>
        </w:rPr>
        <w:t>.</w:t>
      </w:r>
    </w:p>
    <w:bookmarkEnd w:id="0"/>
    <w:p w14:paraId="5DC12DFB" w14:textId="77777777" w:rsidR="00FE75B2" w:rsidRDefault="00FE75B2" w:rsidP="0025458A">
      <w:pPr>
        <w:tabs>
          <w:tab w:val="left" w:pos="426"/>
        </w:tabs>
        <w:contextualSpacing/>
        <w:rPr>
          <w:rFonts w:eastAsia="Calibri" w:cs="Arial"/>
          <w:szCs w:val="22"/>
          <w:lang w:eastAsia="en-US"/>
        </w:rPr>
      </w:pPr>
    </w:p>
    <w:p w14:paraId="40F8B84E" w14:textId="77777777" w:rsidR="0033004E" w:rsidRDefault="0033004E" w:rsidP="00FE75B2">
      <w:pPr>
        <w:tabs>
          <w:tab w:val="left" w:pos="426"/>
        </w:tabs>
        <w:contextualSpacing/>
        <w:rPr>
          <w:rFonts w:eastAsia="Calibri" w:cs="Arial"/>
          <w:szCs w:val="22"/>
          <w:lang w:eastAsia="en-US"/>
        </w:rPr>
      </w:pPr>
    </w:p>
    <w:p w14:paraId="664E0A14" w14:textId="77777777" w:rsidR="00E044AE" w:rsidRPr="002F5562" w:rsidRDefault="00E044AE" w:rsidP="00E044AE">
      <w:pPr>
        <w:pStyle w:val="Odstavecseseznamem"/>
        <w:tabs>
          <w:tab w:val="num" w:pos="993"/>
        </w:tabs>
        <w:spacing w:line="276" w:lineRule="auto"/>
        <w:ind w:left="-66"/>
        <w:rPr>
          <w:rFonts w:ascii="Arial" w:hAnsi="Arial" w:cs="Arial"/>
        </w:rPr>
      </w:pPr>
    </w:p>
    <w:p w14:paraId="416E91F5" w14:textId="0C101BC1" w:rsidR="00F61145" w:rsidRPr="002F5562" w:rsidRDefault="000D7A67" w:rsidP="00E044AE">
      <w:pPr>
        <w:rPr>
          <w:rFonts w:cs="Arial"/>
          <w:szCs w:val="22"/>
        </w:rPr>
      </w:pPr>
      <w:r w:rsidRPr="002F5562">
        <w:rPr>
          <w:rFonts w:cs="Arial"/>
          <w:szCs w:val="22"/>
        </w:rPr>
        <w:tab/>
      </w:r>
    </w:p>
    <w:p w14:paraId="5AE56975" w14:textId="77777777" w:rsidR="00221917" w:rsidRDefault="00221917" w:rsidP="00221917">
      <w:pPr>
        <w:rPr>
          <w:rFonts w:cs="Arial"/>
          <w:b/>
          <w:bCs/>
          <w:szCs w:val="22"/>
        </w:rPr>
      </w:pPr>
    </w:p>
    <w:p w14:paraId="2E0B8EC3" w14:textId="77777777" w:rsidR="00221917" w:rsidRDefault="00221917" w:rsidP="00221917">
      <w:pPr>
        <w:pStyle w:val="Normlnweb"/>
        <w:ind w:left="425"/>
        <w:jc w:val="both"/>
        <w:rPr>
          <w:rFonts w:ascii="Arial" w:hAnsi="Arial" w:cs="Arial"/>
          <w:bCs/>
          <w:snapToGrid w:val="0"/>
          <w:color w:val="000000"/>
          <w:sz w:val="22"/>
          <w:szCs w:val="22"/>
        </w:rPr>
      </w:pPr>
    </w:p>
    <w:p w14:paraId="0C709FD7" w14:textId="77777777" w:rsidR="00221917" w:rsidRPr="00730E6E" w:rsidRDefault="00221917" w:rsidP="002F5649">
      <w:pPr>
        <w:keepNext/>
        <w:keepLines/>
        <w:tabs>
          <w:tab w:val="left" w:pos="-2268"/>
        </w:tabs>
        <w:rPr>
          <w:b/>
        </w:rPr>
      </w:pPr>
    </w:p>
    <w:sectPr w:rsidR="00221917" w:rsidRPr="00730E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3E9B" w14:textId="77777777" w:rsidR="000C7248" w:rsidRDefault="000C7248" w:rsidP="00C63FC5">
      <w:r>
        <w:separator/>
      </w:r>
    </w:p>
  </w:endnote>
  <w:endnote w:type="continuationSeparator" w:id="0">
    <w:p w14:paraId="27563B5F" w14:textId="77777777" w:rsidR="000C7248" w:rsidRDefault="000C7248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Vrind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3691"/>
      <w:docPartObj>
        <w:docPartGallery w:val="Page Numbers (Bottom of Page)"/>
        <w:docPartUnique/>
      </w:docPartObj>
    </w:sdtPr>
    <w:sdtEndPr/>
    <w:sdtContent>
      <w:p w14:paraId="1A5F2CC5" w14:textId="77777777" w:rsidR="00C63FC5" w:rsidRDefault="00C63FC5" w:rsidP="00E044AE">
        <w:pPr>
          <w:pStyle w:val="Zpat"/>
          <w:jc w:val="center"/>
        </w:pPr>
        <w:r w:rsidRPr="00E044AE">
          <w:rPr>
            <w:sz w:val="20"/>
          </w:rPr>
          <w:fldChar w:fldCharType="begin"/>
        </w:r>
        <w:r w:rsidRPr="00E044AE">
          <w:rPr>
            <w:sz w:val="20"/>
          </w:rPr>
          <w:instrText>PAGE   \* MERGEFORMAT</w:instrText>
        </w:r>
        <w:r w:rsidRPr="00E044AE">
          <w:rPr>
            <w:sz w:val="20"/>
          </w:rPr>
          <w:fldChar w:fldCharType="separate"/>
        </w:r>
        <w:r w:rsidR="00DB5F67">
          <w:rPr>
            <w:noProof/>
            <w:sz w:val="20"/>
          </w:rPr>
          <w:t>1</w:t>
        </w:r>
        <w:r w:rsidRPr="00E044AE">
          <w:rPr>
            <w:sz w:val="20"/>
          </w:rPr>
          <w:fldChar w:fldCharType="end"/>
        </w:r>
      </w:p>
    </w:sdtContent>
  </w:sdt>
  <w:p w14:paraId="504540A8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6D93" w14:textId="77777777" w:rsidR="000C7248" w:rsidRDefault="000C7248" w:rsidP="00C63FC5">
      <w:r>
        <w:separator/>
      </w:r>
    </w:p>
  </w:footnote>
  <w:footnote w:type="continuationSeparator" w:id="0">
    <w:p w14:paraId="79C341C7" w14:textId="77777777" w:rsidR="000C7248" w:rsidRDefault="000C7248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766"/>
    <w:multiLevelType w:val="hybridMultilevel"/>
    <w:tmpl w:val="A8703D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83B85"/>
    <w:multiLevelType w:val="hybridMultilevel"/>
    <w:tmpl w:val="50CAC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FB1"/>
    <w:multiLevelType w:val="hybridMultilevel"/>
    <w:tmpl w:val="780E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BA02364"/>
    <w:multiLevelType w:val="hybridMultilevel"/>
    <w:tmpl w:val="EF9E3CD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439C6734"/>
    <w:multiLevelType w:val="hybridMultilevel"/>
    <w:tmpl w:val="54B65018"/>
    <w:lvl w:ilvl="0" w:tplc="61D80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C40AF"/>
    <w:multiLevelType w:val="hybridMultilevel"/>
    <w:tmpl w:val="692AD1BE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E8D13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37DDA"/>
    <w:multiLevelType w:val="hybridMultilevel"/>
    <w:tmpl w:val="EAECFF1C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21DFF"/>
    <w:multiLevelType w:val="hybridMultilevel"/>
    <w:tmpl w:val="1F709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B5C00"/>
    <w:multiLevelType w:val="hybridMultilevel"/>
    <w:tmpl w:val="0A6AF1C0"/>
    <w:lvl w:ilvl="0" w:tplc="B224992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0652C"/>
    <w:multiLevelType w:val="hybridMultilevel"/>
    <w:tmpl w:val="16DE8FBE"/>
    <w:lvl w:ilvl="0" w:tplc="E97CF37A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4B64"/>
    <w:multiLevelType w:val="hybridMultilevel"/>
    <w:tmpl w:val="F216F804"/>
    <w:lvl w:ilvl="0" w:tplc="0405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5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03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5000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03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50005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5" w15:restartNumberingAfterBreak="0">
    <w:nsid w:val="7C604B06"/>
    <w:multiLevelType w:val="hybridMultilevel"/>
    <w:tmpl w:val="CA5A9096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C110FC"/>
    <w:multiLevelType w:val="hybridMultilevel"/>
    <w:tmpl w:val="EDF4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72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324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0373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48026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52497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9376252">
    <w:abstractNumId w:val="0"/>
  </w:num>
  <w:num w:numId="7" w16cid:durableId="891309908">
    <w:abstractNumId w:val="4"/>
  </w:num>
  <w:num w:numId="8" w16cid:durableId="1603225343">
    <w:abstractNumId w:val="7"/>
  </w:num>
  <w:num w:numId="9" w16cid:durableId="69696071">
    <w:abstractNumId w:val="15"/>
  </w:num>
  <w:num w:numId="10" w16cid:durableId="19954461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111867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3246300">
    <w:abstractNumId w:val="17"/>
  </w:num>
  <w:num w:numId="13" w16cid:durableId="595553694">
    <w:abstractNumId w:val="6"/>
  </w:num>
  <w:num w:numId="14" w16cid:durableId="129082430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67759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588418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050557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740727">
    <w:abstractNumId w:val="2"/>
  </w:num>
  <w:num w:numId="19" w16cid:durableId="1672100736">
    <w:abstractNumId w:val="11"/>
  </w:num>
  <w:num w:numId="20" w16cid:durableId="1969622636">
    <w:abstractNumId w:val="1"/>
  </w:num>
  <w:num w:numId="21" w16cid:durableId="1711882168">
    <w:abstractNumId w:val="10"/>
  </w:num>
  <w:num w:numId="22" w16cid:durableId="161625388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883119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64243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669187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764472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159440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753297">
    <w:abstractNumId w:val="9"/>
  </w:num>
  <w:num w:numId="29" w16cid:durableId="10257936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8062458">
    <w:abstractNumId w:val="8"/>
  </w:num>
  <w:num w:numId="31" w16cid:durableId="1449394223">
    <w:abstractNumId w:val="5"/>
  </w:num>
  <w:num w:numId="32" w16cid:durableId="17622948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21EE7"/>
    <w:rsid w:val="00050A65"/>
    <w:rsid w:val="00065437"/>
    <w:rsid w:val="00070DF4"/>
    <w:rsid w:val="00092F34"/>
    <w:rsid w:val="000B07A1"/>
    <w:rsid w:val="000C7248"/>
    <w:rsid w:val="000D5747"/>
    <w:rsid w:val="000D7A67"/>
    <w:rsid w:val="000F7CD9"/>
    <w:rsid w:val="00116E5E"/>
    <w:rsid w:val="00137943"/>
    <w:rsid w:val="0014561F"/>
    <w:rsid w:val="00167B0E"/>
    <w:rsid w:val="00190D20"/>
    <w:rsid w:val="001A1677"/>
    <w:rsid w:val="001C74EF"/>
    <w:rsid w:val="001D76D4"/>
    <w:rsid w:val="00204778"/>
    <w:rsid w:val="00220AF5"/>
    <w:rsid w:val="00221917"/>
    <w:rsid w:val="00232250"/>
    <w:rsid w:val="00252982"/>
    <w:rsid w:val="0025458A"/>
    <w:rsid w:val="002737E0"/>
    <w:rsid w:val="00295BE5"/>
    <w:rsid w:val="002B2921"/>
    <w:rsid w:val="002D722E"/>
    <w:rsid w:val="002F1CF0"/>
    <w:rsid w:val="002F5562"/>
    <w:rsid w:val="002F5649"/>
    <w:rsid w:val="00317806"/>
    <w:rsid w:val="0033004E"/>
    <w:rsid w:val="00335C92"/>
    <w:rsid w:val="00336DF4"/>
    <w:rsid w:val="00347D08"/>
    <w:rsid w:val="003548D3"/>
    <w:rsid w:val="003668D7"/>
    <w:rsid w:val="00386CC8"/>
    <w:rsid w:val="00393B26"/>
    <w:rsid w:val="003A12B6"/>
    <w:rsid w:val="003A654E"/>
    <w:rsid w:val="003B71B6"/>
    <w:rsid w:val="003C4734"/>
    <w:rsid w:val="003E08C5"/>
    <w:rsid w:val="00443AC8"/>
    <w:rsid w:val="00457AF8"/>
    <w:rsid w:val="004605AD"/>
    <w:rsid w:val="0049336B"/>
    <w:rsid w:val="00494C86"/>
    <w:rsid w:val="004C04A7"/>
    <w:rsid w:val="004C48BF"/>
    <w:rsid w:val="004D2AFC"/>
    <w:rsid w:val="004D55F1"/>
    <w:rsid w:val="004D6E9E"/>
    <w:rsid w:val="00505975"/>
    <w:rsid w:val="00506C6F"/>
    <w:rsid w:val="00511BA1"/>
    <w:rsid w:val="00525D19"/>
    <w:rsid w:val="00541D02"/>
    <w:rsid w:val="00547181"/>
    <w:rsid w:val="00547ED4"/>
    <w:rsid w:val="00555474"/>
    <w:rsid w:val="0055551B"/>
    <w:rsid w:val="0059298E"/>
    <w:rsid w:val="005B08D2"/>
    <w:rsid w:val="005C4BF4"/>
    <w:rsid w:val="005D13FF"/>
    <w:rsid w:val="005E0959"/>
    <w:rsid w:val="0063787B"/>
    <w:rsid w:val="00656B5C"/>
    <w:rsid w:val="00697AB0"/>
    <w:rsid w:val="006E1398"/>
    <w:rsid w:val="007464EC"/>
    <w:rsid w:val="007474F1"/>
    <w:rsid w:val="00757B01"/>
    <w:rsid w:val="0076111D"/>
    <w:rsid w:val="00796854"/>
    <w:rsid w:val="007B6A7B"/>
    <w:rsid w:val="007C0B47"/>
    <w:rsid w:val="007F2842"/>
    <w:rsid w:val="00814B24"/>
    <w:rsid w:val="008549A6"/>
    <w:rsid w:val="00876A97"/>
    <w:rsid w:val="00894C11"/>
    <w:rsid w:val="00897026"/>
    <w:rsid w:val="008E1A98"/>
    <w:rsid w:val="00903DF4"/>
    <w:rsid w:val="00923263"/>
    <w:rsid w:val="00933346"/>
    <w:rsid w:val="009555B8"/>
    <w:rsid w:val="009561B7"/>
    <w:rsid w:val="0097658B"/>
    <w:rsid w:val="00990409"/>
    <w:rsid w:val="009A6709"/>
    <w:rsid w:val="009A674E"/>
    <w:rsid w:val="009B2B8E"/>
    <w:rsid w:val="009E1DB2"/>
    <w:rsid w:val="009E4CC9"/>
    <w:rsid w:val="00A07080"/>
    <w:rsid w:val="00A13F9D"/>
    <w:rsid w:val="00A247EF"/>
    <w:rsid w:val="00A3243A"/>
    <w:rsid w:val="00A622A6"/>
    <w:rsid w:val="00A640FE"/>
    <w:rsid w:val="00A65F6F"/>
    <w:rsid w:val="00A6795C"/>
    <w:rsid w:val="00A86799"/>
    <w:rsid w:val="00AA7A51"/>
    <w:rsid w:val="00B04A1D"/>
    <w:rsid w:val="00B35153"/>
    <w:rsid w:val="00B775DF"/>
    <w:rsid w:val="00B96A32"/>
    <w:rsid w:val="00BB6813"/>
    <w:rsid w:val="00BC3F40"/>
    <w:rsid w:val="00BE5D01"/>
    <w:rsid w:val="00BE7170"/>
    <w:rsid w:val="00BF5BAC"/>
    <w:rsid w:val="00C073A9"/>
    <w:rsid w:val="00C108F9"/>
    <w:rsid w:val="00C20A95"/>
    <w:rsid w:val="00C411CA"/>
    <w:rsid w:val="00C44B3B"/>
    <w:rsid w:val="00C606C0"/>
    <w:rsid w:val="00C62DDC"/>
    <w:rsid w:val="00C63FC5"/>
    <w:rsid w:val="00C72EC5"/>
    <w:rsid w:val="00C84BD2"/>
    <w:rsid w:val="00CB2EA7"/>
    <w:rsid w:val="00CB7BCB"/>
    <w:rsid w:val="00CC301E"/>
    <w:rsid w:val="00D24317"/>
    <w:rsid w:val="00D439FC"/>
    <w:rsid w:val="00D467A0"/>
    <w:rsid w:val="00D77E5B"/>
    <w:rsid w:val="00D831CC"/>
    <w:rsid w:val="00DA3AB7"/>
    <w:rsid w:val="00DB5F67"/>
    <w:rsid w:val="00DC5553"/>
    <w:rsid w:val="00DE2C14"/>
    <w:rsid w:val="00DE4135"/>
    <w:rsid w:val="00DE5E7E"/>
    <w:rsid w:val="00E044AE"/>
    <w:rsid w:val="00E313A8"/>
    <w:rsid w:val="00E61CFB"/>
    <w:rsid w:val="00E637A7"/>
    <w:rsid w:val="00E75EAC"/>
    <w:rsid w:val="00EF5BD5"/>
    <w:rsid w:val="00EF7722"/>
    <w:rsid w:val="00F040AB"/>
    <w:rsid w:val="00F217BE"/>
    <w:rsid w:val="00F2786A"/>
    <w:rsid w:val="00F35104"/>
    <w:rsid w:val="00F55514"/>
    <w:rsid w:val="00F61145"/>
    <w:rsid w:val="00FC7266"/>
    <w:rsid w:val="00FD35BF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B941"/>
  <w15:docId w15:val="{3BD4D701-D4D9-4C0E-90C0-508CF611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99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99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F61145"/>
    <w:pPr>
      <w:jc w:val="center"/>
    </w:pPr>
    <w:rPr>
      <w:rFonts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F61145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customStyle="1" w:styleId="Normln0">
    <w:name w:val="Normln"/>
    <w:basedOn w:val="Normln"/>
    <w:rsid w:val="00F61145"/>
    <w:pPr>
      <w:autoSpaceDE w:val="0"/>
      <w:autoSpaceDN w:val="0"/>
    </w:pPr>
    <w:rPr>
      <w:rFonts w:ascii="MS Sans Serif" w:eastAsiaTheme="minorHAnsi" w:hAnsi="MS Sans Serif"/>
      <w:sz w:val="20"/>
    </w:rPr>
  </w:style>
  <w:style w:type="paragraph" w:styleId="Revize">
    <w:name w:val="Revision"/>
    <w:hidden/>
    <w:uiPriority w:val="99"/>
    <w:semiHidden/>
    <w:rsid w:val="007464E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PsmenaChar">
    <w:name w:val="Písmena Char"/>
    <w:basedOn w:val="Standardnpsmoodstavce"/>
    <w:link w:val="Psmena"/>
    <w:locked/>
    <w:rsid w:val="00E044AE"/>
    <w:rPr>
      <w:rFonts w:ascii="Arial" w:eastAsiaTheme="majorEastAsia" w:hAnsi="Arial" w:cs="Arial"/>
      <w:bCs/>
    </w:rPr>
  </w:style>
  <w:style w:type="paragraph" w:customStyle="1" w:styleId="Psmena">
    <w:name w:val="Písmena"/>
    <w:link w:val="PsmenaChar"/>
    <w:qFormat/>
    <w:rsid w:val="00E044AE"/>
    <w:pPr>
      <w:spacing w:after="0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Default">
    <w:name w:val="Default"/>
    <w:rsid w:val="00FE7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sk-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 Chaloupková</dc:creator>
  <cp:lastModifiedBy>Chaloupková Blanka</cp:lastModifiedBy>
  <cp:revision>4</cp:revision>
  <cp:lastPrinted>2021-04-09T07:47:00Z</cp:lastPrinted>
  <dcterms:created xsi:type="dcterms:W3CDTF">2023-09-04T09:00:00Z</dcterms:created>
  <dcterms:modified xsi:type="dcterms:W3CDTF">2023-09-04T14:59:00Z</dcterms:modified>
</cp:coreProperties>
</file>