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72" w:rsidRDefault="00E82E82">
      <w:pPr>
        <w:pStyle w:val="Nadpis10"/>
        <w:keepNext/>
        <w:keepLines/>
        <w:jc w:val="center"/>
      </w:pPr>
      <w:bookmarkStart w:id="0" w:name="bookmark0"/>
      <w:r>
        <w:rPr>
          <w:rStyle w:val="Nadpis1"/>
          <w:b/>
          <w:bCs/>
        </w:rPr>
        <w:t>Dodatek č. 3</w:t>
      </w:r>
      <w:bookmarkEnd w:id="0"/>
    </w:p>
    <w:p w:rsidR="00313472" w:rsidRDefault="00E82E82">
      <w:pPr>
        <w:pStyle w:val="Nadpis10"/>
        <w:keepNext/>
        <w:keepLines/>
        <w:jc w:val="center"/>
      </w:pPr>
      <w:r>
        <w:rPr>
          <w:rStyle w:val="Nadpis1"/>
          <w:b/>
          <w:bCs/>
        </w:rPr>
        <w:t>k smlouvě o nájmu ze dne 14. 12. 2015</w:t>
      </w:r>
    </w:p>
    <w:p w:rsidR="00313472" w:rsidRDefault="00E82E82">
      <w:pPr>
        <w:pStyle w:val="Zkladntext1"/>
        <w:jc w:val="center"/>
      </w:pPr>
      <w:r>
        <w:rPr>
          <w:rStyle w:val="Zkladntext"/>
        </w:rPr>
        <w:t>uzavřený mezi</w:t>
      </w:r>
    </w:p>
    <w:p w:rsidR="00313472" w:rsidRDefault="00E82E82">
      <w:pPr>
        <w:pStyle w:val="Nadpis10"/>
        <w:keepNext/>
        <w:keepLines/>
        <w:spacing w:after="0"/>
      </w:pPr>
      <w:bookmarkStart w:id="1" w:name="bookmark3"/>
      <w:proofErr w:type="spellStart"/>
      <w:r>
        <w:rPr>
          <w:rStyle w:val="Nadpis1"/>
          <w:b/>
          <w:bCs/>
        </w:rPr>
        <w:t>Ktoměřížské</w:t>
      </w:r>
      <w:proofErr w:type="spellEnd"/>
      <w:r>
        <w:rPr>
          <w:rStyle w:val="Nadpis1"/>
          <w:b/>
          <w:bCs/>
        </w:rPr>
        <w:t xml:space="preserve"> technické služby, s.r.o.</w:t>
      </w:r>
      <w:bookmarkEnd w:id="1"/>
    </w:p>
    <w:p w:rsidR="00313472" w:rsidRDefault="00E82E82">
      <w:pPr>
        <w:pStyle w:val="Zkladntext1"/>
        <w:spacing w:after="0"/>
      </w:pPr>
      <w:r>
        <w:rPr>
          <w:rStyle w:val="Zkladntext"/>
        </w:rPr>
        <w:t>IČO: 26276437</w:t>
      </w:r>
    </w:p>
    <w:p w:rsidR="00313472" w:rsidRDefault="00E82E82">
      <w:pPr>
        <w:pStyle w:val="Zkladntext1"/>
        <w:spacing w:after="0"/>
      </w:pPr>
      <w:r>
        <w:rPr>
          <w:rStyle w:val="Zkladntext"/>
        </w:rPr>
        <w:t>Kaplanova 2959, Kroměříž</w:t>
      </w:r>
    </w:p>
    <w:p w:rsidR="00313472" w:rsidRDefault="00E82E82">
      <w:pPr>
        <w:pStyle w:val="Zkladntext1"/>
        <w:spacing w:after="0" w:line="240" w:lineRule="auto"/>
      </w:pPr>
      <w:r>
        <w:rPr>
          <w:rStyle w:val="Zkladntext"/>
        </w:rPr>
        <w:t>Zastoupená: Ing. Mariánem Vítkem, ředitelem společnosti</w:t>
      </w:r>
    </w:p>
    <w:p w:rsidR="00313472" w:rsidRDefault="00E82E82">
      <w:pPr>
        <w:pStyle w:val="Zkladntext1"/>
        <w:spacing w:after="0" w:line="240" w:lineRule="auto"/>
      </w:pPr>
      <w:r>
        <w:rPr>
          <w:rStyle w:val="Zkladntext"/>
        </w:rPr>
        <w:t>Z pověření: Mgr. Karel Ivánek</w:t>
      </w:r>
    </w:p>
    <w:p w:rsidR="00313472" w:rsidRDefault="00E82E82">
      <w:pPr>
        <w:pStyle w:val="Zkladntext1"/>
        <w:spacing w:after="240"/>
      </w:pP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C 41059 vedená u </w:t>
      </w:r>
      <w:r>
        <w:rPr>
          <w:rStyle w:val="Zkladntext"/>
        </w:rPr>
        <w:t>Krajského soudu v Brně</w:t>
      </w:r>
    </w:p>
    <w:p w:rsidR="00313472" w:rsidRDefault="00E82E82">
      <w:pPr>
        <w:pStyle w:val="Zkladntext1"/>
        <w:spacing w:after="240"/>
      </w:pPr>
      <w:r>
        <w:rPr>
          <w:rStyle w:val="Zkladntext"/>
        </w:rPr>
        <w:t>(dále jen „pronajímatel“)</w:t>
      </w:r>
    </w:p>
    <w:p w:rsidR="00313472" w:rsidRDefault="00E82E82">
      <w:pPr>
        <w:pStyle w:val="Zkladntext1"/>
        <w:spacing w:after="240"/>
      </w:pPr>
      <w:r>
        <w:rPr>
          <w:rStyle w:val="Zkladntext"/>
        </w:rPr>
        <w:t>a</w:t>
      </w:r>
    </w:p>
    <w:p w:rsidR="00313472" w:rsidRDefault="00E82E82">
      <w:pPr>
        <w:pStyle w:val="Nadpis10"/>
        <w:keepNext/>
        <w:keepLines/>
        <w:spacing w:after="0" w:line="240" w:lineRule="auto"/>
        <w:jc w:val="both"/>
      </w:pPr>
      <w:bookmarkStart w:id="2" w:name="bookmark5"/>
      <w:r>
        <w:rPr>
          <w:rStyle w:val="Nadpis1"/>
          <w:b/>
          <w:bCs/>
        </w:rPr>
        <w:t>Komunistická strana Cech a Moravy</w:t>
      </w:r>
      <w:bookmarkEnd w:id="2"/>
    </w:p>
    <w:p w:rsidR="00313472" w:rsidRDefault="00E82E82">
      <w:pPr>
        <w:pStyle w:val="Zkladntext1"/>
        <w:spacing w:after="0" w:line="271" w:lineRule="auto"/>
      </w:pPr>
      <w:r>
        <w:rPr>
          <w:rStyle w:val="Zkladntext"/>
        </w:rPr>
        <w:t>IČO: 00496936</w:t>
      </w:r>
    </w:p>
    <w:p w:rsidR="00313472" w:rsidRDefault="00E82E82">
      <w:pPr>
        <w:pStyle w:val="Zkladntext1"/>
        <w:spacing w:after="240" w:line="271" w:lineRule="auto"/>
      </w:pPr>
      <w:r>
        <w:rPr>
          <w:rStyle w:val="Zkladntext"/>
        </w:rPr>
        <w:t>se sídlem Politických vězňů 1531/9, Nové Město (Praha 1), 110 00 Praha zastoupená: Ing. Marie Pěnčíková, předsedkyně OV KSČM Kroměříž</w:t>
      </w:r>
    </w:p>
    <w:p w:rsidR="00313472" w:rsidRDefault="00E82E82">
      <w:pPr>
        <w:pStyle w:val="Zkladntext1"/>
        <w:spacing w:after="360"/>
        <w:jc w:val="both"/>
      </w:pPr>
      <w:r>
        <w:rPr>
          <w:rStyle w:val="Zkladntext"/>
        </w:rPr>
        <w:t>(dále jen „nájemce“)</w:t>
      </w:r>
    </w:p>
    <w:p w:rsidR="00313472" w:rsidRDefault="00E82E82">
      <w:pPr>
        <w:pStyle w:val="Zkladntext1"/>
        <w:ind w:firstLine="760"/>
        <w:jc w:val="both"/>
      </w:pPr>
      <w:r>
        <w:rPr>
          <w:rStyle w:val="Zkladntext"/>
        </w:rPr>
        <w:t>Ob</w:t>
      </w:r>
      <w:r>
        <w:rPr>
          <w:rStyle w:val="Zkladntext"/>
        </w:rPr>
        <w:t>ě smluvní strany uzavřely dne 14. 12. 2015 Nájemní smlouvu (dále jen „smlouva“). Nyní mají obě strany zájem na změně smlouvy a uzavírají tento Dodatek č. 2 (dále jen „Dodatek“).</w:t>
      </w:r>
    </w:p>
    <w:p w:rsidR="00313472" w:rsidRDefault="00E82E82">
      <w:pPr>
        <w:pStyle w:val="Zkladntext1"/>
        <w:jc w:val="center"/>
      </w:pPr>
      <w:r>
        <w:rPr>
          <w:rStyle w:val="Zkladntext"/>
        </w:rPr>
        <w:t>I.</w:t>
      </w:r>
    </w:p>
    <w:p w:rsidR="00313472" w:rsidRDefault="00E82E82">
      <w:pPr>
        <w:pStyle w:val="Zkladntext1"/>
        <w:jc w:val="both"/>
      </w:pPr>
      <w:r>
        <w:rPr>
          <w:rStyle w:val="Zkladntext"/>
        </w:rPr>
        <w:t>ČI. VI. bod 1 smlouvy se mění takto:</w:t>
      </w:r>
    </w:p>
    <w:p w:rsidR="00313472" w:rsidRDefault="00E82E82">
      <w:pPr>
        <w:pStyle w:val="Zkladntext1"/>
        <w:spacing w:after="420" w:line="28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5420995</wp:posOffset>
                </wp:positionH>
                <wp:positionV relativeFrom="paragraph">
                  <wp:posOffset>3517900</wp:posOffset>
                </wp:positionV>
                <wp:extent cx="640080" cy="182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472" w:rsidRDefault="00E82E82">
                            <w:pPr>
                              <w:pStyle w:val="Zkladntext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23 391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85000000000002pt;margin-top:277.pt;width:50.399999999999999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23 391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Nájemce se zavazuje </w:t>
      </w:r>
      <w:r>
        <w:rPr>
          <w:rStyle w:val="Zkladntext"/>
        </w:rPr>
        <w:t>hradit pronajímateli za pronájem shora určených nebytových prostor nájemné. Výše nájemného za pronájem nebytových prostor blíže specifikovaných v čl. II. odst. 1. této nájemní smlouvy byla stanovena na základě usnesení Rady města Kroměříže č. RMK/23/13/437</w:t>
      </w:r>
      <w:r>
        <w:rPr>
          <w:rStyle w:val="Zkladntext"/>
        </w:rPr>
        <w:t xml:space="preserve"> ze dne 5. 5. 2023 a činí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136"/>
        <w:gridCol w:w="2722"/>
        <w:gridCol w:w="1838"/>
      </w:tblGrid>
      <w:tr w:rsidR="0031347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54" w:type="dxa"/>
            <w:shd w:val="clear" w:color="auto" w:fill="auto"/>
          </w:tcPr>
          <w:p w:rsidR="00313472" w:rsidRDefault="00E82E82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136" w:type="dxa"/>
            <w:shd w:val="clear" w:color="auto" w:fill="auto"/>
          </w:tcPr>
          <w:p w:rsidR="00313472" w:rsidRDefault="00E82E82">
            <w:pPr>
              <w:pStyle w:val="Jin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Rozměry</w:t>
            </w:r>
          </w:p>
        </w:tc>
        <w:tc>
          <w:tcPr>
            <w:tcW w:w="2722" w:type="dxa"/>
            <w:shd w:val="clear" w:color="auto" w:fill="auto"/>
          </w:tcPr>
          <w:p w:rsidR="00313472" w:rsidRDefault="00E82E82">
            <w:pPr>
              <w:pStyle w:val="Jin0"/>
              <w:spacing w:after="0" w:line="240" w:lineRule="auto"/>
              <w:ind w:firstLine="92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Nájemné/m2</w:t>
            </w:r>
          </w:p>
        </w:tc>
        <w:tc>
          <w:tcPr>
            <w:tcW w:w="1838" w:type="dxa"/>
            <w:shd w:val="clear" w:color="auto" w:fill="auto"/>
          </w:tcPr>
          <w:p w:rsidR="00313472" w:rsidRDefault="00E82E82">
            <w:pPr>
              <w:pStyle w:val="Jin0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Nájemné/rok</w:t>
            </w:r>
          </w:p>
        </w:tc>
      </w:tr>
      <w:tr w:rsidR="0031347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</w:pPr>
            <w:r>
              <w:rPr>
                <w:rStyle w:val="Jin"/>
              </w:rPr>
              <w:t>Sál č. 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81,37 m2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920"/>
              <w:jc w:val="both"/>
            </w:pPr>
            <w:r>
              <w:rPr>
                <w:rStyle w:val="Jin"/>
              </w:rPr>
              <w:t>25 Kč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24 411 Kč</w:t>
            </w:r>
          </w:p>
        </w:tc>
      </w:tr>
      <w:tr w:rsidR="0031347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</w:pPr>
            <w:r>
              <w:rPr>
                <w:rStyle w:val="Jin"/>
              </w:rPr>
              <w:t>Ostatní prostory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111,25 m2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920"/>
              <w:jc w:val="both"/>
            </w:pPr>
            <w:r>
              <w:rPr>
                <w:rStyle w:val="Jin"/>
              </w:rPr>
              <w:t>50 Kč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66 750 Kč</w:t>
            </w:r>
          </w:p>
        </w:tc>
      </w:tr>
      <w:tr w:rsidR="0031347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</w:pPr>
            <w:r>
              <w:rPr>
                <w:rStyle w:val="Jin"/>
              </w:rPr>
              <w:t>Celkem nájemné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192,62 m2</w:t>
            </w:r>
          </w:p>
        </w:tc>
        <w:tc>
          <w:tcPr>
            <w:tcW w:w="2722" w:type="dxa"/>
            <w:shd w:val="clear" w:color="auto" w:fill="auto"/>
          </w:tcPr>
          <w:p w:rsidR="00313472" w:rsidRDefault="0031347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91161 Kč</w:t>
            </w:r>
          </w:p>
        </w:tc>
      </w:tr>
      <w:tr w:rsidR="0031347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Čtvrdetní</w:t>
            </w:r>
            <w:proofErr w:type="spellEnd"/>
            <w:r>
              <w:rPr>
                <w:rStyle w:val="Jin"/>
              </w:rPr>
              <w:t xml:space="preserve"> nájemné</w:t>
            </w:r>
          </w:p>
        </w:tc>
        <w:tc>
          <w:tcPr>
            <w:tcW w:w="2136" w:type="dxa"/>
            <w:shd w:val="clear" w:color="auto" w:fill="auto"/>
          </w:tcPr>
          <w:p w:rsidR="00313472" w:rsidRDefault="0031347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auto"/>
          </w:tcPr>
          <w:p w:rsidR="00313472" w:rsidRDefault="0031347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13472" w:rsidRDefault="00E82E82">
            <w:pPr>
              <w:pStyle w:val="Jin0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22 791 Kč</w:t>
            </w:r>
          </w:p>
        </w:tc>
      </w:tr>
      <w:tr w:rsidR="0031347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54" w:type="dxa"/>
            <w:shd w:val="clear" w:color="auto" w:fill="auto"/>
            <w:vAlign w:val="bottom"/>
          </w:tcPr>
          <w:p w:rsidR="00313472" w:rsidRDefault="00E82E82">
            <w:pPr>
              <w:pStyle w:val="Jin0"/>
              <w:spacing w:after="0" w:line="240" w:lineRule="auto"/>
            </w:pPr>
            <w:r>
              <w:rPr>
                <w:rStyle w:val="Jin"/>
              </w:rPr>
              <w:t>Čtvrtletní zálohy</w:t>
            </w:r>
          </w:p>
        </w:tc>
        <w:tc>
          <w:tcPr>
            <w:tcW w:w="2136" w:type="dxa"/>
            <w:shd w:val="clear" w:color="auto" w:fill="auto"/>
          </w:tcPr>
          <w:p w:rsidR="00313472" w:rsidRDefault="0031347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auto"/>
          </w:tcPr>
          <w:p w:rsidR="00313472" w:rsidRDefault="0031347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:rsidR="00313472" w:rsidRDefault="00E82E82">
            <w:pPr>
              <w:pStyle w:val="Jin0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600 Kč</w:t>
            </w:r>
          </w:p>
        </w:tc>
      </w:tr>
    </w:tbl>
    <w:p w:rsidR="00313472" w:rsidRDefault="00313472">
      <w:pPr>
        <w:spacing w:after="599" w:line="1" w:lineRule="exact"/>
      </w:pPr>
    </w:p>
    <w:p w:rsidR="00313472" w:rsidRDefault="00E82E82">
      <w:pPr>
        <w:pStyle w:val="Nadpis10"/>
        <w:keepNext/>
        <w:keepLines/>
        <w:spacing w:line="240" w:lineRule="auto"/>
        <w:sectPr w:rsidR="00313472">
          <w:headerReference w:type="default" r:id="rId6"/>
          <w:pgSz w:w="11900" w:h="16840"/>
          <w:pgMar w:top="1366" w:right="1299" w:bottom="1366" w:left="1327" w:header="0" w:footer="938" w:gutter="0"/>
          <w:pgNumType w:start="1"/>
          <w:cols w:space="720"/>
          <w:noEndnote/>
          <w:docGrid w:linePitch="360"/>
        </w:sectPr>
      </w:pPr>
      <w:bookmarkStart w:id="3" w:name="bookmark7"/>
      <w:r>
        <w:rPr>
          <w:rStyle w:val="Nadpis1"/>
          <w:b/>
          <w:bCs/>
        </w:rPr>
        <w:t>Čtvrtletní platba celkem</w:t>
      </w:r>
      <w:bookmarkEnd w:id="3"/>
    </w:p>
    <w:p w:rsidR="00313472" w:rsidRDefault="00E82E82">
      <w:pPr>
        <w:pStyle w:val="Zkladntext1"/>
        <w:framePr w:w="9178" w:h="1085" w:wrap="none" w:hAnchor="page" w:x="1239" w:y="1"/>
        <w:spacing w:line="276" w:lineRule="auto"/>
      </w:pPr>
      <w:r>
        <w:rPr>
          <w:rStyle w:val="Zkladntext"/>
        </w:rPr>
        <w:lastRenderedPageBreak/>
        <w:t xml:space="preserve">Nájemce je povinen hradit nájemné ve čtvrtletních platbách ve výši </w:t>
      </w:r>
      <w:r>
        <w:rPr>
          <w:rStyle w:val="Zkladntext"/>
          <w:b/>
          <w:bCs/>
          <w:sz w:val="24"/>
          <w:szCs w:val="24"/>
        </w:rPr>
        <w:t xml:space="preserve">23 391 Kč </w:t>
      </w:r>
      <w:r>
        <w:rPr>
          <w:rStyle w:val="Zkladntext"/>
        </w:rPr>
        <w:t xml:space="preserve">splatných vždy do 15. dne druhého </w:t>
      </w:r>
      <w:r>
        <w:rPr>
          <w:rStyle w:val="Zkladntext"/>
        </w:rPr>
        <w:t>měsíce příslušného kalendářního čtvrtletí na účet pronajímatele.</w:t>
      </w:r>
    </w:p>
    <w:p w:rsidR="00313472" w:rsidRDefault="00E82E82">
      <w:pPr>
        <w:pStyle w:val="Zkladntext1"/>
        <w:framePr w:w="9178" w:h="1085" w:wrap="none" w:hAnchor="page" w:x="1239" w:y="1"/>
        <w:spacing w:after="0" w:line="288" w:lineRule="auto"/>
      </w:pPr>
      <w:r>
        <w:rPr>
          <w:rStyle w:val="Zkladntext"/>
        </w:rPr>
        <w:t>K nájemnému není účtována DPH.</w:t>
      </w:r>
    </w:p>
    <w:p w:rsidR="00313472" w:rsidRDefault="00313472">
      <w:pPr>
        <w:spacing w:line="360" w:lineRule="exact"/>
      </w:pPr>
      <w:bookmarkStart w:id="4" w:name="_GoBack"/>
      <w:bookmarkEnd w:id="4"/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line="360" w:lineRule="exact"/>
      </w:pPr>
    </w:p>
    <w:p w:rsidR="00313472" w:rsidRDefault="00313472">
      <w:pPr>
        <w:spacing w:after="657" w:line="1" w:lineRule="exact"/>
      </w:pPr>
    </w:p>
    <w:p w:rsidR="00313472" w:rsidRDefault="00313472">
      <w:pPr>
        <w:spacing w:line="1" w:lineRule="exact"/>
      </w:pPr>
    </w:p>
    <w:sectPr w:rsidR="00313472">
      <w:headerReference w:type="default" r:id="rId7"/>
      <w:pgSz w:w="11900" w:h="16840"/>
      <w:pgMar w:top="1896" w:right="1288" w:bottom="1896" w:left="1224" w:header="1468" w:footer="14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82" w:rsidRDefault="00E82E82">
      <w:r>
        <w:separator/>
      </w:r>
    </w:p>
  </w:endnote>
  <w:endnote w:type="continuationSeparator" w:id="0">
    <w:p w:rsidR="00E82E82" w:rsidRDefault="00E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82" w:rsidRDefault="00E82E82"/>
  </w:footnote>
  <w:footnote w:type="continuationSeparator" w:id="0">
    <w:p w:rsidR="00E82E82" w:rsidRDefault="00E82E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72" w:rsidRDefault="00E82E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5161915</wp:posOffset>
              </wp:positionH>
              <wp:positionV relativeFrom="page">
                <wp:posOffset>151130</wp:posOffset>
              </wp:positionV>
              <wp:extent cx="737870" cy="1492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3472" w:rsidRDefault="00313472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6.45pt;margin-top:11.9pt;width:58.1pt;height:11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" filled="f" stroked="f">
              <v:textbox style="mso-fit-shape-to-text:t" inset="0,0,0,0">
                <w:txbxContent>
                  <w:p w:rsidR="00313472" w:rsidRDefault="00313472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72" w:rsidRDefault="003134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72"/>
    <w:rsid w:val="00313472"/>
    <w:rsid w:val="006A55FF"/>
    <w:rsid w:val="00E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2E8B1-C00F-4CFD-A432-5F380D7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83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60" w:line="262" w:lineRule="auto"/>
      <w:outlineLvl w:val="0"/>
    </w:pPr>
    <w:rPr>
      <w:rFonts w:ascii="Garamond" w:eastAsia="Garamond" w:hAnsi="Garamond" w:cs="Garamond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60" w:line="283" w:lineRule="auto"/>
    </w:pPr>
    <w:rPr>
      <w:rFonts w:ascii="Garamond" w:eastAsia="Garamond" w:hAnsi="Garamond" w:cs="Garamond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A5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5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A55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5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2023-11-07T10:36:00Z</dcterms:created>
  <dcterms:modified xsi:type="dcterms:W3CDTF">2023-11-07T10:37:00Z</dcterms:modified>
</cp:coreProperties>
</file>