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1DD1802D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60027967" w:rsidR="00D859C2" w:rsidRPr="00726B26" w:rsidRDefault="00A5766A" w:rsidP="00D859C2">
      <w:pPr>
        <w:rPr>
          <w:b/>
        </w:rPr>
      </w:pPr>
      <w:r>
        <w:rPr>
          <w:b/>
        </w:rPr>
        <w:t>ALFAMEDIC s.r.o.</w:t>
      </w:r>
    </w:p>
    <w:p w14:paraId="3DADA2B1" w14:textId="183873C1" w:rsidR="00D859C2" w:rsidRDefault="00D859C2" w:rsidP="00D859C2">
      <w:r>
        <w:t xml:space="preserve">IČ: </w:t>
      </w:r>
      <w:r w:rsidR="00A5766A">
        <w:t>00513008</w:t>
      </w:r>
    </w:p>
    <w:p w14:paraId="494735B8" w14:textId="2B42B701" w:rsidR="00D859C2" w:rsidRPr="00512AB9" w:rsidRDefault="00D859C2" w:rsidP="00D859C2">
      <w:r>
        <w:t xml:space="preserve">DIČ: </w:t>
      </w:r>
      <w:r w:rsidR="00A5766A">
        <w:t>CZ00513008</w:t>
      </w:r>
    </w:p>
    <w:p w14:paraId="4BE4B061" w14:textId="0BEFF4A7" w:rsidR="00D859C2" w:rsidRPr="00512AB9" w:rsidRDefault="00D859C2" w:rsidP="00D859C2">
      <w:r>
        <w:t>se sídlem</w:t>
      </w:r>
      <w:r w:rsidRPr="00512AB9">
        <w:t xml:space="preserve">: </w:t>
      </w:r>
      <w:r w:rsidR="00A5766A">
        <w:t>Tř. 5. května 458/35</w:t>
      </w:r>
      <w:r w:rsidR="006F7BDC">
        <w:t>, 373 72 Lišov</w:t>
      </w:r>
    </w:p>
    <w:p w14:paraId="1F4F5F98" w14:textId="53127DFE" w:rsidR="00D859C2" w:rsidRPr="00512AB9" w:rsidRDefault="00D859C2" w:rsidP="00D859C2">
      <w:r>
        <w:t>zastoupena</w:t>
      </w:r>
      <w:r w:rsidRPr="00512AB9">
        <w:t xml:space="preserve">: </w:t>
      </w:r>
      <w:r w:rsidR="00A5766A">
        <w:t>Ing. Vladimír</w:t>
      </w:r>
      <w:r w:rsidR="00331857">
        <w:t>em</w:t>
      </w:r>
      <w:r w:rsidR="00A5766A">
        <w:t xml:space="preserve"> Čapk</w:t>
      </w:r>
      <w:r w:rsidR="00331857">
        <w:t>em</w:t>
      </w:r>
      <w:r w:rsidR="00A5766A">
        <w:t>, jednatel</w:t>
      </w:r>
      <w:r w:rsidR="00331857">
        <w:t>em</w:t>
      </w:r>
    </w:p>
    <w:p w14:paraId="43130257" w14:textId="728EDD95" w:rsidR="00D859C2" w:rsidRPr="00512AB9" w:rsidRDefault="00D859C2" w:rsidP="00D859C2">
      <w:r w:rsidRPr="00512AB9">
        <w:t xml:space="preserve">bankovní spojení: </w:t>
      </w:r>
      <w:r w:rsidR="00A5766A">
        <w:t>ČSOB a.s.</w:t>
      </w:r>
    </w:p>
    <w:p w14:paraId="4B4D9F51" w14:textId="6743F116" w:rsidR="00D859C2" w:rsidRPr="00512AB9" w:rsidRDefault="00D859C2" w:rsidP="00D859C2">
      <w:r w:rsidRPr="00512AB9">
        <w:t xml:space="preserve">číslo účtu: </w:t>
      </w:r>
      <w:r w:rsidR="00A5766A">
        <w:t>189501297/0300</w:t>
      </w:r>
    </w:p>
    <w:p w14:paraId="7BE5CCD9" w14:textId="68F74A1A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A5766A">
        <w:t>Krajským</w:t>
      </w:r>
      <w:r>
        <w:t xml:space="preserve"> </w:t>
      </w:r>
      <w:r w:rsidRPr="00652864">
        <w:t>soudem v</w:t>
      </w:r>
      <w:r w:rsidR="00A5766A">
        <w:t> Č. Budějovicích</w:t>
      </w:r>
      <w:r w:rsidRPr="00652864">
        <w:t>, oddíl</w:t>
      </w:r>
      <w:r w:rsidR="00A5766A">
        <w:t xml:space="preserve"> C</w:t>
      </w:r>
      <w:r w:rsidRPr="00652864">
        <w:t xml:space="preserve">, vložka </w:t>
      </w:r>
      <w:r w:rsidR="00A5766A">
        <w:t>14394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2FEEA22B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</w:t>
      </w:r>
      <w:r w:rsidR="00927069">
        <w:t xml:space="preserve"> a č. 2</w:t>
      </w:r>
      <w:r>
        <w:t xml:space="preserve">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D406E7" w:rsidRPr="00D406E7">
        <w:rPr>
          <w:rFonts w:eastAsia="Arial"/>
          <w:b/>
          <w:bCs/>
        </w:rPr>
        <w:t>Lampa fototerapeutická na bezpečnostním mobilním stojanu</w:t>
      </w:r>
      <w:r w:rsidR="719E714E" w:rsidRPr="38690F1A">
        <w:rPr>
          <w:rFonts w:eastAsia="Arial"/>
        </w:rPr>
        <w:t>“</w:t>
      </w:r>
      <w:r>
        <w:t>,(dále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218E7AA6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</w:t>
      </w:r>
      <w:r w:rsidR="00900052">
        <w:t xml:space="preserve"> a č. 2 </w:t>
      </w:r>
      <w:r w:rsidR="00292375">
        <w:t>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45B86B3D" w:rsidR="00C45456" w:rsidRDefault="00C45456" w:rsidP="00C45456">
      <w:pPr>
        <w:pStyle w:val="Odstavecsmlouvy"/>
        <w:numPr>
          <w:ilvl w:val="1"/>
          <w:numId w:val="2"/>
        </w:numPr>
      </w:pPr>
      <w:r>
        <w:t>Jestliže z přílohy č. 1</w:t>
      </w:r>
      <w:r w:rsidR="00900052">
        <w:t xml:space="preserve"> a č. 2</w:t>
      </w:r>
      <w:r>
        <w:t xml:space="preserve">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BA201A">
        <w:t>V</w:t>
      </w:r>
      <w:r>
        <w:fldChar w:fldCharType="end"/>
      </w:r>
      <w:r>
        <w:t> této smlouvy, a to dle specifikace uvedené v příloze č. 1</w:t>
      </w:r>
      <w:r w:rsidR="00900052">
        <w:t xml:space="preserve"> a č. 2</w:t>
      </w:r>
      <w:r>
        <w:t xml:space="preserve">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51320956" w14:textId="77777777" w:rsidR="00A5766A" w:rsidRPr="00A5766A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A5766A" w:rsidRPr="00A5766A">
        <w:rPr>
          <w:b/>
          <w:bCs/>
        </w:rPr>
        <w:t>Fototerapeutickou lampu</w:t>
      </w:r>
      <w:r w:rsidR="002F4F30" w:rsidRPr="00D859C2">
        <w:t xml:space="preserve"> </w:t>
      </w:r>
      <w:r w:rsidR="00A5766A">
        <w:t xml:space="preserve">1 </w:t>
      </w:r>
      <w:r w:rsidR="002F4F30" w:rsidRPr="00D859C2">
        <w:t>ks</w:t>
      </w:r>
      <w:r w:rsidR="008645D8" w:rsidRPr="00D859C2">
        <w:rPr>
          <w:b/>
        </w:rPr>
        <w:t xml:space="preserve">, </w:t>
      </w:r>
    </w:p>
    <w:p w14:paraId="75136A5F" w14:textId="3ABBC99B" w:rsidR="00D86891" w:rsidRPr="00D859C2" w:rsidRDefault="008645D8" w:rsidP="00A5766A">
      <w:pPr>
        <w:pStyle w:val="Odstavecsmlouvy"/>
        <w:numPr>
          <w:ilvl w:val="0"/>
          <w:numId w:val="0"/>
        </w:numPr>
        <w:ind w:left="567"/>
      </w:pPr>
      <w:r w:rsidRPr="00D859C2">
        <w:rPr>
          <w:b/>
        </w:rPr>
        <w:t xml:space="preserve">typ: </w:t>
      </w:r>
      <w:r w:rsidR="00A5766A">
        <w:rPr>
          <w:b/>
        </w:rPr>
        <w:t>FL-2010</w:t>
      </w:r>
      <w:r w:rsidR="004453FF" w:rsidRPr="00D859C2">
        <w:rPr>
          <w:b/>
        </w:rPr>
        <w:t xml:space="preserve">, výrobce </w:t>
      </w:r>
      <w:r w:rsidR="00A5766A">
        <w:rPr>
          <w:b/>
        </w:rPr>
        <w:t>ALFAMEDIC s.r.o.</w:t>
      </w:r>
      <w:r w:rsidR="004453FF" w:rsidRPr="00D859C2">
        <w:rPr>
          <w:i/>
        </w:rPr>
        <w:t xml:space="preserve">, </w:t>
      </w:r>
      <w:r w:rsidR="00142BD2" w:rsidRPr="00D859C2">
        <w:t xml:space="preserve">jehož přesná technická specifikace </w:t>
      </w:r>
      <w:r w:rsidR="005371E9" w:rsidRPr="00D859C2">
        <w:t xml:space="preserve">včetně příslušenství </w:t>
      </w:r>
      <w:r w:rsidR="00142BD2" w:rsidRPr="00D859C2">
        <w:t>je obsažena v </w:t>
      </w:r>
      <w:r w:rsidR="00142BD2" w:rsidRPr="00094B12">
        <w:t>příloze č. 1</w:t>
      </w:r>
      <w:r w:rsidR="00142BD2" w:rsidRPr="00D859C2">
        <w:t xml:space="preserve"> této smlouvy tvořící nedílnou součást této smlouvy</w:t>
      </w:r>
      <w:r w:rsidR="00094B12">
        <w:t xml:space="preserve"> (</w:t>
      </w:r>
      <w:r w:rsidR="00142BD2" w:rsidRPr="00D859C2">
        <w:t>dále jen „</w:t>
      </w:r>
      <w:r w:rsidR="00142BD2" w:rsidRPr="00D859C2">
        <w:rPr>
          <w:b/>
        </w:rPr>
        <w:t>Zboží</w:t>
      </w:r>
      <w:r w:rsidR="00142BD2" w:rsidRPr="00D859C2">
        <w:t>“</w:t>
      </w:r>
      <w:r w:rsidR="00094B12">
        <w:t>)</w:t>
      </w:r>
      <w:r w:rsidR="00142BD2"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344C9821" w:rsidR="003F7B02" w:rsidRPr="00D859C2" w:rsidRDefault="003A1056" w:rsidP="38690F1A">
      <w:pPr>
        <w:pStyle w:val="Odstavecsmlouvy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D406E7">
        <w:rPr>
          <w:rFonts w:eastAsia="Arial"/>
          <w:b/>
          <w:bCs/>
        </w:rPr>
        <w:t>do 6 týdnů</w:t>
      </w:r>
      <w:r>
        <w:t xml:space="preserve">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se zavazuje dodané Zboží převzít.</w:t>
      </w:r>
      <w:r w:rsidR="19907203">
        <w:t xml:space="preserve"> Současně, </w:t>
      </w:r>
      <w:r w:rsidR="19907203" w:rsidRPr="38690F1A">
        <w:rPr>
          <w:b/>
          <w:bCs/>
        </w:rPr>
        <w:t>5 dnů před plánovaným předáním, je prodávající povinen zaslat na uvedený e-mail vyplněnou Importní tabulku</w:t>
      </w:r>
      <w:r w:rsidR="19907203" w:rsidRPr="38690F1A">
        <w:t>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1127767C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D406E7" w:rsidRPr="00D406E7">
        <w:rPr>
          <w:rFonts w:eastAsia="Arial"/>
        </w:rPr>
        <w:t>Neonatologické oddělení, Obilní trh 11, 602 00 Brno.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70CF8BF2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00D406E7">
        <w:t xml:space="preserve"> </w:t>
      </w:r>
      <w:proofErr w:type="spellStart"/>
      <w:r w:rsidR="007C6459">
        <w:t>xxxxxxxxx</w:t>
      </w:r>
      <w:proofErr w:type="spellEnd"/>
      <w:r w:rsidR="00DE3A3F">
        <w:t xml:space="preserve">, tel.: </w:t>
      </w:r>
      <w:proofErr w:type="spellStart"/>
      <w:r w:rsidR="007C6459">
        <w:t>xxxxxxxxxxx</w:t>
      </w:r>
      <w:proofErr w:type="spellEnd"/>
      <w:r w:rsidR="00DE3A3F">
        <w:t xml:space="preserve"> a písemně na e-mail: </w:t>
      </w:r>
      <w:proofErr w:type="spellStart"/>
      <w:r w:rsidR="007C6459" w:rsidRPr="007C6459">
        <w:rPr>
          <w:rStyle w:val="Hypertextovodkaz"/>
          <w:rFonts w:eastAsia="Arial"/>
          <w:color w:val="auto"/>
          <w:u w:val="none"/>
        </w:rPr>
        <w:t>xxxxxxxxxxx</w:t>
      </w:r>
      <w:proofErr w:type="spellEnd"/>
      <w:r w:rsidR="00D406E7">
        <w:t xml:space="preserve"> </w:t>
      </w:r>
      <w:r>
        <w:t>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lastRenderedPageBreak/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</w:t>
      </w:r>
      <w:r>
        <w:lastRenderedPageBreak/>
        <w:t>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68"/>
        <w:gridCol w:w="3795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6441F074" w:rsidR="00D859C2" w:rsidRPr="005B49AA" w:rsidRDefault="00A5766A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80 490,-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77E5466B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A5766A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7CF187B6" w:rsidR="00D859C2" w:rsidRPr="005B49AA" w:rsidRDefault="00A5766A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16 902.90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16AEA5A4" w:rsidR="00D859C2" w:rsidRPr="005B49AA" w:rsidRDefault="00A5766A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97 392.90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</w:t>
      </w:r>
      <w:r w:rsidRPr="00D859C2">
        <w:rPr>
          <w:color w:val="000000"/>
        </w:rPr>
        <w:lastRenderedPageBreak/>
        <w:t>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lastRenderedPageBreak/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</w:t>
      </w:r>
      <w:r w:rsidRPr="00D859C2">
        <w:lastRenderedPageBreak/>
        <w:t xml:space="preserve">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212BF37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BA201A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lastRenderedPageBreak/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lastRenderedPageBreak/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2C353852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Pr="00353905">
        <w:rPr>
          <w:snapToGrid w:val="0"/>
        </w:rPr>
        <w:t>dvou</w:t>
      </w:r>
      <w:r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</w:t>
      </w:r>
      <w:r w:rsidRPr="00353905">
        <w:rPr>
          <w:snapToGrid w:val="0"/>
        </w:rPr>
        <w:t>obdrží jedno</w:t>
      </w:r>
      <w:r w:rsidR="00353905">
        <w:rPr>
          <w:snapToGrid w:val="0"/>
        </w:rPr>
        <w:t xml:space="preserve"> </w:t>
      </w:r>
      <w:r>
        <w:rPr>
          <w:snapToGrid w:val="0"/>
        </w:rPr>
        <w:t xml:space="preserve">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761C73A6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</w:t>
      </w:r>
      <w:r w:rsidR="00BA201A">
        <w:t>Cenová nabídka NAB03083</w:t>
      </w:r>
    </w:p>
    <w:p w14:paraId="32120EFB" w14:textId="081E9BE7" w:rsidR="00BA201A" w:rsidRDefault="00BA201A" w:rsidP="00BA201A">
      <w:pPr>
        <w:pStyle w:val="Odstavecsmlouvy"/>
        <w:numPr>
          <w:ilvl w:val="0"/>
          <w:numId w:val="14"/>
        </w:numPr>
      </w:pPr>
      <w:bookmarkStart w:id="5" w:name="_Hlk147387642"/>
      <w:r>
        <w:t xml:space="preserve">Příloha č. 2 – Specifikace </w:t>
      </w:r>
      <w:r w:rsidR="0007738D">
        <w:t>z</w:t>
      </w:r>
      <w:r>
        <w:t>boží a dalších plnění.</w:t>
      </w:r>
    </w:p>
    <w:bookmarkEnd w:id="5"/>
    <w:p w14:paraId="5466B124" w14:textId="77777777" w:rsidR="00BA201A" w:rsidRDefault="00BA201A" w:rsidP="00BA201A">
      <w:pPr>
        <w:pStyle w:val="Odstavecsmlouvy"/>
        <w:numPr>
          <w:ilvl w:val="0"/>
          <w:numId w:val="0"/>
        </w:numPr>
        <w:ind w:left="720"/>
      </w:pP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4"/>
        <w:gridCol w:w="999"/>
        <w:gridCol w:w="3792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574B6D48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AA1EEE">
              <w:rPr>
                <w:sz w:val="22"/>
                <w:szCs w:val="22"/>
              </w:rPr>
              <w:t>Lišově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AA1EEE">
              <w:rPr>
                <w:sz w:val="22"/>
                <w:szCs w:val="22"/>
              </w:rPr>
              <w:t xml:space="preserve"> </w:t>
            </w:r>
            <w:r w:rsidR="006F1A88">
              <w:rPr>
                <w:sz w:val="22"/>
                <w:szCs w:val="22"/>
              </w:rPr>
              <w:t>0</w:t>
            </w:r>
            <w:r w:rsidR="007C6459">
              <w:rPr>
                <w:sz w:val="22"/>
                <w:szCs w:val="22"/>
              </w:rPr>
              <w:t>2. 11. 2023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03AC3608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6F1A88">
              <w:rPr>
                <w:sz w:val="22"/>
                <w:szCs w:val="22"/>
              </w:rPr>
              <w:t xml:space="preserve"> 0</w:t>
            </w:r>
            <w:bookmarkStart w:id="6" w:name="_GoBack"/>
            <w:bookmarkEnd w:id="6"/>
            <w:r w:rsidR="006F1A88">
              <w:rPr>
                <w:sz w:val="22"/>
                <w:szCs w:val="22"/>
              </w:rPr>
              <w:t>6. 11. 2023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358391F" w14:textId="77777777" w:rsidR="00AA1EEE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6FEDE3" w14:textId="77777777" w:rsidR="00AA1EEE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4E9468" w14:textId="77777777" w:rsidR="00331857" w:rsidRDefault="00331857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E6C0E57" w14:textId="77777777" w:rsidR="00AA1EEE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2D804F3" w14:textId="77777777" w:rsidR="00AA1EEE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3FC2AC0" w14:textId="77777777" w:rsidR="00AA1EEE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3D74FB9C" w:rsidR="00094B12" w:rsidRPr="001150C5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ALFAMEDIC s.r.o.</w:t>
            </w:r>
          </w:p>
          <w:p w14:paraId="17D23793" w14:textId="28D17CC7" w:rsidR="00094B12" w:rsidRPr="00D722DC" w:rsidRDefault="00AA1EE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Čapek, jednatel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777C7ABD" w14:textId="4B9D4CE3" w:rsidR="005C1C51" w:rsidRDefault="005C1C51" w:rsidP="0062559B">
      <w:pPr>
        <w:spacing w:line="240" w:lineRule="auto"/>
        <w:jc w:val="left"/>
        <w:rPr>
          <w:b/>
        </w:rPr>
      </w:pPr>
    </w:p>
    <w:p w14:paraId="57D727DB" w14:textId="37E7AD30" w:rsidR="005C1C51" w:rsidRDefault="005C1C51" w:rsidP="00AB3C43">
      <w:pPr>
        <w:jc w:val="center"/>
        <w:rPr>
          <w:b/>
        </w:rPr>
      </w:pPr>
    </w:p>
    <w:p w14:paraId="5C4EB15D" w14:textId="77777777" w:rsidR="005C1C51" w:rsidRDefault="005C1C51" w:rsidP="00AB3C43">
      <w:pPr>
        <w:jc w:val="center"/>
        <w:rPr>
          <w:b/>
        </w:rPr>
      </w:pPr>
    </w:p>
    <w:sectPr w:rsidR="005C1C51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F04C" w14:textId="77777777" w:rsidR="00562B9C" w:rsidRDefault="00562B9C" w:rsidP="00FF18EB">
      <w:pPr>
        <w:spacing w:line="240" w:lineRule="auto"/>
      </w:pPr>
      <w:r>
        <w:separator/>
      </w:r>
    </w:p>
    <w:p w14:paraId="4206577F" w14:textId="77777777" w:rsidR="00562B9C" w:rsidRDefault="00562B9C"/>
  </w:endnote>
  <w:endnote w:type="continuationSeparator" w:id="0">
    <w:p w14:paraId="1CE43134" w14:textId="77777777" w:rsidR="00562B9C" w:rsidRDefault="00562B9C" w:rsidP="00FF18EB">
      <w:pPr>
        <w:spacing w:line="240" w:lineRule="auto"/>
      </w:pPr>
      <w:r>
        <w:continuationSeparator/>
      </w:r>
    </w:p>
    <w:p w14:paraId="79406B6F" w14:textId="77777777" w:rsidR="00562B9C" w:rsidRDefault="00562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6F1A88" w:rsidRPr="006F1A88">
          <w:rPr>
            <w:rFonts w:ascii="Arial" w:hAnsi="Arial"/>
            <w:noProof/>
            <w:sz w:val="20"/>
            <w:lang w:val="cs-CZ"/>
          </w:rPr>
          <w:t>8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F584E" w14:textId="77777777" w:rsidR="00562B9C" w:rsidRDefault="00562B9C" w:rsidP="00FF18EB">
      <w:pPr>
        <w:spacing w:line="240" w:lineRule="auto"/>
      </w:pPr>
      <w:r>
        <w:separator/>
      </w:r>
    </w:p>
    <w:p w14:paraId="652B8698" w14:textId="77777777" w:rsidR="00562B9C" w:rsidRDefault="00562B9C"/>
  </w:footnote>
  <w:footnote w:type="continuationSeparator" w:id="0">
    <w:p w14:paraId="4EE662C1" w14:textId="77777777" w:rsidR="00562B9C" w:rsidRDefault="00562B9C" w:rsidP="00FF18EB">
      <w:pPr>
        <w:spacing w:line="240" w:lineRule="auto"/>
      </w:pPr>
      <w:r>
        <w:continuationSeparator/>
      </w:r>
    </w:p>
    <w:p w14:paraId="77676A70" w14:textId="77777777" w:rsidR="00562B9C" w:rsidRDefault="00562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1DB1"/>
    <w:rsid w:val="000228F8"/>
    <w:rsid w:val="000242EC"/>
    <w:rsid w:val="00026FB0"/>
    <w:rsid w:val="00030B47"/>
    <w:rsid w:val="00032F0B"/>
    <w:rsid w:val="000333EF"/>
    <w:rsid w:val="000476DB"/>
    <w:rsid w:val="00063C28"/>
    <w:rsid w:val="0006420F"/>
    <w:rsid w:val="00064EF8"/>
    <w:rsid w:val="0006514B"/>
    <w:rsid w:val="000746D0"/>
    <w:rsid w:val="0007738D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1857"/>
    <w:rsid w:val="003360BF"/>
    <w:rsid w:val="00341AD8"/>
    <w:rsid w:val="003477DB"/>
    <w:rsid w:val="00351229"/>
    <w:rsid w:val="00353905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5F05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2B9C"/>
    <w:rsid w:val="00563528"/>
    <w:rsid w:val="00571D58"/>
    <w:rsid w:val="0058691F"/>
    <w:rsid w:val="00586BB3"/>
    <w:rsid w:val="005A31F8"/>
    <w:rsid w:val="005A3B45"/>
    <w:rsid w:val="005A4A24"/>
    <w:rsid w:val="005A6D97"/>
    <w:rsid w:val="005C1C51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559B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82AEB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6F1A88"/>
    <w:rsid w:val="006F7BDC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B5437"/>
    <w:rsid w:val="007C2A6B"/>
    <w:rsid w:val="007C6459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0052"/>
    <w:rsid w:val="00901F83"/>
    <w:rsid w:val="00903293"/>
    <w:rsid w:val="00916EE4"/>
    <w:rsid w:val="009206F6"/>
    <w:rsid w:val="0092292F"/>
    <w:rsid w:val="00924699"/>
    <w:rsid w:val="0092706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4E50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5766A"/>
    <w:rsid w:val="00A71BE8"/>
    <w:rsid w:val="00A739A7"/>
    <w:rsid w:val="00A73C62"/>
    <w:rsid w:val="00A74BD6"/>
    <w:rsid w:val="00A75857"/>
    <w:rsid w:val="00A82DDE"/>
    <w:rsid w:val="00A92F5B"/>
    <w:rsid w:val="00A9354F"/>
    <w:rsid w:val="00A937E1"/>
    <w:rsid w:val="00AA0B1A"/>
    <w:rsid w:val="00AA1EEE"/>
    <w:rsid w:val="00AA378C"/>
    <w:rsid w:val="00AA4B53"/>
    <w:rsid w:val="00AB13EA"/>
    <w:rsid w:val="00AB2F46"/>
    <w:rsid w:val="00AB3C43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5F45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4C5"/>
    <w:rsid w:val="00B9193B"/>
    <w:rsid w:val="00B92F99"/>
    <w:rsid w:val="00B95871"/>
    <w:rsid w:val="00BA07E6"/>
    <w:rsid w:val="00BA201A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06E7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754A4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3BF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2" ma:contentTypeDescription="Vytvoří nový dokument" ma:contentTypeScope="" ma:versionID="d482bfbc28949b454e3b045c8ee07a3a">
  <xsd:schema xmlns:xsd="http://www.w3.org/2001/XMLSchema" xmlns:xs="http://www.w3.org/2001/XMLSchema" xmlns:p="http://schemas.microsoft.com/office/2006/metadata/properties" xmlns:ns2="78c52381-f758-41be-8546-d878b91803ec" targetNamespace="http://schemas.microsoft.com/office/2006/metadata/properties" ma:root="true" ma:fieldsID="581495afac2800ac615c8cd216c0c41f" ns2:_="">
    <xsd:import namespace="78c52381-f758-41be-8546-d878b9180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2381-f758-41be-8546-d878b918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E854B-3CAA-4BFE-A079-5D5EBF13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2381-f758-41be-8546-d878b9180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168D0-512A-4E94-9549-B1366916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4456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Dorazilová Tereza</cp:lastModifiedBy>
  <cp:revision>10</cp:revision>
  <cp:lastPrinted>2023-09-27T12:47:00Z</cp:lastPrinted>
  <dcterms:created xsi:type="dcterms:W3CDTF">2023-10-05T07:30:00Z</dcterms:created>
  <dcterms:modified xsi:type="dcterms:W3CDTF">2023-11-06T12:14:00Z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0x0101009B868527DE822C40AEC34F27B881A1A2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