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96" w:rsidRDefault="00EA2AE5">
      <w:pPr>
        <w:spacing w:after="10"/>
        <w:ind w:left="1512" w:firstLine="0"/>
        <w:jc w:val="left"/>
      </w:pPr>
      <w:r>
        <w:rPr>
          <w:sz w:val="38"/>
        </w:rPr>
        <w:t>SMLOUVA O ZAJIŠTĚNÍ ŠKOLY V PŘÍRODĚ</w:t>
      </w:r>
    </w:p>
    <w:p w:rsidR="006F4596" w:rsidRDefault="00EA2AE5">
      <w:pPr>
        <w:spacing w:after="577"/>
        <w:ind w:firstLine="0"/>
        <w:jc w:val="center"/>
      </w:pPr>
      <w:proofErr w:type="gramStart"/>
      <w:r>
        <w:rPr>
          <w:sz w:val="24"/>
        </w:rPr>
        <w:t>mezi</w:t>
      </w:r>
      <w:proofErr w:type="gramEnd"/>
    </w:p>
    <w:p w:rsidR="006F4596" w:rsidRDefault="00EA2AE5">
      <w:pPr>
        <w:spacing w:after="133"/>
        <w:ind w:left="71" w:right="427"/>
      </w:pPr>
      <w:r>
        <w:t>Odběratelem:</w:t>
      </w:r>
    </w:p>
    <w:p w:rsidR="006F4596" w:rsidRDefault="00EA2AE5">
      <w:pPr>
        <w:spacing w:after="0" w:line="265" w:lineRule="auto"/>
        <w:ind w:left="57" w:hanging="5"/>
      </w:pPr>
      <w:r>
        <w:rPr>
          <w:sz w:val="24"/>
        </w:rPr>
        <w:t xml:space="preserve">ZŠ a </w:t>
      </w:r>
      <w:proofErr w:type="spellStart"/>
      <w:r>
        <w:rPr>
          <w:sz w:val="24"/>
        </w:rPr>
        <w:t>Mš</w:t>
      </w:r>
      <w:proofErr w:type="spellEnd"/>
      <w:r>
        <w:rPr>
          <w:sz w:val="24"/>
        </w:rPr>
        <w:t xml:space="preserve"> Jarov</w:t>
      </w:r>
    </w:p>
    <w:p w:rsidR="006F4596" w:rsidRDefault="00EA2AE5">
      <w:pPr>
        <w:ind w:left="71" w:right="427"/>
      </w:pPr>
      <w:r>
        <w:t>V Zahrádkách 1966/48</w:t>
      </w:r>
    </w:p>
    <w:p w:rsidR="006F4596" w:rsidRDefault="00EA2AE5">
      <w:pPr>
        <w:spacing w:after="113" w:line="265" w:lineRule="auto"/>
        <w:ind w:left="57" w:hanging="5"/>
      </w:pPr>
      <w:r>
        <w:rPr>
          <w:sz w:val="24"/>
        </w:rPr>
        <w:t>13000 Praha 3</w:t>
      </w:r>
    </w:p>
    <w:p w:rsidR="006F4596" w:rsidRDefault="00EA2AE5">
      <w:pPr>
        <w:ind w:left="71" w:right="427"/>
      </w:pPr>
      <w:r>
        <w:t>Tel.: 284 860 650</w:t>
      </w:r>
    </w:p>
    <w:p w:rsidR="006F4596" w:rsidRDefault="00EA2AE5">
      <w:pPr>
        <w:ind w:left="71" w:right="427"/>
      </w:pPr>
      <w:r>
        <w:t>IČO: 63831449</w:t>
      </w:r>
    </w:p>
    <w:p w:rsidR="006F4596" w:rsidRDefault="00EA2AE5">
      <w:pPr>
        <w:ind w:left="71" w:right="427"/>
      </w:pPr>
      <w:r>
        <w:t xml:space="preserve">Bank. </w:t>
      </w:r>
      <w:proofErr w:type="gramStart"/>
      <w:r>
        <w:t>spojení</w:t>
      </w:r>
      <w:proofErr w:type="gramEnd"/>
      <w:r>
        <w:t>: 2000799309/0800</w:t>
      </w:r>
    </w:p>
    <w:p w:rsidR="006F4596" w:rsidRDefault="00EA2AE5">
      <w:pPr>
        <w:spacing w:after="0" w:line="323" w:lineRule="auto"/>
        <w:ind w:left="57" w:right="5203" w:hanging="5"/>
      </w:pPr>
      <w:r>
        <w:rPr>
          <w:sz w:val="24"/>
        </w:rPr>
        <w:t xml:space="preserve">Zastoupená: PaedDr. Stanislavem </w:t>
      </w:r>
      <w:proofErr w:type="spellStart"/>
      <w:r>
        <w:rPr>
          <w:sz w:val="24"/>
        </w:rPr>
        <w:t>Šeblem</w:t>
      </w:r>
      <w:proofErr w:type="spellEnd"/>
      <w:r>
        <w:rPr>
          <w:sz w:val="24"/>
        </w:rPr>
        <w:t xml:space="preserve"> a</w:t>
      </w:r>
    </w:p>
    <w:p w:rsidR="006F4596" w:rsidRDefault="00EA2AE5">
      <w:pPr>
        <w:spacing w:after="91" w:line="265" w:lineRule="auto"/>
        <w:ind w:left="57" w:hanging="5"/>
      </w:pPr>
      <w:r>
        <w:rPr>
          <w:sz w:val="24"/>
        </w:rPr>
        <w:t>Dodavatelem:</w:t>
      </w:r>
    </w:p>
    <w:p w:rsidR="006F4596" w:rsidRDefault="00EA2AE5">
      <w:pPr>
        <w:spacing w:after="385" w:line="265" w:lineRule="auto"/>
        <w:ind w:left="57" w:right="7570" w:hanging="5"/>
      </w:pPr>
      <w:proofErr w:type="spellStart"/>
      <w:r>
        <w:rPr>
          <w:sz w:val="24"/>
        </w:rPr>
        <w:t>Elerokka</w:t>
      </w:r>
      <w:proofErr w:type="spellEnd"/>
      <w:r>
        <w:rPr>
          <w:sz w:val="24"/>
        </w:rPr>
        <w:t xml:space="preserve"> s.r.o. Plzeňská 157/98 15000 Praha 5</w:t>
      </w:r>
    </w:p>
    <w:p w:rsidR="006F4596" w:rsidRDefault="00EA2AE5">
      <w:pPr>
        <w:ind w:left="71" w:right="427"/>
      </w:pPr>
      <w:r>
        <w:t>Tel.: 724 737 878</w:t>
      </w:r>
    </w:p>
    <w:p w:rsidR="006F4596" w:rsidRDefault="00EA2AE5">
      <w:pPr>
        <w:tabs>
          <w:tab w:val="center" w:pos="2772"/>
        </w:tabs>
        <w:spacing w:after="0" w:line="265" w:lineRule="auto"/>
        <w:ind w:left="0" w:firstLine="0"/>
        <w:jc w:val="left"/>
      </w:pPr>
      <w:r>
        <w:rPr>
          <w:sz w:val="24"/>
        </w:rPr>
        <w:t>IC: 24153303</w:t>
      </w:r>
      <w:r>
        <w:rPr>
          <w:sz w:val="24"/>
        </w:rPr>
        <w:tab/>
        <w:t>DIČ: CZ24153303</w:t>
      </w:r>
    </w:p>
    <w:p w:rsidR="006F4596" w:rsidRDefault="00EA2AE5">
      <w:pPr>
        <w:ind w:left="71" w:right="427"/>
      </w:pPr>
      <w:r>
        <w:t xml:space="preserve">Bank. </w:t>
      </w:r>
      <w:proofErr w:type="gramStart"/>
      <w:r>
        <w:t>spojení</w:t>
      </w:r>
      <w:proofErr w:type="gramEnd"/>
      <w:r>
        <w:t>: 107-822170287/0100</w:t>
      </w:r>
    </w:p>
    <w:p w:rsidR="006F4596" w:rsidRDefault="00EA2AE5">
      <w:pPr>
        <w:spacing w:after="593" w:line="265" w:lineRule="auto"/>
        <w:ind w:left="57" w:hanging="5"/>
      </w:pPr>
      <w:r>
        <w:rPr>
          <w:sz w:val="24"/>
        </w:rPr>
        <w:t xml:space="preserve">Zastoupená jednatelkou spol. Věrou </w:t>
      </w:r>
      <w:proofErr w:type="spellStart"/>
      <w:r>
        <w:rPr>
          <w:sz w:val="24"/>
        </w:rPr>
        <w:t>Marhoulovou</w:t>
      </w:r>
      <w:proofErr w:type="spellEnd"/>
    </w:p>
    <w:p w:rsidR="006F4596" w:rsidRDefault="00EA2AE5">
      <w:pPr>
        <w:spacing w:after="128"/>
        <w:ind w:left="71" w:right="427"/>
      </w:pPr>
      <w:r>
        <w:rPr>
          <w:u w:val="single" w:color="000000"/>
        </w:rPr>
        <w:t>Termín</w:t>
      </w:r>
      <w:r>
        <w:t>: 6. května — 11. května 2024</w:t>
      </w:r>
    </w:p>
    <w:p w:rsidR="006F4596" w:rsidRDefault="00EA2AE5">
      <w:pPr>
        <w:spacing w:after="186"/>
        <w:ind w:left="758" w:right="427"/>
      </w:pPr>
      <w:r>
        <w:t xml:space="preserve">Dodavatel zajistí ubytování a stravování v objektu Hotel Ort, </w:t>
      </w:r>
      <w:proofErr w:type="spellStart"/>
      <w:r>
        <w:t>Nepřívěc</w:t>
      </w:r>
      <w:proofErr w:type="spellEnd"/>
      <w:r>
        <w:t xml:space="preserve"> 18 pro cca 28 dětí ZŠ (ve 2 — 4 lůžkových pokojích pravého křídla objektu) + 3 dospělé osoby pedagogického dozoru (každý dospělý v samostatném pokoji)</w:t>
      </w:r>
    </w:p>
    <w:p w:rsidR="006F4596" w:rsidRDefault="00EA2AE5">
      <w:pPr>
        <w:spacing w:after="143"/>
        <w:ind w:left="57" w:hanging="10"/>
        <w:jc w:val="left"/>
      </w:pPr>
      <w:r>
        <w:rPr>
          <w:sz w:val="24"/>
          <w:u w:val="single" w:color="000000"/>
        </w:rPr>
        <w:t>Cena:</w:t>
      </w:r>
    </w:p>
    <w:p w:rsidR="006F4596" w:rsidRDefault="00EA2AE5">
      <w:pPr>
        <w:spacing w:after="161"/>
        <w:ind w:left="71" w:right="427"/>
      </w:pPr>
      <w:r>
        <w:t>ubytování + 5 x denně strava + pitný režim: 650,-Kč/dí</w:t>
      </w:r>
      <w:r w:rsidR="00961486">
        <w:t>tě/den (3 250,-Kč/dítě/pobyt), 3</w:t>
      </w:r>
      <w:bookmarkStart w:id="0" w:name="_GoBack"/>
      <w:bookmarkEnd w:id="0"/>
      <w:r>
        <w:t xml:space="preserve"> dospělé osoby doprovodu zdarma /na 15 dětí jeden dospělý zdarma/</w:t>
      </w:r>
    </w:p>
    <w:p w:rsidR="006F4596" w:rsidRDefault="00EA2AE5">
      <w:pPr>
        <w:spacing w:after="236"/>
        <w:ind w:left="29" w:hanging="10"/>
        <w:jc w:val="left"/>
      </w:pPr>
      <w:r>
        <w:rPr>
          <w:sz w:val="26"/>
          <w:u w:val="single" w:color="000000"/>
        </w:rPr>
        <w:t>Pobyt školy v objektu:</w:t>
      </w:r>
    </w:p>
    <w:p w:rsidR="006F4596" w:rsidRDefault="00EA2AE5">
      <w:pPr>
        <w:tabs>
          <w:tab w:val="center" w:pos="1426"/>
          <w:tab w:val="center" w:pos="6578"/>
        </w:tabs>
        <w:spacing w:after="144" w:line="265" w:lineRule="auto"/>
        <w:ind w:left="0" w:firstLine="0"/>
        <w:jc w:val="left"/>
      </w:pPr>
      <w:r>
        <w:rPr>
          <w:sz w:val="24"/>
        </w:rPr>
        <w:tab/>
        <w:t>den</w:t>
      </w:r>
      <w:r>
        <w:rPr>
          <w:sz w:val="24"/>
        </w:rPr>
        <w:tab/>
        <w:t>strava začíná (končí) jídlem</w:t>
      </w:r>
    </w:p>
    <w:p w:rsidR="006F4596" w:rsidRDefault="00EA2AE5">
      <w:pPr>
        <w:tabs>
          <w:tab w:val="center" w:pos="3086"/>
          <w:tab w:val="center" w:pos="6271"/>
        </w:tabs>
        <w:spacing w:after="144"/>
        <w:ind w:left="0" w:firstLine="0"/>
        <w:jc w:val="left"/>
      </w:pPr>
      <w:r>
        <w:t>Nástup:</w:t>
      </w:r>
      <w:r>
        <w:tab/>
        <w:t xml:space="preserve">pondělí 6. května 2024 v </w:t>
      </w:r>
      <w:proofErr w:type="spellStart"/>
      <w:r>
        <w:t>dopol</w:t>
      </w:r>
      <w:proofErr w:type="spellEnd"/>
      <w:r>
        <w:t>. hodinách</w:t>
      </w:r>
      <w:r>
        <w:tab/>
        <w:t>oběd</w:t>
      </w:r>
    </w:p>
    <w:p w:rsidR="006F4596" w:rsidRDefault="00EA2AE5">
      <w:pPr>
        <w:tabs>
          <w:tab w:val="center" w:pos="3038"/>
          <w:tab w:val="center" w:pos="6917"/>
        </w:tabs>
        <w:spacing w:after="636"/>
        <w:ind w:left="0" w:firstLine="0"/>
        <w:jc w:val="left"/>
      </w:pPr>
      <w:r>
        <w:t>Ukončení:</w:t>
      </w:r>
      <w:r>
        <w:tab/>
        <w:t>sobota 11. května 2024 cca v 9.00 hodin</w:t>
      </w:r>
      <w:r>
        <w:tab/>
        <w:t>snídaně + balíček na cestu</w:t>
      </w:r>
    </w:p>
    <w:p w:rsidR="006F4596" w:rsidRDefault="00EA2AE5">
      <w:pPr>
        <w:spacing w:after="414"/>
        <w:ind w:left="0" w:right="427"/>
      </w:pPr>
      <w:r>
        <w:t>Dodavatel vyhoví požadavkům na úpravu stravy (diety) a s objednavatelem bude konzultovat jídelníček na dobu pobytu.</w:t>
      </w:r>
    </w:p>
    <w:p w:rsidR="006F4596" w:rsidRDefault="00EA2AE5">
      <w:pPr>
        <w:ind w:left="10" w:right="336"/>
      </w:pPr>
      <w:r>
        <w:lastRenderedPageBreak/>
        <w:t>Dodavatel prohlašuje, že uvedený objekt splňuje hygienické podmínky ubytovacího a stravovacího zařízení a podmínky pro zabezpečení výuky a výchovy. Zařízení má pravidelně kontrolovaný zdroj pitné vody.</w:t>
      </w:r>
    </w:p>
    <w:p w:rsidR="006F4596" w:rsidRDefault="00EA2AE5">
      <w:pPr>
        <w:spacing w:after="612" w:line="257" w:lineRule="auto"/>
        <w:ind w:left="101" w:firstLine="19"/>
        <w:jc w:val="left"/>
      </w:pPr>
      <w:r>
        <w:t>Dodavatel služeb poskytne služby v souladu s obecně platnými právními a technickými předpisy (především zákon č. 258/2000 Sb., v platném znění, vyhláška č. 106/2001 Sb., v platném znění, vyhláška č. 108/2001 Sb., vyhláška č. 137/2004 Sb. a ve znění případných úprav).</w:t>
      </w:r>
    </w:p>
    <w:p w:rsidR="006F4596" w:rsidRDefault="00EA2AE5">
      <w:pPr>
        <w:spacing w:after="183"/>
        <w:ind w:left="120" w:hanging="10"/>
        <w:jc w:val="left"/>
      </w:pPr>
      <w:r>
        <w:rPr>
          <w:sz w:val="26"/>
          <w:u w:val="single" w:color="000000"/>
        </w:rPr>
        <w:t>Úhrada pobytu:</w:t>
      </w:r>
    </w:p>
    <w:p w:rsidR="006F4596" w:rsidRDefault="00EA2AE5">
      <w:pPr>
        <w:spacing w:after="217"/>
        <w:ind w:left="71"/>
      </w:pPr>
      <w:r>
        <w:t>l/dodavatel v 01/2024 vystaví odběrateli zálohovou fakturu ve výši 40.000 Kč a tuto zašle odběrateli. Splatnost zálohové faktury bude do 14ti dnů od jejího vystavení.</w:t>
      </w:r>
    </w:p>
    <w:p w:rsidR="006F4596" w:rsidRDefault="00EA2AE5">
      <w:pPr>
        <w:spacing w:after="1000" w:line="321" w:lineRule="auto"/>
        <w:ind w:left="71" w:right="14"/>
      </w:pPr>
      <w:r>
        <w:t>2/ Na zbylou část ceny za ubytování a doplňkové služby vystaví dodavatel faktur po ukončení pobytu. Do této ceny bude promítnut skutečný počet ubytovaných osob a skutečný počet dnů, po které tyto osoby budou v ubytovacím zařízení ubytovány. Zároveň bude odečtena poskytnutá záloha.</w:t>
      </w:r>
    </w:p>
    <w:p w:rsidR="006F4596" w:rsidRDefault="00EA2AE5">
      <w:pPr>
        <w:spacing w:after="143"/>
        <w:ind w:left="57" w:hanging="10"/>
        <w:jc w:val="left"/>
      </w:pPr>
      <w:r>
        <w:t>Stor</w:t>
      </w:r>
      <w:r>
        <w:rPr>
          <w:u w:val="single" w:color="000000"/>
        </w:rPr>
        <w:t>novací podmínky:</w:t>
      </w:r>
    </w:p>
    <w:p w:rsidR="006F4596" w:rsidRDefault="00EA2AE5">
      <w:pPr>
        <w:spacing w:after="244"/>
        <w:ind w:left="71" w:right="427"/>
      </w:pPr>
      <w:r>
        <w:t>Po podepsání této smlouvy lze tuto smlouvu vypovědět písemně pouze</w:t>
      </w:r>
    </w:p>
    <w:p w:rsidR="006F4596" w:rsidRDefault="00EA2AE5">
      <w:pPr>
        <w:numPr>
          <w:ilvl w:val="0"/>
          <w:numId w:val="1"/>
        </w:numPr>
        <w:spacing w:after="63"/>
        <w:ind w:right="427" w:hanging="413"/>
      </w:pPr>
      <w:r>
        <w:t>V případě zrušení pobytu z důvodů nezaviněných zákazníkem (např. živelné pohromy, epidemie - doklad OHES, KHES, karanténa nařízená státem, zrušení hromadných akcí v souvislosti s měnící se epidemickou situací, katastrofy apod.) Záloha je vratná zákazníkovi v plné výši.</w:t>
      </w:r>
    </w:p>
    <w:p w:rsidR="006F4596" w:rsidRDefault="00EA2AE5">
      <w:pPr>
        <w:numPr>
          <w:ilvl w:val="0"/>
          <w:numId w:val="1"/>
        </w:numPr>
        <w:spacing w:after="65"/>
        <w:ind w:right="427" w:hanging="413"/>
      </w:pPr>
      <w:r>
        <w:t>V případě porušení sjednaných podmínek provozovatelem — záloha je vratná zákazníkovi v plné výši.</w:t>
      </w:r>
    </w:p>
    <w:p w:rsidR="006F4596" w:rsidRDefault="00EA2AE5">
      <w:pPr>
        <w:numPr>
          <w:ilvl w:val="0"/>
          <w:numId w:val="1"/>
        </w:numPr>
        <w:spacing w:after="42"/>
        <w:ind w:right="427" w:hanging="413"/>
      </w:pPr>
      <w:r>
        <w:t>Stornopoplatky se nebudou vztahovat na ponížený počet ubytovaných dětí o cca 10 % (3 děti) z důvodu jejich náhlé indispozice těsně před odjezdem.</w:t>
      </w:r>
    </w:p>
    <w:p w:rsidR="006F4596" w:rsidRDefault="00EA2AE5">
      <w:pPr>
        <w:numPr>
          <w:ilvl w:val="0"/>
          <w:numId w:val="1"/>
        </w:numPr>
        <w:spacing w:after="168"/>
        <w:ind w:right="427" w:hanging="413"/>
      </w:pPr>
      <w:r>
        <w:t>Další stornopoplatky ze strany dodavatele při odřeknutí účasti objednavatele na akci:</w:t>
      </w:r>
    </w:p>
    <w:p w:rsidR="006F4596" w:rsidRDefault="00EA2AE5">
      <w:pPr>
        <w:spacing w:after="202"/>
        <w:ind w:left="734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977384" cy="6098"/>
                <wp:effectExtent l="0" t="0" r="0" b="0"/>
                <wp:docPr id="7213" name="Group 7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384" cy="6098"/>
                          <a:chOff x="0" y="0"/>
                          <a:chExt cx="4977384" cy="6098"/>
                        </a:xfrm>
                      </wpg:grpSpPr>
                      <wps:wsp>
                        <wps:cNvPr id="7212" name="Shape 7212"/>
                        <wps:cNvSpPr/>
                        <wps:spPr>
                          <a:xfrm>
                            <a:off x="0" y="0"/>
                            <a:ext cx="4977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7384" h="6098">
                                <a:moveTo>
                                  <a:pt x="0" y="3049"/>
                                </a:moveTo>
                                <a:lnTo>
                                  <a:pt x="4977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13" style="width:391.92pt;height:0.480133pt;mso-position-horizontal-relative:char;mso-position-vertical-relative:line" coordsize="49773,60">
                <v:shape id="Shape 7212" style="position:absolute;width:49773;height:60;left:0;top:0;" coordsize="4977384,6098" path="m0,3049l4977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F4596" w:rsidRDefault="00EA2AE5">
      <w:pPr>
        <w:spacing w:after="0"/>
        <w:ind w:left="73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4977384" cy="6098"/>
                <wp:effectExtent l="0" t="0" r="0" b="0"/>
                <wp:docPr id="7215" name="Group 7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7384" cy="6098"/>
                          <a:chOff x="0" y="0"/>
                          <a:chExt cx="4977384" cy="6098"/>
                        </a:xfrm>
                      </wpg:grpSpPr>
                      <wps:wsp>
                        <wps:cNvPr id="7214" name="Shape 7214"/>
                        <wps:cNvSpPr/>
                        <wps:spPr>
                          <a:xfrm>
                            <a:off x="0" y="0"/>
                            <a:ext cx="4977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7384" h="6098">
                                <a:moveTo>
                                  <a:pt x="0" y="3049"/>
                                </a:moveTo>
                                <a:lnTo>
                                  <a:pt x="4977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15" style="width:391.92pt;height:0.480164pt;mso-position-horizontal-relative:char;mso-position-vertical-relative:line" coordsize="49773,60">
                <v:shape id="Shape 7214" style="position:absolute;width:49773;height:60;left:0;top:0;" coordsize="4977384,6098" path="m0,3049l497738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F4596" w:rsidRDefault="006F4596">
      <w:pPr>
        <w:sectPr w:rsidR="006F4596">
          <w:pgSz w:w="11904" w:h="16834"/>
          <w:pgMar w:top="897" w:right="1522" w:bottom="1116" w:left="1286" w:header="708" w:footer="708" w:gutter="0"/>
          <w:cols w:space="708"/>
        </w:sectPr>
      </w:pPr>
    </w:p>
    <w:tbl>
      <w:tblPr>
        <w:tblStyle w:val="TableGrid"/>
        <w:tblW w:w="6365" w:type="dxa"/>
        <w:tblInd w:w="-754" w:type="dxa"/>
        <w:tblLook w:val="04A0" w:firstRow="1" w:lastRow="0" w:firstColumn="1" w:lastColumn="0" w:noHBand="0" w:noVBand="1"/>
      </w:tblPr>
      <w:tblGrid>
        <w:gridCol w:w="4920"/>
        <w:gridCol w:w="1445"/>
      </w:tblGrid>
      <w:tr w:rsidR="006F4596">
        <w:trPr>
          <w:trHeight w:val="254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</w:tcPr>
          <w:p w:rsidR="006F4596" w:rsidRDefault="00EA2AE5">
            <w:pPr>
              <w:spacing w:after="0"/>
              <w:ind w:left="0" w:firstLine="0"/>
              <w:jc w:val="left"/>
            </w:pPr>
            <w:proofErr w:type="spellStart"/>
            <w:r>
              <w:lastRenderedPageBreak/>
              <w:t>Nepřívěc</w:t>
            </w:r>
            <w:proofErr w:type="spellEnd"/>
            <w:r>
              <w:t xml:space="preserve"> u Sobotky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6F4596" w:rsidRDefault="00EA2AE5">
            <w:pPr>
              <w:spacing w:after="0"/>
              <w:ind w:left="24" w:firstLine="0"/>
              <w:jc w:val="left"/>
            </w:pPr>
            <w:r>
              <w:t>Praha</w:t>
            </w:r>
          </w:p>
        </w:tc>
      </w:tr>
    </w:tbl>
    <w:p w:rsidR="00EA2AE5" w:rsidRDefault="00EA2AE5">
      <w:pPr>
        <w:spacing w:after="107"/>
        <w:ind w:left="-787" w:right="-1507" w:firstLine="0"/>
        <w:jc w:val="left"/>
      </w:pPr>
    </w:p>
    <w:p w:rsidR="00EA2AE5" w:rsidRDefault="00EA2AE5">
      <w:pPr>
        <w:spacing w:after="107"/>
        <w:ind w:left="-787" w:right="-1507" w:firstLine="0"/>
        <w:jc w:val="left"/>
      </w:pPr>
    </w:p>
    <w:p w:rsidR="00EA2AE5" w:rsidRDefault="00EA2AE5">
      <w:pPr>
        <w:spacing w:after="107"/>
        <w:ind w:left="-787" w:right="-1507" w:firstLine="0"/>
        <w:jc w:val="left"/>
      </w:pPr>
    </w:p>
    <w:p w:rsidR="00EA2AE5" w:rsidRDefault="00EA2AE5">
      <w:pPr>
        <w:spacing w:after="107"/>
        <w:ind w:left="-787" w:right="-1507" w:firstLine="0"/>
        <w:jc w:val="left"/>
      </w:pPr>
    </w:p>
    <w:p w:rsidR="00EA2AE5" w:rsidRDefault="00EA2AE5">
      <w:pPr>
        <w:spacing w:after="107"/>
        <w:ind w:left="-787" w:right="-1507" w:firstLine="0"/>
        <w:jc w:val="left"/>
      </w:pPr>
    </w:p>
    <w:p w:rsidR="00EA2AE5" w:rsidRDefault="00EA2AE5" w:rsidP="00EA2AE5">
      <w:pPr>
        <w:spacing w:after="107"/>
        <w:ind w:left="0" w:right="-1507" w:firstLine="0"/>
        <w:jc w:val="left"/>
      </w:pPr>
    </w:p>
    <w:p w:rsidR="00EA2AE5" w:rsidRDefault="00EA2AE5">
      <w:pPr>
        <w:spacing w:after="107"/>
        <w:ind w:left="-787" w:right="-1507" w:firstLine="0"/>
        <w:jc w:val="left"/>
      </w:pPr>
    </w:p>
    <w:p w:rsidR="00EA2AE5" w:rsidRDefault="00EA2AE5">
      <w:pPr>
        <w:spacing w:after="107"/>
        <w:ind w:left="-787" w:right="-1507" w:firstLine="0"/>
        <w:jc w:val="left"/>
      </w:pPr>
    </w:p>
    <w:p w:rsidR="006F4596" w:rsidRDefault="00EA2AE5">
      <w:pPr>
        <w:spacing w:after="107"/>
        <w:ind w:left="-787" w:right="-1507" w:firstLine="0"/>
        <w:jc w:val="left"/>
      </w:pPr>
      <w:r>
        <w:rPr>
          <w:noProof/>
        </w:rPr>
        <w:drawing>
          <wp:inline distT="0" distB="0" distL="0" distR="0">
            <wp:extent cx="5251704" cy="42684"/>
            <wp:effectExtent l="0" t="0" r="0" b="0"/>
            <wp:docPr id="7210" name="Picture 7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0" name="Picture 72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1704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4596" w:rsidRDefault="00EA2AE5">
      <w:pPr>
        <w:tabs>
          <w:tab w:val="center" w:pos="886"/>
          <w:tab w:val="right" w:pos="5976"/>
        </w:tabs>
        <w:spacing w:after="0"/>
        <w:ind w:left="0" w:firstLine="0"/>
        <w:jc w:val="left"/>
      </w:pPr>
      <w:r>
        <w:tab/>
        <w:t>dodavatel</w:t>
      </w:r>
      <w:r>
        <w:tab/>
        <w:t>objednavatel</w:t>
      </w:r>
    </w:p>
    <w:sectPr w:rsidR="006F4596">
      <w:type w:val="continuous"/>
      <w:pgSz w:w="11904" w:h="16834"/>
      <w:pgMar w:top="897" w:right="3178" w:bottom="2708" w:left="275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804C2"/>
    <w:multiLevelType w:val="hybridMultilevel"/>
    <w:tmpl w:val="5C56BCD8"/>
    <w:lvl w:ilvl="0" w:tplc="56FA1938">
      <w:start w:val="1"/>
      <w:numFmt w:val="lowerLetter"/>
      <w:lvlText w:val="%1)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42D1A4">
      <w:start w:val="1"/>
      <w:numFmt w:val="lowerLetter"/>
      <w:lvlText w:val="%2"/>
      <w:lvlJc w:val="left"/>
      <w:pPr>
        <w:ind w:left="1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4AF8C8">
      <w:start w:val="1"/>
      <w:numFmt w:val="lowerRoman"/>
      <w:lvlText w:val="%3"/>
      <w:lvlJc w:val="left"/>
      <w:pPr>
        <w:ind w:left="2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149182">
      <w:start w:val="1"/>
      <w:numFmt w:val="decimal"/>
      <w:lvlText w:val="%4"/>
      <w:lvlJc w:val="left"/>
      <w:pPr>
        <w:ind w:left="2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C0A1A6">
      <w:start w:val="1"/>
      <w:numFmt w:val="lowerLetter"/>
      <w:lvlText w:val="%5"/>
      <w:lvlJc w:val="left"/>
      <w:pPr>
        <w:ind w:left="3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C291F6">
      <w:start w:val="1"/>
      <w:numFmt w:val="lowerRoman"/>
      <w:lvlText w:val="%6"/>
      <w:lvlJc w:val="left"/>
      <w:pPr>
        <w:ind w:left="4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CE9BE">
      <w:start w:val="1"/>
      <w:numFmt w:val="decimal"/>
      <w:lvlText w:val="%7"/>
      <w:lvlJc w:val="left"/>
      <w:pPr>
        <w:ind w:left="5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945204">
      <w:start w:val="1"/>
      <w:numFmt w:val="lowerLetter"/>
      <w:lvlText w:val="%8"/>
      <w:lvlJc w:val="left"/>
      <w:pPr>
        <w:ind w:left="5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3DA">
      <w:start w:val="1"/>
      <w:numFmt w:val="lowerRoman"/>
      <w:lvlText w:val="%9"/>
      <w:lvlJc w:val="left"/>
      <w:pPr>
        <w:ind w:left="6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96"/>
    <w:rsid w:val="006F4596"/>
    <w:rsid w:val="00961486"/>
    <w:rsid w:val="00EA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8D59D"/>
  <w15:docId w15:val="{E6AC81E0-6D3F-4D96-B4DD-E2CAC599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3"/>
      <w:ind w:left="72" w:firstLine="4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Vlasakova</dc:creator>
  <cp:keywords/>
  <cp:lastModifiedBy>Simona Vlasakova</cp:lastModifiedBy>
  <cp:revision>2</cp:revision>
  <dcterms:created xsi:type="dcterms:W3CDTF">2023-11-06T11:03:00Z</dcterms:created>
  <dcterms:modified xsi:type="dcterms:W3CDTF">2023-11-06T11:03:00Z</dcterms:modified>
</cp:coreProperties>
</file>