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7921" w14:textId="77777777" w:rsidR="009525B1" w:rsidRDefault="00D135BF">
      <w:pPr>
        <w:pStyle w:val="Standard"/>
        <w:rPr>
          <w:lang w:val="en-GB"/>
        </w:rPr>
      </w:pPr>
      <w:proofErr w:type="spellStart"/>
      <w:r>
        <w:rPr>
          <w:b/>
          <w:sz w:val="20"/>
          <w:szCs w:val="20"/>
          <w:lang w:val="en-GB"/>
        </w:rPr>
        <w:t>Mikrobiologický</w:t>
      </w:r>
      <w:proofErr w:type="spellEnd"/>
      <w:r>
        <w:rPr>
          <w:b/>
          <w:sz w:val="20"/>
          <w:szCs w:val="20"/>
          <w:lang w:val="en-GB"/>
        </w:rPr>
        <w:t xml:space="preserve"> </w:t>
      </w:r>
      <w:proofErr w:type="spellStart"/>
      <w:r>
        <w:rPr>
          <w:b/>
          <w:sz w:val="20"/>
          <w:szCs w:val="20"/>
          <w:lang w:val="en-GB"/>
        </w:rPr>
        <w:t>ústav</w:t>
      </w:r>
      <w:proofErr w:type="spellEnd"/>
      <w:r>
        <w:rPr>
          <w:b/>
          <w:sz w:val="20"/>
          <w:szCs w:val="20"/>
          <w:lang w:val="en-GB"/>
        </w:rPr>
        <w:t xml:space="preserve"> AV ČR, v. v. </w:t>
      </w:r>
      <w:proofErr w:type="spellStart"/>
      <w:r>
        <w:rPr>
          <w:b/>
          <w:sz w:val="20"/>
          <w:szCs w:val="20"/>
          <w:lang w:val="en-GB"/>
        </w:rPr>
        <w:t>i</w:t>
      </w:r>
      <w:proofErr w:type="spellEnd"/>
      <w:r>
        <w:rPr>
          <w:b/>
          <w:sz w:val="20"/>
          <w:szCs w:val="20"/>
          <w:lang w:val="en-GB"/>
        </w:rPr>
        <w:t>.,</w:t>
      </w:r>
    </w:p>
    <w:p w14:paraId="290BDA3B" w14:textId="77777777" w:rsidR="009525B1" w:rsidRDefault="00D135BF">
      <w:pPr>
        <w:pStyle w:val="Standard"/>
        <w:rPr>
          <w:lang w:val="en-GB"/>
        </w:rPr>
      </w:pPr>
      <w:r>
        <w:rPr>
          <w:b/>
          <w:sz w:val="20"/>
          <w:szCs w:val="20"/>
          <w:lang w:val="en-GB"/>
        </w:rPr>
        <w:t>Centrum ALGATECH</w:t>
      </w:r>
    </w:p>
    <w:p w14:paraId="46BFCAFF" w14:textId="1FBB656B" w:rsidR="009525B1" w:rsidRDefault="005C12AE">
      <w:pPr>
        <w:pStyle w:val="Standard"/>
        <w:rPr>
          <w:lang w:val="en-GB"/>
        </w:rPr>
      </w:pPr>
      <w:r>
        <w:rPr>
          <w:sz w:val="20"/>
          <w:szCs w:val="20"/>
          <w:lang w:val="en-GB"/>
        </w:rPr>
        <w:t>Registration number: 61388971,</w:t>
      </w:r>
    </w:p>
    <w:p w14:paraId="46DB7001" w14:textId="77777777" w:rsidR="009525B1" w:rsidRDefault="00D135BF">
      <w:pPr>
        <w:pStyle w:val="Standard"/>
        <w:rPr>
          <w:lang w:val="en-GB"/>
        </w:rPr>
      </w:pPr>
      <w:r>
        <w:rPr>
          <w:sz w:val="20"/>
          <w:szCs w:val="20"/>
          <w:lang w:val="en-GB"/>
        </w:rPr>
        <w:t>Tax registration number: CZ61388971,</w:t>
      </w:r>
    </w:p>
    <w:p w14:paraId="6B64A842" w14:textId="77777777" w:rsidR="009525B1" w:rsidRDefault="00D135BF">
      <w:pPr>
        <w:pStyle w:val="Standard"/>
        <w:rPr>
          <w:lang w:val="en-GB"/>
        </w:rPr>
      </w:pPr>
      <w:r>
        <w:rPr>
          <w:sz w:val="20"/>
          <w:szCs w:val="20"/>
          <w:lang w:val="en-GB"/>
        </w:rPr>
        <w:t xml:space="preserve">Registered seat: </w:t>
      </w:r>
      <w:proofErr w:type="spellStart"/>
      <w:r>
        <w:rPr>
          <w:sz w:val="20"/>
          <w:szCs w:val="20"/>
          <w:lang w:val="en-GB"/>
        </w:rPr>
        <w:t>Vídeňská</w:t>
      </w:r>
      <w:proofErr w:type="spellEnd"/>
      <w:r>
        <w:rPr>
          <w:sz w:val="20"/>
          <w:szCs w:val="20"/>
          <w:lang w:val="en-GB"/>
        </w:rPr>
        <w:t xml:space="preserve"> 1083, 142 20 Praha 4 – </w:t>
      </w:r>
      <w:proofErr w:type="spellStart"/>
      <w:r>
        <w:rPr>
          <w:sz w:val="20"/>
          <w:szCs w:val="20"/>
          <w:lang w:val="en-GB"/>
        </w:rPr>
        <w:t>Krč</w:t>
      </w:r>
      <w:proofErr w:type="spellEnd"/>
      <w:r>
        <w:rPr>
          <w:sz w:val="20"/>
          <w:szCs w:val="20"/>
          <w:lang w:val="en-GB"/>
        </w:rPr>
        <w:t>, the Czech Republic,</w:t>
      </w:r>
    </w:p>
    <w:p w14:paraId="0F97DA46" w14:textId="77777777" w:rsidR="009525B1" w:rsidRDefault="00D135BF">
      <w:pPr>
        <w:pStyle w:val="Standard"/>
        <w:rPr>
          <w:lang w:val="en-GB"/>
        </w:rPr>
      </w:pPr>
      <w:r>
        <w:rPr>
          <w:sz w:val="20"/>
          <w:szCs w:val="20"/>
          <w:lang w:val="en-GB"/>
        </w:rPr>
        <w:t xml:space="preserve">Represented by its director Ing. Jiří Hašek, </w:t>
      </w:r>
      <w:proofErr w:type="spellStart"/>
      <w:r>
        <w:rPr>
          <w:sz w:val="20"/>
          <w:szCs w:val="20"/>
          <w:lang w:val="en-GB"/>
        </w:rPr>
        <w:t>CSc</w:t>
      </w:r>
      <w:proofErr w:type="spellEnd"/>
      <w:r>
        <w:rPr>
          <w:sz w:val="20"/>
          <w:szCs w:val="20"/>
          <w:lang w:val="en-GB"/>
        </w:rPr>
        <w:t>.,</w:t>
      </w:r>
    </w:p>
    <w:p w14:paraId="6610171F" w14:textId="2D63CF8C" w:rsidR="009525B1" w:rsidRDefault="00D135BF">
      <w:pPr>
        <w:pStyle w:val="Standard"/>
        <w:rPr>
          <w:lang w:val="en-GB"/>
        </w:rPr>
      </w:pPr>
      <w:r>
        <w:rPr>
          <w:sz w:val="20"/>
          <w:szCs w:val="20"/>
          <w:lang w:val="en-GB"/>
        </w:rPr>
        <w:t>(</w:t>
      </w:r>
      <w:proofErr w:type="gramStart"/>
      <w:r>
        <w:rPr>
          <w:sz w:val="20"/>
          <w:szCs w:val="20"/>
          <w:lang w:val="en-GB"/>
        </w:rPr>
        <w:t>hereinafter</w:t>
      </w:r>
      <w:proofErr w:type="gramEnd"/>
      <w:r>
        <w:rPr>
          <w:sz w:val="20"/>
          <w:szCs w:val="20"/>
          <w:lang w:val="en-GB"/>
        </w:rPr>
        <w:t xml:space="preserve"> </w:t>
      </w:r>
      <w:r>
        <w:rPr>
          <w:b/>
          <w:i/>
          <w:sz w:val="20"/>
          <w:szCs w:val="20"/>
          <w:lang w:val="en-GB"/>
        </w:rPr>
        <w:t>the IMCAS</w:t>
      </w:r>
      <w:r>
        <w:rPr>
          <w:sz w:val="20"/>
          <w:szCs w:val="20"/>
          <w:lang w:val="en-GB"/>
        </w:rPr>
        <w:t>)</w:t>
      </w:r>
    </w:p>
    <w:p w14:paraId="1253E80A" w14:textId="77777777" w:rsidR="009525B1" w:rsidRDefault="009525B1">
      <w:pPr>
        <w:pStyle w:val="Standard"/>
        <w:rPr>
          <w:sz w:val="20"/>
          <w:szCs w:val="20"/>
          <w:lang w:val="en-GB"/>
        </w:rPr>
      </w:pPr>
    </w:p>
    <w:p w14:paraId="37F99110" w14:textId="77777777" w:rsidR="009525B1" w:rsidRDefault="00D135BF">
      <w:pPr>
        <w:pStyle w:val="Standard"/>
        <w:rPr>
          <w:lang w:val="en-GB"/>
        </w:rPr>
      </w:pPr>
      <w:r>
        <w:rPr>
          <w:sz w:val="20"/>
          <w:szCs w:val="20"/>
          <w:lang w:val="en-GB"/>
        </w:rPr>
        <w:t>And</w:t>
      </w:r>
    </w:p>
    <w:p w14:paraId="7C3EECF3" w14:textId="77777777" w:rsidR="009525B1" w:rsidRDefault="009525B1">
      <w:pPr>
        <w:pStyle w:val="Standard"/>
        <w:rPr>
          <w:sz w:val="20"/>
          <w:szCs w:val="20"/>
          <w:lang w:val="en-GB"/>
        </w:rPr>
      </w:pPr>
    </w:p>
    <w:p w14:paraId="151513D3" w14:textId="77777777" w:rsidR="009525B1" w:rsidRDefault="00D135BF">
      <w:pPr>
        <w:pStyle w:val="Standard"/>
        <w:rPr>
          <w:lang w:val="en-GB"/>
        </w:rPr>
      </w:pPr>
      <w:proofErr w:type="spellStart"/>
      <w:r>
        <w:rPr>
          <w:b/>
          <w:sz w:val="20"/>
          <w:szCs w:val="20"/>
          <w:lang w:val="en-GB"/>
        </w:rPr>
        <w:t>Phycom</w:t>
      </w:r>
      <w:proofErr w:type="spellEnd"/>
      <w:r>
        <w:rPr>
          <w:b/>
          <w:sz w:val="20"/>
          <w:szCs w:val="20"/>
          <w:lang w:val="en-GB"/>
        </w:rPr>
        <w:t xml:space="preserve"> B.V.,</w:t>
      </w:r>
    </w:p>
    <w:p w14:paraId="64A64EB5" w14:textId="20A8E164" w:rsidR="009525B1" w:rsidRDefault="00D135BF">
      <w:pPr>
        <w:pStyle w:val="Standard"/>
        <w:rPr>
          <w:lang w:val="en-GB"/>
        </w:rPr>
      </w:pPr>
      <w:r>
        <w:rPr>
          <w:sz w:val="20"/>
          <w:szCs w:val="20"/>
          <w:lang w:val="en-GB"/>
        </w:rPr>
        <w:t>Business registration number</w:t>
      </w:r>
      <w:r w:rsidR="005C12AE">
        <w:rPr>
          <w:sz w:val="20"/>
          <w:szCs w:val="20"/>
          <w:lang w:val="en-GB"/>
        </w:rPr>
        <w:t xml:space="preserve"> (KVK)</w:t>
      </w:r>
      <w:r>
        <w:rPr>
          <w:sz w:val="20"/>
          <w:szCs w:val="20"/>
          <w:lang w:val="en-GB"/>
        </w:rPr>
        <w:t>:</w:t>
      </w:r>
      <w:r w:rsidR="005C12AE" w:rsidRPr="005C12AE">
        <w:t xml:space="preserve"> </w:t>
      </w:r>
      <w:r w:rsidR="005C12AE" w:rsidRPr="005C12AE">
        <w:rPr>
          <w:sz w:val="20"/>
          <w:szCs w:val="20"/>
          <w:lang w:val="en-GB"/>
        </w:rPr>
        <w:t>09193250</w:t>
      </w:r>
      <w:r w:rsidR="005C12AE">
        <w:rPr>
          <w:sz w:val="20"/>
          <w:szCs w:val="20"/>
          <w:lang w:val="en-GB"/>
        </w:rPr>
        <w:t>,</w:t>
      </w:r>
    </w:p>
    <w:p w14:paraId="5B26536A" w14:textId="5E81970E" w:rsidR="009525B1" w:rsidRDefault="00D135BF">
      <w:pPr>
        <w:pStyle w:val="Standard"/>
        <w:rPr>
          <w:lang w:val="en-GB"/>
        </w:rPr>
      </w:pPr>
      <w:r>
        <w:rPr>
          <w:sz w:val="20"/>
          <w:szCs w:val="20"/>
          <w:lang w:val="en-GB"/>
        </w:rPr>
        <w:t>Tax registration number:</w:t>
      </w:r>
      <w:r w:rsidR="005C12AE">
        <w:rPr>
          <w:sz w:val="20"/>
          <w:szCs w:val="20"/>
          <w:lang w:val="en-GB"/>
        </w:rPr>
        <w:t xml:space="preserve"> </w:t>
      </w:r>
      <w:r w:rsidR="005C12AE" w:rsidRPr="005C12AE">
        <w:rPr>
          <w:sz w:val="20"/>
          <w:szCs w:val="20"/>
          <w:lang w:val="en-GB"/>
        </w:rPr>
        <w:t>NL820436999B01</w:t>
      </w:r>
      <w:r>
        <w:rPr>
          <w:sz w:val="20"/>
          <w:szCs w:val="20"/>
          <w:lang w:val="en-GB"/>
        </w:rPr>
        <w:t xml:space="preserve">, </w:t>
      </w:r>
      <w:r>
        <w:rPr>
          <w:sz w:val="20"/>
          <w:szCs w:val="20"/>
          <w:lang w:val="en-GB"/>
        </w:rPr>
        <w:tab/>
        <w:t xml:space="preserve"> </w:t>
      </w:r>
      <w:r>
        <w:rPr>
          <w:sz w:val="20"/>
          <w:szCs w:val="20"/>
          <w:lang w:val="en-GB"/>
        </w:rPr>
        <w:tab/>
      </w:r>
    </w:p>
    <w:p w14:paraId="685AE54B" w14:textId="77777777" w:rsidR="009525B1" w:rsidRDefault="00D135BF">
      <w:pPr>
        <w:pStyle w:val="Standard"/>
        <w:rPr>
          <w:lang w:val="en-GB"/>
        </w:rPr>
      </w:pPr>
      <w:r>
        <w:rPr>
          <w:sz w:val="20"/>
          <w:szCs w:val="20"/>
          <w:lang w:val="en-GB"/>
        </w:rPr>
        <w:t>Registered in the Netherlands,</w:t>
      </w:r>
    </w:p>
    <w:p w14:paraId="021B5BA5" w14:textId="77777777" w:rsidR="009525B1" w:rsidRDefault="00D135BF">
      <w:pPr>
        <w:pStyle w:val="Standard"/>
        <w:rPr>
          <w:lang w:val="en-GB"/>
        </w:rPr>
      </w:pPr>
      <w:r>
        <w:rPr>
          <w:sz w:val="20"/>
          <w:szCs w:val="20"/>
          <w:lang w:val="en-GB"/>
        </w:rPr>
        <w:t xml:space="preserve">Registered seat: </w:t>
      </w:r>
      <w:proofErr w:type="spellStart"/>
      <w:r>
        <w:rPr>
          <w:sz w:val="20"/>
          <w:szCs w:val="20"/>
          <w:lang w:val="en-GB"/>
        </w:rPr>
        <w:t>Koningsschot</w:t>
      </w:r>
      <w:proofErr w:type="spellEnd"/>
      <w:r>
        <w:rPr>
          <w:sz w:val="20"/>
          <w:szCs w:val="20"/>
          <w:lang w:val="en-GB"/>
        </w:rPr>
        <w:t xml:space="preserve"> 11, 3905 PP Veenendaal, Netherlands,</w:t>
      </w:r>
    </w:p>
    <w:p w14:paraId="6E9783E8" w14:textId="77777777" w:rsidR="009525B1" w:rsidRDefault="00D135BF">
      <w:pPr>
        <w:pStyle w:val="Standard"/>
        <w:rPr>
          <w:lang w:val="en-GB"/>
        </w:rPr>
      </w:pPr>
      <w:r>
        <w:rPr>
          <w:sz w:val="20"/>
          <w:szCs w:val="20"/>
          <w:lang w:val="en-GB"/>
        </w:rPr>
        <w:t>Represented by its executive manager (CEO) Erwin Houtzager,</w:t>
      </w:r>
    </w:p>
    <w:p w14:paraId="7FF6B007" w14:textId="3F84B66D" w:rsidR="009525B1" w:rsidRDefault="00D135BF">
      <w:pPr>
        <w:pStyle w:val="Standard"/>
        <w:rPr>
          <w:lang w:val="en-GB"/>
        </w:rPr>
      </w:pPr>
      <w:r>
        <w:rPr>
          <w:sz w:val="20"/>
          <w:szCs w:val="20"/>
          <w:lang w:val="en-GB"/>
        </w:rPr>
        <w:t>(</w:t>
      </w:r>
      <w:proofErr w:type="gramStart"/>
      <w:r>
        <w:rPr>
          <w:sz w:val="20"/>
          <w:szCs w:val="20"/>
          <w:lang w:val="en-GB"/>
        </w:rPr>
        <w:t>hereinafter</w:t>
      </w:r>
      <w:proofErr w:type="gramEnd"/>
      <w:r>
        <w:rPr>
          <w:sz w:val="20"/>
          <w:szCs w:val="20"/>
          <w:lang w:val="en-GB"/>
        </w:rPr>
        <w:t xml:space="preserve"> </w:t>
      </w:r>
      <w:proofErr w:type="spellStart"/>
      <w:r>
        <w:rPr>
          <w:b/>
          <w:i/>
          <w:sz w:val="20"/>
          <w:szCs w:val="20"/>
          <w:lang w:val="en-GB"/>
        </w:rPr>
        <w:t>Phycom</w:t>
      </w:r>
      <w:proofErr w:type="spellEnd"/>
      <w:r>
        <w:rPr>
          <w:sz w:val="20"/>
          <w:szCs w:val="20"/>
          <w:lang w:val="en-GB"/>
        </w:rPr>
        <w:t>)</w:t>
      </w:r>
    </w:p>
    <w:p w14:paraId="35CBEE23" w14:textId="77777777" w:rsidR="009525B1" w:rsidRDefault="009525B1">
      <w:pPr>
        <w:pStyle w:val="Standard"/>
        <w:rPr>
          <w:sz w:val="20"/>
          <w:szCs w:val="20"/>
          <w:lang w:val="en-GB"/>
        </w:rPr>
      </w:pPr>
    </w:p>
    <w:p w14:paraId="6B7B7646" w14:textId="77777777" w:rsidR="009525B1" w:rsidRDefault="00D135BF">
      <w:pPr>
        <w:pStyle w:val="Standard"/>
        <w:rPr>
          <w:lang w:val="en-GB"/>
        </w:rPr>
      </w:pPr>
      <w:r>
        <w:rPr>
          <w:sz w:val="20"/>
          <w:szCs w:val="20"/>
          <w:lang w:val="en-GB"/>
        </w:rPr>
        <w:t xml:space="preserve">Each hereinafter referred to as </w:t>
      </w:r>
      <w:r>
        <w:rPr>
          <w:b/>
          <w:i/>
          <w:sz w:val="20"/>
          <w:szCs w:val="20"/>
          <w:lang w:val="en-GB"/>
        </w:rPr>
        <w:t>a Party</w:t>
      </w:r>
      <w:r>
        <w:rPr>
          <w:sz w:val="20"/>
          <w:szCs w:val="20"/>
          <w:lang w:val="en-GB"/>
        </w:rPr>
        <w:t xml:space="preserve"> and jointly as </w:t>
      </w:r>
      <w:r>
        <w:rPr>
          <w:b/>
          <w:i/>
          <w:sz w:val="20"/>
          <w:szCs w:val="20"/>
          <w:lang w:val="en-GB"/>
        </w:rPr>
        <w:t xml:space="preserve">the </w:t>
      </w:r>
      <w:proofErr w:type="gramStart"/>
      <w:r>
        <w:rPr>
          <w:b/>
          <w:i/>
          <w:sz w:val="20"/>
          <w:szCs w:val="20"/>
          <w:lang w:val="en-GB"/>
        </w:rPr>
        <w:t>Parties</w:t>
      </w:r>
      <w:proofErr w:type="gramEnd"/>
    </w:p>
    <w:p w14:paraId="7A755928" w14:textId="77777777" w:rsidR="009525B1" w:rsidRDefault="009525B1">
      <w:pPr>
        <w:pStyle w:val="Standard"/>
        <w:rPr>
          <w:b/>
          <w:i/>
          <w:sz w:val="20"/>
          <w:szCs w:val="20"/>
          <w:lang w:val="en-GB"/>
        </w:rPr>
      </w:pPr>
    </w:p>
    <w:p w14:paraId="02EA4BF2" w14:textId="77777777" w:rsidR="009525B1" w:rsidRDefault="00D135BF">
      <w:pPr>
        <w:pStyle w:val="Standard"/>
        <w:rPr>
          <w:lang w:val="en-GB"/>
        </w:rPr>
      </w:pPr>
      <w:r>
        <w:rPr>
          <w:sz w:val="20"/>
          <w:szCs w:val="20"/>
          <w:lang w:val="en-GB"/>
        </w:rPr>
        <w:t xml:space="preserve">Have entered today into </w:t>
      </w:r>
      <w:proofErr w:type="gramStart"/>
      <w:r>
        <w:rPr>
          <w:sz w:val="20"/>
          <w:szCs w:val="20"/>
          <w:lang w:val="en-GB"/>
        </w:rPr>
        <w:t>this</w:t>
      </w:r>
      <w:proofErr w:type="gramEnd"/>
    </w:p>
    <w:p w14:paraId="7170327E" w14:textId="77777777" w:rsidR="009525B1" w:rsidRDefault="009525B1">
      <w:pPr>
        <w:pStyle w:val="Standard"/>
        <w:rPr>
          <w:sz w:val="20"/>
          <w:szCs w:val="20"/>
          <w:lang w:val="en-GB"/>
        </w:rPr>
      </w:pPr>
    </w:p>
    <w:p w14:paraId="784DF2B9" w14:textId="77777777" w:rsidR="009525B1" w:rsidRDefault="009525B1">
      <w:pPr>
        <w:pStyle w:val="Standard"/>
        <w:rPr>
          <w:sz w:val="20"/>
          <w:szCs w:val="20"/>
          <w:lang w:val="en-GB"/>
        </w:rPr>
      </w:pPr>
    </w:p>
    <w:p w14:paraId="6165AA27" w14:textId="77777777" w:rsidR="009525B1" w:rsidRDefault="00D135BF">
      <w:pPr>
        <w:pStyle w:val="Standard"/>
        <w:jc w:val="center"/>
        <w:rPr>
          <w:lang w:val="en-GB"/>
        </w:rPr>
      </w:pPr>
      <w:r>
        <w:rPr>
          <w:b/>
          <w:sz w:val="32"/>
          <w:szCs w:val="32"/>
          <w:lang w:val="en-GB"/>
        </w:rPr>
        <w:t>Material Transfer Agreement</w:t>
      </w:r>
    </w:p>
    <w:p w14:paraId="143D7941" w14:textId="77777777" w:rsidR="009525B1" w:rsidRDefault="009525B1">
      <w:pPr>
        <w:pStyle w:val="Standard"/>
        <w:rPr>
          <w:sz w:val="20"/>
          <w:szCs w:val="20"/>
          <w:lang w:val="en-GB"/>
        </w:rPr>
      </w:pPr>
    </w:p>
    <w:p w14:paraId="15617959" w14:textId="77777777" w:rsidR="009525B1" w:rsidRDefault="009525B1">
      <w:pPr>
        <w:pStyle w:val="Standard"/>
        <w:rPr>
          <w:sz w:val="20"/>
          <w:szCs w:val="20"/>
          <w:lang w:val="en-GB"/>
        </w:rPr>
      </w:pPr>
    </w:p>
    <w:p w14:paraId="577910CA" w14:textId="77777777" w:rsidR="009525B1" w:rsidRDefault="00D135BF" w:rsidP="007C407E">
      <w:pPr>
        <w:pStyle w:val="Standard"/>
        <w:numPr>
          <w:ilvl w:val="0"/>
          <w:numId w:val="1"/>
        </w:numPr>
        <w:jc w:val="center"/>
        <w:rPr>
          <w:lang w:val="en-GB"/>
        </w:rPr>
      </w:pPr>
      <w:r>
        <w:rPr>
          <w:b/>
          <w:sz w:val="20"/>
          <w:szCs w:val="20"/>
          <w:lang w:val="en-GB"/>
        </w:rPr>
        <w:t xml:space="preserve"> Subject Matter and Aim of the Agreement</w:t>
      </w:r>
    </w:p>
    <w:p w14:paraId="5A85FDD5" w14:textId="4223787E" w:rsidR="009525B1" w:rsidRDefault="00D135BF" w:rsidP="007C407E">
      <w:pPr>
        <w:pStyle w:val="Standard"/>
        <w:numPr>
          <w:ilvl w:val="1"/>
          <w:numId w:val="2"/>
        </w:numPr>
        <w:jc w:val="both"/>
        <w:rPr>
          <w:lang w:val="en-GB"/>
        </w:rPr>
      </w:pPr>
      <w:r>
        <w:rPr>
          <w:sz w:val="20"/>
          <w:szCs w:val="20"/>
          <w:lang w:val="en-GB"/>
        </w:rPr>
        <w:t xml:space="preserve">The IMCAS is a Czech publicly funded institution engaged in research and development in areas of physiology, biochemistry, molecular biology, and genetics of microalgae, </w:t>
      </w:r>
      <w:proofErr w:type="gramStart"/>
      <w:r>
        <w:rPr>
          <w:sz w:val="20"/>
          <w:szCs w:val="20"/>
          <w:lang w:val="en-GB"/>
        </w:rPr>
        <w:t>algae</w:t>
      </w:r>
      <w:proofErr w:type="gramEnd"/>
      <w:r>
        <w:rPr>
          <w:sz w:val="20"/>
          <w:szCs w:val="20"/>
          <w:lang w:val="en-GB"/>
        </w:rPr>
        <w:t xml:space="preserve"> and other microorganisms, </w:t>
      </w:r>
      <w:proofErr w:type="spellStart"/>
      <w:r>
        <w:rPr>
          <w:sz w:val="20"/>
          <w:szCs w:val="20"/>
          <w:lang w:val="en-GB"/>
        </w:rPr>
        <w:t>biocatalysis</w:t>
      </w:r>
      <w:proofErr w:type="spellEnd"/>
      <w:r>
        <w:rPr>
          <w:sz w:val="20"/>
          <w:szCs w:val="20"/>
          <w:lang w:val="en-GB"/>
        </w:rPr>
        <w:t xml:space="preserve"> and microbial or algae biotechnology.</w:t>
      </w:r>
    </w:p>
    <w:p w14:paraId="6167B629" w14:textId="77777777" w:rsidR="009525B1" w:rsidRPr="00A91F42" w:rsidRDefault="00D135BF" w:rsidP="007C407E">
      <w:pPr>
        <w:pStyle w:val="Standard"/>
        <w:numPr>
          <w:ilvl w:val="1"/>
          <w:numId w:val="3"/>
        </w:numPr>
        <w:jc w:val="both"/>
        <w:rPr>
          <w:highlight w:val="black"/>
          <w:lang w:val="en-GB"/>
        </w:rPr>
      </w:pPr>
      <w:proofErr w:type="spellStart"/>
      <w:r>
        <w:rPr>
          <w:sz w:val="20"/>
          <w:szCs w:val="20"/>
          <w:lang w:val="en-GB"/>
        </w:rPr>
        <w:t>Phycom</w:t>
      </w:r>
      <w:proofErr w:type="spellEnd"/>
      <w:r>
        <w:rPr>
          <w:sz w:val="20"/>
          <w:szCs w:val="20"/>
          <w:lang w:val="en-GB"/>
        </w:rPr>
        <w:t xml:space="preserve"> is a company focused on producing microalgae </w:t>
      </w:r>
      <w:r w:rsidRPr="00A91F42">
        <w:rPr>
          <w:sz w:val="20"/>
          <w:szCs w:val="20"/>
          <w:highlight w:val="black"/>
          <w:lang w:val="en-GB"/>
        </w:rPr>
        <w:t>as food for humans and animals.</w:t>
      </w:r>
    </w:p>
    <w:p w14:paraId="62C41E4E" w14:textId="77777777" w:rsidR="009525B1" w:rsidRDefault="00D135BF" w:rsidP="007C407E">
      <w:pPr>
        <w:pStyle w:val="Standard"/>
        <w:numPr>
          <w:ilvl w:val="1"/>
          <w:numId w:val="4"/>
        </w:numPr>
        <w:jc w:val="both"/>
        <w:rPr>
          <w:lang w:val="en-GB"/>
        </w:rPr>
      </w:pPr>
      <w:r>
        <w:rPr>
          <w:sz w:val="20"/>
          <w:szCs w:val="20"/>
          <w:lang w:val="en-GB"/>
        </w:rPr>
        <w:t xml:space="preserve">The IMCAS is a holder of the Czech patent titled </w:t>
      </w:r>
      <w:proofErr w:type="spellStart"/>
      <w:r w:rsidRPr="00A91F42">
        <w:rPr>
          <w:i/>
          <w:sz w:val="20"/>
          <w:szCs w:val="20"/>
          <w:highlight w:val="black"/>
          <w:lang w:val="en-GB"/>
        </w:rPr>
        <w:t>Parachlorella</w:t>
      </w:r>
      <w:proofErr w:type="spellEnd"/>
      <w:r w:rsidRPr="00A91F42">
        <w:rPr>
          <w:i/>
          <w:sz w:val="20"/>
          <w:szCs w:val="20"/>
          <w:highlight w:val="black"/>
          <w:lang w:val="en-GB"/>
        </w:rPr>
        <w:t xml:space="preserve"> </w:t>
      </w:r>
      <w:proofErr w:type="spellStart"/>
      <w:r w:rsidRPr="00A91F42">
        <w:rPr>
          <w:i/>
          <w:sz w:val="20"/>
          <w:szCs w:val="20"/>
          <w:highlight w:val="black"/>
          <w:lang w:val="en-GB"/>
        </w:rPr>
        <w:t>kessleri</w:t>
      </w:r>
      <w:proofErr w:type="spellEnd"/>
      <w:r w:rsidRPr="00A91F42">
        <w:rPr>
          <w:i/>
          <w:sz w:val="20"/>
          <w:szCs w:val="20"/>
          <w:highlight w:val="black"/>
          <w:lang w:val="en-GB"/>
        </w:rPr>
        <w:t xml:space="preserve"> HY1 microalgae strain for lutein production and use of this strain for industrial lutein production</w:t>
      </w:r>
      <w:r>
        <w:rPr>
          <w:sz w:val="20"/>
          <w:szCs w:val="20"/>
          <w:lang w:val="en-GB"/>
        </w:rPr>
        <w:t xml:space="preserve">, patent application no. </w:t>
      </w:r>
      <w:r w:rsidRPr="00A91F42">
        <w:rPr>
          <w:sz w:val="20"/>
          <w:szCs w:val="20"/>
          <w:highlight w:val="black"/>
          <w:lang w:val="en-GB"/>
        </w:rPr>
        <w:t>2019-776</w:t>
      </w:r>
      <w:r>
        <w:rPr>
          <w:sz w:val="20"/>
          <w:szCs w:val="20"/>
          <w:lang w:val="en-GB"/>
        </w:rPr>
        <w:t xml:space="preserve"> (hereinafter </w:t>
      </w:r>
      <w:r>
        <w:rPr>
          <w:b/>
          <w:i/>
          <w:sz w:val="20"/>
          <w:szCs w:val="20"/>
          <w:lang w:val="en-GB"/>
        </w:rPr>
        <w:t>the Patent</w:t>
      </w:r>
      <w:r>
        <w:rPr>
          <w:sz w:val="20"/>
          <w:szCs w:val="20"/>
          <w:lang w:val="en-GB"/>
        </w:rPr>
        <w:t xml:space="preserve"> and </w:t>
      </w:r>
      <w:r>
        <w:rPr>
          <w:b/>
          <w:i/>
          <w:sz w:val="20"/>
          <w:szCs w:val="20"/>
          <w:lang w:val="en-GB"/>
        </w:rPr>
        <w:t>the Material</w:t>
      </w:r>
      <w:r>
        <w:rPr>
          <w:sz w:val="20"/>
          <w:szCs w:val="20"/>
          <w:lang w:val="en-GB"/>
        </w:rPr>
        <w:t>). The IMCAS declares that it has independently developed the Material.</w:t>
      </w:r>
    </w:p>
    <w:p w14:paraId="18CB8741" w14:textId="77777777" w:rsidR="009525B1" w:rsidRPr="00A91F42" w:rsidRDefault="00D135BF" w:rsidP="007C407E">
      <w:pPr>
        <w:pStyle w:val="Standard"/>
        <w:numPr>
          <w:ilvl w:val="1"/>
          <w:numId w:val="5"/>
        </w:numPr>
        <w:jc w:val="both"/>
        <w:rPr>
          <w:highlight w:val="black"/>
          <w:lang w:val="en-GB"/>
        </w:rPr>
      </w:pPr>
      <w:r w:rsidRPr="00A91F42">
        <w:rPr>
          <w:sz w:val="20"/>
          <w:szCs w:val="20"/>
          <w:highlight w:val="black"/>
          <w:lang w:val="en-GB"/>
        </w:rPr>
        <w:t xml:space="preserve">The IMCAS and </w:t>
      </w:r>
      <w:proofErr w:type="spellStart"/>
      <w:r w:rsidRPr="00A91F42">
        <w:rPr>
          <w:sz w:val="20"/>
          <w:szCs w:val="20"/>
          <w:highlight w:val="black"/>
          <w:lang w:val="en-GB"/>
        </w:rPr>
        <w:t>Phycom</w:t>
      </w:r>
      <w:proofErr w:type="spellEnd"/>
      <w:r w:rsidRPr="00A91F42">
        <w:rPr>
          <w:sz w:val="20"/>
          <w:szCs w:val="20"/>
          <w:highlight w:val="black"/>
          <w:lang w:val="en-GB"/>
        </w:rPr>
        <w:t xml:space="preserve"> are participants in an H2020 funded project </w:t>
      </w:r>
      <w:proofErr w:type="gramStart"/>
      <w:r w:rsidRPr="00A91F42">
        <w:rPr>
          <w:sz w:val="20"/>
          <w:szCs w:val="20"/>
          <w:highlight w:val="black"/>
          <w:lang w:val="en-GB"/>
        </w:rPr>
        <w:t>MULTI-STR3AM</w:t>
      </w:r>
      <w:proofErr w:type="gramEnd"/>
      <w:r w:rsidRPr="00A91F42">
        <w:rPr>
          <w:sz w:val="20"/>
          <w:szCs w:val="20"/>
          <w:highlight w:val="black"/>
          <w:lang w:val="en-GB"/>
        </w:rPr>
        <w:t>,</w:t>
      </w:r>
      <w:r w:rsidRPr="00A91F42">
        <w:rPr>
          <w:rStyle w:val="Ukotvenpoznmkypodarou"/>
          <w:sz w:val="20"/>
          <w:szCs w:val="20"/>
          <w:highlight w:val="black"/>
          <w:lang w:val="en-GB"/>
        </w:rPr>
        <w:footnoteReference w:id="1"/>
      </w:r>
      <w:r w:rsidRPr="00A91F42">
        <w:rPr>
          <w:sz w:val="20"/>
          <w:szCs w:val="20"/>
          <w:highlight w:val="black"/>
          <w:lang w:val="en-GB"/>
        </w:rPr>
        <w:t xml:space="preserve"> in which </w:t>
      </w:r>
      <w:proofErr w:type="spellStart"/>
      <w:r w:rsidRPr="00A91F42">
        <w:rPr>
          <w:sz w:val="20"/>
          <w:szCs w:val="20"/>
          <w:highlight w:val="black"/>
          <w:lang w:val="en-GB"/>
        </w:rPr>
        <w:t>Phycom</w:t>
      </w:r>
      <w:proofErr w:type="spellEnd"/>
      <w:r w:rsidRPr="00A91F42">
        <w:rPr>
          <w:sz w:val="20"/>
          <w:szCs w:val="20"/>
          <w:highlight w:val="black"/>
          <w:lang w:val="en-GB"/>
        </w:rPr>
        <w:t xml:space="preserve"> has tested the Material.</w:t>
      </w:r>
    </w:p>
    <w:p w14:paraId="53109830" w14:textId="77777777" w:rsidR="009525B1" w:rsidRDefault="00D135BF" w:rsidP="007C407E">
      <w:pPr>
        <w:pStyle w:val="Standard"/>
        <w:numPr>
          <w:ilvl w:val="1"/>
          <w:numId w:val="6"/>
        </w:numPr>
        <w:jc w:val="both"/>
        <w:rPr>
          <w:lang w:val="en-GB"/>
        </w:rPr>
      </w:pPr>
      <w:proofErr w:type="spellStart"/>
      <w:r>
        <w:rPr>
          <w:sz w:val="20"/>
          <w:szCs w:val="20"/>
          <w:lang w:val="en-GB"/>
        </w:rPr>
        <w:t>Phycom</w:t>
      </w:r>
      <w:proofErr w:type="spellEnd"/>
    </w:p>
    <w:p w14:paraId="3EAB3F88" w14:textId="3EBBB4FC" w:rsidR="009525B1" w:rsidRPr="00A91F42" w:rsidRDefault="00D135BF" w:rsidP="007C407E">
      <w:pPr>
        <w:pStyle w:val="Standard"/>
        <w:numPr>
          <w:ilvl w:val="2"/>
          <w:numId w:val="7"/>
        </w:numPr>
        <w:jc w:val="both"/>
        <w:rPr>
          <w:highlight w:val="black"/>
          <w:lang w:val="en-GB"/>
        </w:rPr>
      </w:pPr>
      <w:r w:rsidRPr="00A91F42">
        <w:rPr>
          <w:sz w:val="20"/>
          <w:szCs w:val="20"/>
          <w:highlight w:val="black"/>
          <w:lang w:val="en-GB"/>
        </w:rPr>
        <w:t xml:space="preserve">desires to pursue commercial application of the Material in the fields of food and feed industries, </w:t>
      </w:r>
    </w:p>
    <w:p w14:paraId="4AB112EE" w14:textId="77777777" w:rsidR="009525B1" w:rsidRPr="00A91F42" w:rsidRDefault="00D135BF" w:rsidP="007C407E">
      <w:pPr>
        <w:pStyle w:val="Standard"/>
        <w:numPr>
          <w:ilvl w:val="2"/>
          <w:numId w:val="8"/>
        </w:numPr>
        <w:jc w:val="both"/>
        <w:rPr>
          <w:highlight w:val="black"/>
          <w:lang w:val="en-GB"/>
        </w:rPr>
      </w:pPr>
      <w:r w:rsidRPr="00A91F42">
        <w:rPr>
          <w:sz w:val="20"/>
          <w:szCs w:val="20"/>
          <w:highlight w:val="black"/>
          <w:lang w:val="en-GB"/>
        </w:rPr>
        <w:t>wishes to be the exclusive commercial user of the Material with an effect like the acquisition of a property right, while respecting the IMCAS's existing rights in the Material, and</w:t>
      </w:r>
    </w:p>
    <w:p w14:paraId="06301C17" w14:textId="77777777" w:rsidR="009525B1" w:rsidRPr="00A91F42" w:rsidRDefault="00D135BF" w:rsidP="007C407E">
      <w:pPr>
        <w:pStyle w:val="Standard"/>
        <w:numPr>
          <w:ilvl w:val="2"/>
          <w:numId w:val="9"/>
        </w:numPr>
        <w:jc w:val="both"/>
        <w:rPr>
          <w:highlight w:val="black"/>
          <w:lang w:val="en-GB"/>
        </w:rPr>
      </w:pPr>
      <w:r w:rsidRPr="00A91F42">
        <w:rPr>
          <w:sz w:val="20"/>
          <w:szCs w:val="20"/>
          <w:highlight w:val="black"/>
          <w:lang w:val="en-GB"/>
        </w:rPr>
        <w:t xml:space="preserve">acknowledges that the Patent maintenance fees are paid by the IMCAS for the period until 16th December 2023, and that the IMCAS will not prolong the Patent without </w:t>
      </w:r>
      <w:proofErr w:type="spellStart"/>
      <w:r w:rsidRPr="00A91F42">
        <w:rPr>
          <w:sz w:val="20"/>
          <w:szCs w:val="20"/>
          <w:highlight w:val="black"/>
          <w:lang w:val="en-GB"/>
        </w:rPr>
        <w:t>Phycom’s</w:t>
      </w:r>
      <w:proofErr w:type="spellEnd"/>
      <w:r w:rsidRPr="00A91F42">
        <w:rPr>
          <w:sz w:val="20"/>
          <w:szCs w:val="20"/>
          <w:highlight w:val="black"/>
          <w:lang w:val="en-GB"/>
        </w:rPr>
        <w:t xml:space="preserve"> written request.</w:t>
      </w:r>
    </w:p>
    <w:p w14:paraId="7EB259D8" w14:textId="1841EDDA" w:rsidR="009525B1" w:rsidRDefault="00D135BF" w:rsidP="007C407E">
      <w:pPr>
        <w:pStyle w:val="Standard"/>
        <w:numPr>
          <w:ilvl w:val="1"/>
          <w:numId w:val="10"/>
        </w:numPr>
        <w:jc w:val="both"/>
        <w:rPr>
          <w:lang w:val="en-GB"/>
        </w:rPr>
      </w:pPr>
      <w:r>
        <w:rPr>
          <w:sz w:val="20"/>
          <w:szCs w:val="20"/>
          <w:lang w:val="en-GB"/>
        </w:rPr>
        <w:t>This Agreement sets out the rights and obligations of the Parties in relation to the Material and its use.</w:t>
      </w:r>
    </w:p>
    <w:p w14:paraId="1B2DBC37" w14:textId="77777777" w:rsidR="009525B1" w:rsidRDefault="009525B1">
      <w:pPr>
        <w:pStyle w:val="Standard"/>
        <w:rPr>
          <w:sz w:val="20"/>
          <w:szCs w:val="20"/>
          <w:lang w:val="en-GB"/>
        </w:rPr>
      </w:pPr>
    </w:p>
    <w:p w14:paraId="449A507D" w14:textId="77777777" w:rsidR="009525B1" w:rsidRDefault="00D135BF" w:rsidP="007C407E">
      <w:pPr>
        <w:pStyle w:val="Standard"/>
        <w:numPr>
          <w:ilvl w:val="0"/>
          <w:numId w:val="11"/>
        </w:numPr>
        <w:jc w:val="center"/>
        <w:rPr>
          <w:lang w:val="en-GB"/>
        </w:rPr>
      </w:pPr>
      <w:r>
        <w:rPr>
          <w:b/>
          <w:sz w:val="20"/>
          <w:szCs w:val="20"/>
          <w:lang w:val="en-GB"/>
        </w:rPr>
        <w:t>The Material</w:t>
      </w:r>
    </w:p>
    <w:p w14:paraId="6F0EA253" w14:textId="77777777" w:rsidR="009525B1" w:rsidRDefault="00D135BF" w:rsidP="007C407E">
      <w:pPr>
        <w:pStyle w:val="Standard"/>
        <w:numPr>
          <w:ilvl w:val="1"/>
          <w:numId w:val="12"/>
        </w:numPr>
        <w:jc w:val="both"/>
        <w:rPr>
          <w:lang w:val="en-GB"/>
        </w:rPr>
      </w:pPr>
      <w:r>
        <w:rPr>
          <w:sz w:val="20"/>
          <w:szCs w:val="20"/>
          <w:lang w:val="en-GB"/>
        </w:rPr>
        <w:t xml:space="preserve">The IMCAS has provided </w:t>
      </w:r>
      <w:proofErr w:type="spellStart"/>
      <w:r>
        <w:rPr>
          <w:sz w:val="20"/>
          <w:szCs w:val="20"/>
          <w:lang w:val="en-GB"/>
        </w:rPr>
        <w:t>Phycom</w:t>
      </w:r>
      <w:proofErr w:type="spellEnd"/>
      <w:r>
        <w:rPr>
          <w:sz w:val="20"/>
          <w:szCs w:val="20"/>
          <w:lang w:val="en-GB"/>
        </w:rPr>
        <w:t xml:space="preserve"> with the Material, </w:t>
      </w:r>
      <w:proofErr w:type="gramStart"/>
      <w:r>
        <w:rPr>
          <w:sz w:val="20"/>
          <w:szCs w:val="20"/>
          <w:lang w:val="en-GB"/>
        </w:rPr>
        <w:t>i.e.</w:t>
      </w:r>
      <w:proofErr w:type="gramEnd"/>
      <w:r>
        <w:rPr>
          <w:sz w:val="20"/>
          <w:szCs w:val="20"/>
          <w:lang w:val="en-GB"/>
        </w:rPr>
        <w:t xml:space="preserve"> </w:t>
      </w:r>
      <w:proofErr w:type="spellStart"/>
      <w:r>
        <w:rPr>
          <w:i/>
          <w:sz w:val="20"/>
          <w:szCs w:val="20"/>
          <w:lang w:val="en-GB"/>
        </w:rPr>
        <w:t>Parachlorella</w:t>
      </w:r>
      <w:proofErr w:type="spellEnd"/>
      <w:r>
        <w:rPr>
          <w:i/>
          <w:sz w:val="20"/>
          <w:szCs w:val="20"/>
          <w:lang w:val="en-GB"/>
        </w:rPr>
        <w:t xml:space="preserve"> </w:t>
      </w:r>
      <w:proofErr w:type="spellStart"/>
      <w:r w:rsidRPr="00A91F42">
        <w:rPr>
          <w:i/>
          <w:sz w:val="20"/>
          <w:szCs w:val="20"/>
          <w:highlight w:val="black"/>
          <w:lang w:val="en-GB"/>
        </w:rPr>
        <w:t>kessleri</w:t>
      </w:r>
      <w:proofErr w:type="spellEnd"/>
      <w:r w:rsidRPr="00A91F42">
        <w:rPr>
          <w:sz w:val="20"/>
          <w:szCs w:val="20"/>
          <w:highlight w:val="black"/>
          <w:lang w:val="en-GB"/>
        </w:rPr>
        <w:t xml:space="preserve"> – HY1 (yellow strain producing lutein)</w:t>
      </w:r>
      <w:r>
        <w:rPr>
          <w:sz w:val="20"/>
          <w:szCs w:val="20"/>
          <w:lang w:val="en-GB"/>
        </w:rPr>
        <w:t xml:space="preserve"> as a basic culture in tube on agar media.</w:t>
      </w:r>
    </w:p>
    <w:p w14:paraId="1F763EF8" w14:textId="77777777" w:rsidR="009525B1" w:rsidRPr="00A91F42" w:rsidRDefault="00D135BF" w:rsidP="007C407E">
      <w:pPr>
        <w:pStyle w:val="Standard"/>
        <w:numPr>
          <w:ilvl w:val="1"/>
          <w:numId w:val="13"/>
        </w:numPr>
        <w:jc w:val="both"/>
        <w:rPr>
          <w:highlight w:val="black"/>
          <w:lang w:val="en-GB"/>
        </w:rPr>
      </w:pPr>
      <w:r w:rsidRPr="00A91F42">
        <w:rPr>
          <w:sz w:val="20"/>
          <w:szCs w:val="20"/>
          <w:highlight w:val="black"/>
          <w:lang w:val="en-GB"/>
        </w:rPr>
        <w:t xml:space="preserve">The IMCAS grants to </w:t>
      </w:r>
      <w:proofErr w:type="spellStart"/>
      <w:r w:rsidRPr="00A91F42">
        <w:rPr>
          <w:sz w:val="20"/>
          <w:szCs w:val="20"/>
          <w:highlight w:val="black"/>
          <w:lang w:val="en-GB"/>
        </w:rPr>
        <w:t>Phycom</w:t>
      </w:r>
      <w:proofErr w:type="spellEnd"/>
      <w:r w:rsidRPr="00A91F42">
        <w:rPr>
          <w:sz w:val="20"/>
          <w:szCs w:val="20"/>
          <w:highlight w:val="black"/>
          <w:lang w:val="en-GB"/>
        </w:rPr>
        <w:t xml:space="preserve"> an exclusive right to make, use, offer to sell and/or sell products covered by the Patent, </w:t>
      </w:r>
      <w:proofErr w:type="gramStart"/>
      <w:r w:rsidRPr="00A91F42">
        <w:rPr>
          <w:sz w:val="20"/>
          <w:szCs w:val="20"/>
          <w:highlight w:val="black"/>
          <w:lang w:val="en-GB"/>
        </w:rPr>
        <w:t>i.e.</w:t>
      </w:r>
      <w:proofErr w:type="gramEnd"/>
      <w:r w:rsidRPr="00A91F42">
        <w:rPr>
          <w:sz w:val="20"/>
          <w:szCs w:val="20"/>
          <w:highlight w:val="black"/>
          <w:lang w:val="en-GB"/>
        </w:rPr>
        <w:t xml:space="preserve"> the Material, its progeny, unmodified derivatives and modifications.</w:t>
      </w:r>
    </w:p>
    <w:p w14:paraId="25B31DD1" w14:textId="77777777" w:rsidR="009525B1" w:rsidRDefault="00D135BF" w:rsidP="007C407E">
      <w:pPr>
        <w:pStyle w:val="Standard"/>
        <w:numPr>
          <w:ilvl w:val="1"/>
          <w:numId w:val="15"/>
        </w:numPr>
        <w:jc w:val="both"/>
        <w:rPr>
          <w:lang w:val="en-GB"/>
        </w:rPr>
      </w:pPr>
      <w:r>
        <w:rPr>
          <w:sz w:val="20"/>
          <w:szCs w:val="20"/>
          <w:lang w:val="en-GB"/>
        </w:rPr>
        <w:t xml:space="preserve">The IMCAS shall not provide the Material to any third party for commercial purposes without the prior written consent of </w:t>
      </w:r>
      <w:proofErr w:type="spellStart"/>
      <w:r>
        <w:rPr>
          <w:sz w:val="20"/>
          <w:szCs w:val="20"/>
          <w:lang w:val="en-GB"/>
        </w:rPr>
        <w:t>Phycom</w:t>
      </w:r>
      <w:proofErr w:type="spellEnd"/>
      <w:r>
        <w:rPr>
          <w:sz w:val="20"/>
          <w:szCs w:val="20"/>
          <w:lang w:val="en-GB"/>
        </w:rPr>
        <w:t>.</w:t>
      </w:r>
    </w:p>
    <w:p w14:paraId="638B9272" w14:textId="1DE8E3EF" w:rsidR="009525B1" w:rsidRPr="00A91F42" w:rsidRDefault="00D135BF" w:rsidP="007C407E">
      <w:pPr>
        <w:pStyle w:val="Standard"/>
        <w:numPr>
          <w:ilvl w:val="1"/>
          <w:numId w:val="16"/>
        </w:numPr>
        <w:jc w:val="both"/>
        <w:rPr>
          <w:highlight w:val="black"/>
          <w:lang w:val="en-GB"/>
        </w:rPr>
      </w:pPr>
      <w:r w:rsidRPr="001363EF">
        <w:rPr>
          <w:sz w:val="20"/>
          <w:szCs w:val="20"/>
          <w:lang w:val="en-GB"/>
        </w:rPr>
        <w:t xml:space="preserve">The IMCAS may use the Material for non-commercial and/or research purposes. </w:t>
      </w:r>
      <w:r w:rsidR="00E93670" w:rsidRPr="00A91F42">
        <w:rPr>
          <w:sz w:val="20"/>
          <w:szCs w:val="20"/>
          <w:highlight w:val="black"/>
          <w:lang w:val="en-GB"/>
        </w:rPr>
        <w:t xml:space="preserve">Only after written prior consent of </w:t>
      </w:r>
      <w:proofErr w:type="spellStart"/>
      <w:r w:rsidR="00E93670" w:rsidRPr="00A91F42">
        <w:rPr>
          <w:sz w:val="20"/>
          <w:szCs w:val="20"/>
          <w:highlight w:val="black"/>
          <w:lang w:val="en-GB"/>
        </w:rPr>
        <w:t>Phycom</w:t>
      </w:r>
      <w:proofErr w:type="spellEnd"/>
      <w:r w:rsidR="00E93670" w:rsidRPr="00A91F42">
        <w:rPr>
          <w:sz w:val="20"/>
          <w:szCs w:val="20"/>
          <w:highlight w:val="black"/>
          <w:lang w:val="en-GB"/>
        </w:rPr>
        <w:t>, th</w:t>
      </w:r>
      <w:r w:rsidRPr="00A91F42">
        <w:rPr>
          <w:sz w:val="20"/>
          <w:szCs w:val="20"/>
          <w:highlight w:val="black"/>
          <w:lang w:val="en-GB"/>
        </w:rPr>
        <w:t>e IMCAS may provide the Material for such purposes to third parties</w:t>
      </w:r>
      <w:r w:rsidR="00E93670" w:rsidRPr="00A91F42">
        <w:rPr>
          <w:sz w:val="20"/>
          <w:szCs w:val="20"/>
          <w:highlight w:val="black"/>
          <w:lang w:val="en-GB"/>
        </w:rPr>
        <w:t>.</w:t>
      </w:r>
    </w:p>
    <w:p w14:paraId="0B3CBCD8" w14:textId="6AB6BEAC" w:rsidR="009525B1" w:rsidRPr="00A91F42" w:rsidRDefault="00D135BF" w:rsidP="007C407E">
      <w:pPr>
        <w:pStyle w:val="Standard"/>
        <w:numPr>
          <w:ilvl w:val="1"/>
          <w:numId w:val="18"/>
        </w:numPr>
        <w:jc w:val="both"/>
        <w:rPr>
          <w:highlight w:val="black"/>
          <w:lang w:val="en-GB"/>
        </w:rPr>
      </w:pPr>
      <w:proofErr w:type="spellStart"/>
      <w:r w:rsidRPr="00A91F42">
        <w:rPr>
          <w:sz w:val="20"/>
          <w:szCs w:val="20"/>
          <w:highlight w:val="black"/>
          <w:lang w:val="en-GB"/>
        </w:rPr>
        <w:t>Phycom’s</w:t>
      </w:r>
      <w:proofErr w:type="spellEnd"/>
      <w:r w:rsidRPr="00A91F42">
        <w:rPr>
          <w:sz w:val="20"/>
          <w:szCs w:val="20"/>
          <w:highlight w:val="black"/>
          <w:lang w:val="en-GB"/>
        </w:rPr>
        <w:t xml:space="preserve"> exclusive rights to the Material shall cease if </w:t>
      </w:r>
      <w:proofErr w:type="spellStart"/>
      <w:r w:rsidRPr="00A91F42">
        <w:rPr>
          <w:sz w:val="20"/>
          <w:szCs w:val="20"/>
          <w:highlight w:val="black"/>
          <w:lang w:val="en-GB"/>
        </w:rPr>
        <w:t>Phycom</w:t>
      </w:r>
      <w:proofErr w:type="spellEnd"/>
      <w:r w:rsidRPr="00A91F42">
        <w:rPr>
          <w:sz w:val="20"/>
          <w:szCs w:val="20"/>
          <w:highlight w:val="black"/>
          <w:lang w:val="en-GB"/>
        </w:rPr>
        <w:t xml:space="preserve"> has not used the Material commercially, nor has it shown reasonable efforts in this respect, for a period of 48 months;</w:t>
      </w:r>
      <w:r w:rsidR="00783BB8" w:rsidRPr="00A91F42">
        <w:rPr>
          <w:sz w:val="20"/>
          <w:szCs w:val="20"/>
          <w:highlight w:val="black"/>
          <w:lang w:val="en-GB"/>
        </w:rPr>
        <w:t xml:space="preserve"> </w:t>
      </w:r>
      <w:proofErr w:type="spellStart"/>
      <w:r w:rsidR="00783BB8" w:rsidRPr="00A91F42">
        <w:rPr>
          <w:sz w:val="20"/>
          <w:szCs w:val="20"/>
          <w:highlight w:val="black"/>
          <w:lang w:val="en-GB"/>
        </w:rPr>
        <w:t>Phycom</w:t>
      </w:r>
      <w:proofErr w:type="spellEnd"/>
      <w:r w:rsidR="00783BB8" w:rsidRPr="00A91F42">
        <w:rPr>
          <w:sz w:val="20"/>
          <w:szCs w:val="20"/>
          <w:highlight w:val="black"/>
          <w:lang w:val="en-GB"/>
        </w:rPr>
        <w:t xml:space="preserve"> shall provide the IMCAS</w:t>
      </w:r>
      <w:r w:rsidRPr="00A91F42">
        <w:rPr>
          <w:sz w:val="20"/>
          <w:szCs w:val="20"/>
          <w:highlight w:val="black"/>
          <w:lang w:val="en-GB"/>
        </w:rPr>
        <w:t xml:space="preserve"> </w:t>
      </w:r>
      <w:r w:rsidR="00783BB8" w:rsidRPr="00A91F42">
        <w:rPr>
          <w:sz w:val="20"/>
          <w:szCs w:val="20"/>
          <w:highlight w:val="black"/>
          <w:lang w:val="en-GB"/>
        </w:rPr>
        <w:t xml:space="preserve">with information and evidence demonstrating its commercialisation efforts in due time. </w:t>
      </w:r>
      <w:r w:rsidRPr="00A91F42">
        <w:rPr>
          <w:sz w:val="20"/>
          <w:szCs w:val="20"/>
          <w:highlight w:val="black"/>
          <w:lang w:val="en-GB"/>
        </w:rPr>
        <w:t xml:space="preserve">In such cases, the exclusive rights shall cease upon the IMCAS’s written notice is served on </w:t>
      </w:r>
      <w:proofErr w:type="spellStart"/>
      <w:r w:rsidRPr="00A91F42">
        <w:rPr>
          <w:sz w:val="20"/>
          <w:szCs w:val="20"/>
          <w:highlight w:val="black"/>
          <w:lang w:val="en-GB"/>
        </w:rPr>
        <w:t>Phycom</w:t>
      </w:r>
      <w:proofErr w:type="spellEnd"/>
      <w:r w:rsidRPr="00A91F42">
        <w:rPr>
          <w:sz w:val="20"/>
          <w:szCs w:val="20"/>
          <w:highlight w:val="black"/>
          <w:lang w:val="en-GB"/>
        </w:rPr>
        <w:t xml:space="preserve">. The termination of exclusive rights has no effect on the right of </w:t>
      </w:r>
      <w:proofErr w:type="spellStart"/>
      <w:r w:rsidRPr="00A91F42">
        <w:rPr>
          <w:sz w:val="20"/>
          <w:szCs w:val="20"/>
          <w:highlight w:val="black"/>
          <w:lang w:val="en-GB"/>
        </w:rPr>
        <w:t>Phycom</w:t>
      </w:r>
      <w:proofErr w:type="spellEnd"/>
      <w:r w:rsidRPr="00A91F42">
        <w:rPr>
          <w:sz w:val="20"/>
          <w:szCs w:val="20"/>
          <w:highlight w:val="black"/>
          <w:lang w:val="en-GB"/>
        </w:rPr>
        <w:t xml:space="preserve"> to continue to use the Material on a non-exclusive basis.</w:t>
      </w:r>
    </w:p>
    <w:p w14:paraId="342566A3" w14:textId="77777777" w:rsidR="009525B1" w:rsidRPr="00A91F42" w:rsidRDefault="00D135BF" w:rsidP="007C407E">
      <w:pPr>
        <w:pStyle w:val="Standard"/>
        <w:numPr>
          <w:ilvl w:val="1"/>
          <w:numId w:val="19"/>
        </w:numPr>
        <w:jc w:val="both"/>
        <w:rPr>
          <w:highlight w:val="black"/>
          <w:lang w:val="en-GB"/>
        </w:rPr>
      </w:pPr>
      <w:r w:rsidRPr="00A91F42">
        <w:rPr>
          <w:sz w:val="20"/>
          <w:szCs w:val="20"/>
          <w:highlight w:val="black"/>
          <w:lang w:val="en-GB"/>
        </w:rPr>
        <w:t>Given the experimental nature of the Material, The IMCAS makes no representation and gives no warranty or undertaking, in relation to the Material. As examples, but without limiting the foregoing, the IMCAS gives no warranty that:</w:t>
      </w:r>
    </w:p>
    <w:p w14:paraId="19DF4F96" w14:textId="40534061" w:rsidR="009525B1" w:rsidRPr="00A91F42" w:rsidRDefault="00D135BF" w:rsidP="007C407E">
      <w:pPr>
        <w:pStyle w:val="Standard"/>
        <w:numPr>
          <w:ilvl w:val="2"/>
          <w:numId w:val="20"/>
        </w:numPr>
        <w:jc w:val="both"/>
        <w:rPr>
          <w:highlight w:val="black"/>
          <w:lang w:val="en-GB"/>
        </w:rPr>
      </w:pPr>
      <w:r w:rsidRPr="00A91F42">
        <w:rPr>
          <w:sz w:val="20"/>
          <w:szCs w:val="20"/>
          <w:highlight w:val="black"/>
          <w:lang w:val="en-GB"/>
        </w:rPr>
        <w:t>it owns all necessary property and other rights in the Material and that its use will not infringe any patent, copyright, trademark or other right owned by any third party, or</w:t>
      </w:r>
    </w:p>
    <w:p w14:paraId="26FCF533" w14:textId="77777777" w:rsidR="009525B1" w:rsidRPr="00A91F42" w:rsidRDefault="00D135BF" w:rsidP="007C407E">
      <w:pPr>
        <w:pStyle w:val="Standard"/>
        <w:numPr>
          <w:ilvl w:val="2"/>
          <w:numId w:val="21"/>
        </w:numPr>
        <w:jc w:val="both"/>
        <w:rPr>
          <w:highlight w:val="black"/>
          <w:lang w:val="en-GB"/>
        </w:rPr>
      </w:pPr>
      <w:r w:rsidRPr="00A91F42">
        <w:rPr>
          <w:sz w:val="20"/>
          <w:szCs w:val="20"/>
          <w:highlight w:val="black"/>
          <w:lang w:val="en-GB"/>
        </w:rPr>
        <w:t>the Material is of merchantable or satisfactory quality or fit for any particular purpose, has been developed with reasonable care and skill or tested, for the presence of pathogens or otherwise, or is viable, safe, or non-toxic.</w:t>
      </w:r>
    </w:p>
    <w:p w14:paraId="515778D9" w14:textId="77777777" w:rsidR="009525B1" w:rsidRDefault="00D135BF" w:rsidP="007C407E">
      <w:pPr>
        <w:pStyle w:val="Standard"/>
        <w:numPr>
          <w:ilvl w:val="1"/>
          <w:numId w:val="22"/>
        </w:numPr>
        <w:jc w:val="both"/>
        <w:rPr>
          <w:lang w:val="en-GB"/>
        </w:rPr>
      </w:pPr>
      <w:proofErr w:type="spellStart"/>
      <w:r>
        <w:rPr>
          <w:sz w:val="20"/>
          <w:szCs w:val="20"/>
          <w:lang w:val="en-GB"/>
        </w:rPr>
        <w:t>Phycom</w:t>
      </w:r>
      <w:proofErr w:type="spellEnd"/>
    </w:p>
    <w:p w14:paraId="23C3F613" w14:textId="5E621762" w:rsidR="009525B1" w:rsidRPr="00A91F42" w:rsidRDefault="00D135BF" w:rsidP="007C407E">
      <w:pPr>
        <w:pStyle w:val="Standard"/>
        <w:numPr>
          <w:ilvl w:val="2"/>
          <w:numId w:val="23"/>
        </w:numPr>
        <w:jc w:val="both"/>
        <w:rPr>
          <w:highlight w:val="black"/>
          <w:lang w:val="en-GB"/>
        </w:rPr>
      </w:pPr>
      <w:r w:rsidRPr="00A91F42">
        <w:rPr>
          <w:sz w:val="20"/>
          <w:szCs w:val="20"/>
          <w:highlight w:val="black"/>
          <w:lang w:val="en-GB"/>
        </w:rPr>
        <w:t xml:space="preserve">warrants that the Material will be used in compliance with all applicable laws, </w:t>
      </w:r>
      <w:proofErr w:type="gramStart"/>
      <w:r w:rsidRPr="00A91F42">
        <w:rPr>
          <w:sz w:val="20"/>
          <w:szCs w:val="20"/>
          <w:highlight w:val="black"/>
          <w:lang w:val="en-GB"/>
        </w:rPr>
        <w:t>regulations</w:t>
      </w:r>
      <w:proofErr w:type="gramEnd"/>
      <w:r w:rsidRPr="00A91F42">
        <w:rPr>
          <w:sz w:val="20"/>
          <w:szCs w:val="20"/>
          <w:highlight w:val="black"/>
          <w:lang w:val="en-GB"/>
        </w:rPr>
        <w:t xml:space="preserve"> and guidelines in force from time to time (including, when applicable, Good Laboratory Practice)</w:t>
      </w:r>
      <w:r w:rsidR="00EB1D45" w:rsidRPr="00A91F42">
        <w:rPr>
          <w:sz w:val="20"/>
          <w:szCs w:val="20"/>
          <w:highlight w:val="black"/>
          <w:lang w:val="en-GB"/>
        </w:rPr>
        <w:t>,</w:t>
      </w:r>
    </w:p>
    <w:p w14:paraId="2FC3F731" w14:textId="759A6C56" w:rsidR="009525B1" w:rsidRPr="00A91F42" w:rsidRDefault="00D135BF" w:rsidP="007C407E">
      <w:pPr>
        <w:pStyle w:val="Standard"/>
        <w:numPr>
          <w:ilvl w:val="2"/>
          <w:numId w:val="24"/>
        </w:numPr>
        <w:jc w:val="both"/>
        <w:rPr>
          <w:highlight w:val="black"/>
          <w:lang w:val="en-GB"/>
        </w:rPr>
      </w:pPr>
      <w:r w:rsidRPr="00A91F42">
        <w:rPr>
          <w:sz w:val="20"/>
          <w:szCs w:val="20"/>
          <w:highlight w:val="black"/>
          <w:lang w:val="en-GB"/>
        </w:rPr>
        <w:t>assures that within its laboratory access to the Material will be restricted to personnel capable and qualified to safely handle said Material and shall exercise the necessary care (considering the specific characteristics of the Material) to maintain and use it with appropriate precautions to minimise any risk of harm to persons, property, and the environment, and to safeguard it from theft or misuse.</w:t>
      </w:r>
    </w:p>
    <w:p w14:paraId="0BEEE6CD" w14:textId="77777777" w:rsidR="009525B1" w:rsidRPr="00A91F42" w:rsidRDefault="00D135BF" w:rsidP="007C407E">
      <w:pPr>
        <w:pStyle w:val="Standard"/>
        <w:numPr>
          <w:ilvl w:val="1"/>
          <w:numId w:val="25"/>
        </w:numPr>
        <w:jc w:val="both"/>
        <w:rPr>
          <w:highlight w:val="black"/>
          <w:lang w:val="en-GB"/>
        </w:rPr>
      </w:pPr>
      <w:proofErr w:type="spellStart"/>
      <w:r w:rsidRPr="00A91F42">
        <w:rPr>
          <w:sz w:val="20"/>
          <w:szCs w:val="20"/>
          <w:highlight w:val="black"/>
          <w:lang w:val="en-GB"/>
        </w:rPr>
        <w:t>Phycom</w:t>
      </w:r>
      <w:proofErr w:type="spellEnd"/>
      <w:r w:rsidRPr="00A91F42">
        <w:rPr>
          <w:sz w:val="20"/>
          <w:szCs w:val="20"/>
          <w:highlight w:val="black"/>
          <w:lang w:val="en-GB"/>
        </w:rPr>
        <w:t xml:space="preserve"> agrees to acknowledge the IMCAS as the source of the Material in </w:t>
      </w:r>
      <w:proofErr w:type="gramStart"/>
      <w:r w:rsidRPr="00A91F42">
        <w:rPr>
          <w:sz w:val="20"/>
          <w:szCs w:val="20"/>
          <w:highlight w:val="black"/>
          <w:lang w:val="en-GB"/>
        </w:rPr>
        <w:t>any and all</w:t>
      </w:r>
      <w:proofErr w:type="gramEnd"/>
      <w:r w:rsidRPr="00A91F42">
        <w:rPr>
          <w:sz w:val="20"/>
          <w:szCs w:val="20"/>
          <w:highlight w:val="black"/>
          <w:lang w:val="en-GB"/>
        </w:rPr>
        <w:t xml:space="preserve"> relevant publications that reference the Material.</w:t>
      </w:r>
    </w:p>
    <w:p w14:paraId="6718EB56" w14:textId="77777777" w:rsidR="009525B1" w:rsidRDefault="009525B1">
      <w:pPr>
        <w:pStyle w:val="Standard"/>
        <w:rPr>
          <w:sz w:val="20"/>
          <w:szCs w:val="20"/>
          <w:lang w:val="en-GB"/>
        </w:rPr>
      </w:pPr>
    </w:p>
    <w:p w14:paraId="42092A2B" w14:textId="77777777" w:rsidR="009525B1" w:rsidRDefault="00D135BF" w:rsidP="007C407E">
      <w:pPr>
        <w:pStyle w:val="Standard"/>
        <w:numPr>
          <w:ilvl w:val="0"/>
          <w:numId w:val="26"/>
        </w:numPr>
        <w:jc w:val="center"/>
        <w:rPr>
          <w:lang w:val="en-GB"/>
        </w:rPr>
      </w:pPr>
      <w:r>
        <w:rPr>
          <w:b/>
          <w:sz w:val="20"/>
          <w:szCs w:val="20"/>
          <w:lang w:val="en-GB"/>
        </w:rPr>
        <w:t>Costs and Fees</w:t>
      </w:r>
    </w:p>
    <w:p w14:paraId="1751B816" w14:textId="2A2C899E" w:rsidR="009525B1" w:rsidRDefault="00D135BF" w:rsidP="006E300D">
      <w:pPr>
        <w:pStyle w:val="Standard"/>
        <w:numPr>
          <w:ilvl w:val="1"/>
          <w:numId w:val="27"/>
        </w:numPr>
        <w:jc w:val="both"/>
        <w:rPr>
          <w:lang w:val="en-GB"/>
        </w:rPr>
      </w:pPr>
      <w:proofErr w:type="spellStart"/>
      <w:r>
        <w:rPr>
          <w:sz w:val="20"/>
          <w:szCs w:val="20"/>
          <w:lang w:val="en-GB"/>
        </w:rPr>
        <w:t>Phycom</w:t>
      </w:r>
      <w:proofErr w:type="spellEnd"/>
      <w:r>
        <w:rPr>
          <w:sz w:val="20"/>
          <w:szCs w:val="20"/>
          <w:lang w:val="en-GB"/>
        </w:rPr>
        <w:t xml:space="preserve"> shall pay the IMCAS the fee of 15.000, - EUR </w:t>
      </w:r>
      <w:r w:rsidR="00281CB0" w:rsidRPr="001363EF">
        <w:rPr>
          <w:sz w:val="20"/>
          <w:szCs w:val="20"/>
          <w:lang w:val="en-GB"/>
        </w:rPr>
        <w:t xml:space="preserve">by </w:t>
      </w:r>
      <w:r w:rsidR="00AA0983" w:rsidRPr="001363EF">
        <w:rPr>
          <w:sz w:val="20"/>
          <w:szCs w:val="20"/>
          <w:lang w:val="en-GB"/>
        </w:rPr>
        <w:t>30th</w:t>
      </w:r>
      <w:r w:rsidR="00281CB0" w:rsidRPr="001363EF">
        <w:rPr>
          <w:sz w:val="20"/>
          <w:szCs w:val="20"/>
          <w:lang w:val="en-GB"/>
        </w:rPr>
        <w:t xml:space="preserve"> </w:t>
      </w:r>
      <w:r w:rsidR="00AA0983" w:rsidRPr="001363EF">
        <w:rPr>
          <w:sz w:val="20"/>
          <w:szCs w:val="20"/>
          <w:lang w:val="en-GB"/>
        </w:rPr>
        <w:t>November</w:t>
      </w:r>
      <w:r w:rsidR="00281CB0" w:rsidRPr="001363EF">
        <w:rPr>
          <w:sz w:val="20"/>
          <w:szCs w:val="20"/>
          <w:lang w:val="en-GB"/>
        </w:rPr>
        <w:t xml:space="preserve"> 2023</w:t>
      </w:r>
      <w:r w:rsidR="006E300D">
        <w:rPr>
          <w:sz w:val="20"/>
          <w:szCs w:val="20"/>
          <w:lang w:val="en-GB"/>
        </w:rPr>
        <w:t xml:space="preserve"> </w:t>
      </w:r>
      <w:r>
        <w:rPr>
          <w:sz w:val="20"/>
          <w:szCs w:val="20"/>
          <w:lang w:val="en-GB"/>
        </w:rPr>
        <w:t xml:space="preserve">(hereinafter </w:t>
      </w:r>
      <w:r>
        <w:rPr>
          <w:b/>
          <w:i/>
          <w:sz w:val="20"/>
          <w:szCs w:val="20"/>
          <w:lang w:val="en-GB"/>
        </w:rPr>
        <w:t>the Fees</w:t>
      </w:r>
      <w:r>
        <w:rPr>
          <w:sz w:val="20"/>
          <w:szCs w:val="20"/>
          <w:lang w:val="en-GB"/>
        </w:rPr>
        <w:t>).</w:t>
      </w:r>
    </w:p>
    <w:p w14:paraId="350FECC0" w14:textId="0C3B3983" w:rsidR="009525B1" w:rsidRPr="00A91F42" w:rsidRDefault="00D135BF" w:rsidP="007C407E">
      <w:pPr>
        <w:pStyle w:val="Standard"/>
        <w:numPr>
          <w:ilvl w:val="1"/>
          <w:numId w:val="31"/>
        </w:numPr>
        <w:jc w:val="both"/>
        <w:rPr>
          <w:highlight w:val="black"/>
          <w:lang w:val="en-GB"/>
        </w:rPr>
      </w:pPr>
      <w:r w:rsidRPr="00A91F42">
        <w:rPr>
          <w:sz w:val="20"/>
          <w:szCs w:val="20"/>
          <w:highlight w:val="black"/>
          <w:lang w:val="en-GB"/>
        </w:rPr>
        <w:t xml:space="preserve">Should </w:t>
      </w:r>
      <w:proofErr w:type="spellStart"/>
      <w:r w:rsidRPr="00A91F42">
        <w:rPr>
          <w:sz w:val="20"/>
          <w:szCs w:val="20"/>
          <w:highlight w:val="black"/>
          <w:lang w:val="en-GB"/>
        </w:rPr>
        <w:t>Phycom</w:t>
      </w:r>
      <w:proofErr w:type="spellEnd"/>
      <w:r w:rsidRPr="00A91F42">
        <w:rPr>
          <w:sz w:val="20"/>
          <w:szCs w:val="20"/>
          <w:highlight w:val="black"/>
          <w:lang w:val="en-GB"/>
        </w:rPr>
        <w:t xml:space="preserve"> request the Patent’s prolongation, </w:t>
      </w:r>
      <w:proofErr w:type="spellStart"/>
      <w:r w:rsidRPr="00A91F42">
        <w:rPr>
          <w:sz w:val="20"/>
          <w:szCs w:val="20"/>
          <w:highlight w:val="black"/>
          <w:lang w:val="en-GB"/>
        </w:rPr>
        <w:t>Phycom</w:t>
      </w:r>
      <w:proofErr w:type="spellEnd"/>
      <w:r w:rsidRPr="00A91F42">
        <w:rPr>
          <w:sz w:val="20"/>
          <w:szCs w:val="20"/>
          <w:highlight w:val="black"/>
          <w:lang w:val="en-GB"/>
        </w:rPr>
        <w:t xml:space="preserve"> shall reimburse the Patent maintenance fees paid by the IMCAS starting from 16th December 2023, within 30 days following </w:t>
      </w:r>
      <w:proofErr w:type="spellStart"/>
      <w:r w:rsidRPr="00A91F42">
        <w:rPr>
          <w:sz w:val="20"/>
          <w:szCs w:val="20"/>
          <w:highlight w:val="black"/>
          <w:lang w:val="en-GB"/>
        </w:rPr>
        <w:t>Phycom’s</w:t>
      </w:r>
      <w:proofErr w:type="spellEnd"/>
      <w:r w:rsidRPr="00A91F42">
        <w:rPr>
          <w:sz w:val="20"/>
          <w:szCs w:val="20"/>
          <w:highlight w:val="black"/>
          <w:lang w:val="en-GB"/>
        </w:rPr>
        <w:t xml:space="preserve"> receipt of the IMCAS’s invoice.</w:t>
      </w:r>
    </w:p>
    <w:p w14:paraId="3EFA438A" w14:textId="0B213506" w:rsidR="009525B1" w:rsidRPr="00A91F42" w:rsidRDefault="00D135BF" w:rsidP="00A62DC2">
      <w:pPr>
        <w:pStyle w:val="Standard"/>
        <w:numPr>
          <w:ilvl w:val="1"/>
          <w:numId w:val="32"/>
        </w:numPr>
        <w:jc w:val="both"/>
        <w:rPr>
          <w:highlight w:val="black"/>
          <w:lang w:val="en-GB"/>
        </w:rPr>
      </w:pPr>
      <w:proofErr w:type="spellStart"/>
      <w:r w:rsidRPr="00A91F42">
        <w:rPr>
          <w:sz w:val="20"/>
          <w:szCs w:val="20"/>
          <w:highlight w:val="black"/>
          <w:lang w:val="en-GB"/>
        </w:rPr>
        <w:t>Phycom</w:t>
      </w:r>
      <w:proofErr w:type="spellEnd"/>
      <w:r w:rsidRPr="00A91F42">
        <w:rPr>
          <w:sz w:val="20"/>
          <w:szCs w:val="20"/>
          <w:highlight w:val="black"/>
          <w:lang w:val="en-GB"/>
        </w:rPr>
        <w:t xml:space="preserve"> shall pay the Fees and the invoices to the IMCAS’s bank account: </w:t>
      </w:r>
      <w:r w:rsidR="00A62DC2" w:rsidRPr="00A91F42">
        <w:rPr>
          <w:sz w:val="20"/>
          <w:szCs w:val="20"/>
          <w:highlight w:val="black"/>
          <w:lang w:val="en-GB"/>
        </w:rPr>
        <w:t>IBAN: CZ76 0100 0000 0022 4666 0227</w:t>
      </w:r>
      <w:r w:rsidRPr="00A91F42">
        <w:rPr>
          <w:sz w:val="20"/>
          <w:szCs w:val="20"/>
          <w:highlight w:val="black"/>
          <w:lang w:val="en-GB"/>
        </w:rPr>
        <w:t>.</w:t>
      </w:r>
    </w:p>
    <w:p w14:paraId="7B7AD561" w14:textId="4940B4D3" w:rsidR="0013535D" w:rsidRPr="00A91F42" w:rsidRDefault="0013535D" w:rsidP="007C407E">
      <w:pPr>
        <w:pStyle w:val="Standard"/>
        <w:numPr>
          <w:ilvl w:val="1"/>
          <w:numId w:val="32"/>
        </w:numPr>
        <w:jc w:val="both"/>
        <w:rPr>
          <w:highlight w:val="black"/>
          <w:lang w:val="en-GB"/>
        </w:rPr>
      </w:pPr>
      <w:r w:rsidRPr="00A91F42">
        <w:rPr>
          <w:sz w:val="20"/>
          <w:szCs w:val="20"/>
          <w:highlight w:val="black"/>
          <w:lang w:val="en-GB"/>
        </w:rPr>
        <w:t>The Fees are stipulated without VAT and will be invoiced in the reverse charge regime.</w:t>
      </w:r>
    </w:p>
    <w:p w14:paraId="21FDCB0B" w14:textId="77777777" w:rsidR="009525B1" w:rsidRDefault="009525B1">
      <w:pPr>
        <w:pStyle w:val="Standard"/>
        <w:rPr>
          <w:sz w:val="20"/>
          <w:szCs w:val="20"/>
          <w:lang w:val="en-GB"/>
        </w:rPr>
      </w:pPr>
    </w:p>
    <w:p w14:paraId="20632A88" w14:textId="77777777" w:rsidR="009525B1" w:rsidRDefault="00D135BF" w:rsidP="007C407E">
      <w:pPr>
        <w:pStyle w:val="Standard"/>
        <w:numPr>
          <w:ilvl w:val="0"/>
          <w:numId w:val="33"/>
        </w:numPr>
        <w:jc w:val="center"/>
        <w:rPr>
          <w:lang w:val="en-GB"/>
        </w:rPr>
      </w:pPr>
      <w:r>
        <w:rPr>
          <w:b/>
          <w:sz w:val="20"/>
          <w:szCs w:val="20"/>
          <w:lang w:val="en-GB"/>
        </w:rPr>
        <w:t>Confidentiality</w:t>
      </w:r>
    </w:p>
    <w:p w14:paraId="17636C77" w14:textId="77777777" w:rsidR="009525B1" w:rsidRDefault="00D135BF" w:rsidP="007C407E">
      <w:pPr>
        <w:pStyle w:val="Standard"/>
        <w:numPr>
          <w:ilvl w:val="1"/>
          <w:numId w:val="34"/>
        </w:numPr>
        <w:jc w:val="both"/>
        <w:rPr>
          <w:lang w:val="en-GB"/>
        </w:rPr>
      </w:pPr>
      <w:r>
        <w:rPr>
          <w:sz w:val="20"/>
          <w:szCs w:val="20"/>
          <w:lang w:val="en-GB"/>
        </w:rPr>
        <w:lastRenderedPageBreak/>
        <w:t xml:space="preserve">Either Party (hereinafter </w:t>
      </w:r>
      <w:r>
        <w:rPr>
          <w:b/>
          <w:i/>
          <w:sz w:val="20"/>
          <w:szCs w:val="20"/>
          <w:lang w:val="en-GB"/>
        </w:rPr>
        <w:t>the Discloser</w:t>
      </w:r>
      <w:r>
        <w:rPr>
          <w:sz w:val="20"/>
          <w:szCs w:val="20"/>
          <w:lang w:val="en-GB"/>
        </w:rPr>
        <w:t xml:space="preserve">) may </w:t>
      </w:r>
      <w:proofErr w:type="gramStart"/>
      <w:r>
        <w:rPr>
          <w:sz w:val="20"/>
          <w:szCs w:val="20"/>
          <w:lang w:val="en-GB"/>
        </w:rPr>
        <w:t>in the course of</w:t>
      </w:r>
      <w:proofErr w:type="gramEnd"/>
      <w:r>
        <w:rPr>
          <w:sz w:val="20"/>
          <w:szCs w:val="20"/>
          <w:lang w:val="en-GB"/>
        </w:rPr>
        <w:t xml:space="preserve"> mutual collaboration disclose to the other Party (hereinafter </w:t>
      </w:r>
      <w:r>
        <w:rPr>
          <w:b/>
          <w:i/>
          <w:sz w:val="20"/>
          <w:szCs w:val="20"/>
          <w:lang w:val="en-GB"/>
        </w:rPr>
        <w:t>the Recipient</w:t>
      </w:r>
      <w:r>
        <w:rPr>
          <w:sz w:val="20"/>
          <w:szCs w:val="20"/>
          <w:lang w:val="en-GB"/>
        </w:rPr>
        <w:t xml:space="preserve">) information that the Discloser considers to be confidential (hereinafter </w:t>
      </w:r>
      <w:r>
        <w:rPr>
          <w:b/>
          <w:i/>
          <w:sz w:val="20"/>
          <w:szCs w:val="20"/>
          <w:lang w:val="en-GB"/>
        </w:rPr>
        <w:t>the Confidential Information</w:t>
      </w:r>
      <w:r>
        <w:rPr>
          <w:sz w:val="20"/>
          <w:szCs w:val="20"/>
          <w:lang w:val="en-GB"/>
        </w:rPr>
        <w:t>).</w:t>
      </w:r>
    </w:p>
    <w:p w14:paraId="5C44C887" w14:textId="77777777" w:rsidR="009525B1" w:rsidRDefault="00D135BF" w:rsidP="007C407E">
      <w:pPr>
        <w:pStyle w:val="Standard"/>
        <w:numPr>
          <w:ilvl w:val="1"/>
          <w:numId w:val="35"/>
        </w:numPr>
        <w:jc w:val="both"/>
        <w:rPr>
          <w:lang w:val="en-GB"/>
        </w:rPr>
      </w:pPr>
      <w:r>
        <w:rPr>
          <w:sz w:val="20"/>
          <w:szCs w:val="20"/>
          <w:lang w:val="en-GB"/>
        </w:rPr>
        <w:t xml:space="preserve">The Parties shall treat as the Confidential Information any and all information disclosed by the Discloser in course of the Parties’ negotiations and collaboration as long as the </w:t>
      </w:r>
      <w:proofErr w:type="gramStart"/>
      <w:r>
        <w:rPr>
          <w:sz w:val="20"/>
          <w:szCs w:val="20"/>
          <w:lang w:val="en-GB"/>
        </w:rPr>
        <w:t>information</w:t>
      </w:r>
      <w:proofErr w:type="gramEnd"/>
    </w:p>
    <w:p w14:paraId="55CDBED4" w14:textId="77777777" w:rsidR="009525B1" w:rsidRDefault="00D135BF" w:rsidP="007C407E">
      <w:pPr>
        <w:pStyle w:val="Standard"/>
        <w:numPr>
          <w:ilvl w:val="2"/>
          <w:numId w:val="36"/>
        </w:numPr>
        <w:jc w:val="both"/>
        <w:rPr>
          <w:lang w:val="en-GB"/>
        </w:rPr>
      </w:pPr>
      <w:r>
        <w:rPr>
          <w:sz w:val="20"/>
          <w:szCs w:val="20"/>
          <w:lang w:val="en-GB"/>
        </w:rPr>
        <w:t>is classified (identified) by the Discloser as confidential or</w:t>
      </w:r>
    </w:p>
    <w:p w14:paraId="511EB869" w14:textId="77777777" w:rsidR="009525B1" w:rsidRDefault="00D135BF" w:rsidP="007C407E">
      <w:pPr>
        <w:pStyle w:val="Standard"/>
        <w:numPr>
          <w:ilvl w:val="2"/>
          <w:numId w:val="37"/>
        </w:numPr>
        <w:jc w:val="both"/>
        <w:rPr>
          <w:lang w:val="en-GB"/>
        </w:rPr>
      </w:pPr>
      <w:r>
        <w:rPr>
          <w:sz w:val="20"/>
          <w:szCs w:val="20"/>
          <w:lang w:val="en-GB"/>
        </w:rPr>
        <w:t>is considered a trade secret.</w:t>
      </w:r>
    </w:p>
    <w:p w14:paraId="2295757A" w14:textId="77777777" w:rsidR="009525B1" w:rsidRDefault="00D135BF" w:rsidP="007C407E">
      <w:pPr>
        <w:pStyle w:val="Standard"/>
        <w:numPr>
          <w:ilvl w:val="1"/>
          <w:numId w:val="38"/>
        </w:numPr>
        <w:jc w:val="both"/>
        <w:rPr>
          <w:lang w:val="en-GB"/>
        </w:rPr>
      </w:pPr>
      <w:r>
        <w:rPr>
          <w:sz w:val="20"/>
          <w:szCs w:val="20"/>
          <w:lang w:val="en-GB"/>
        </w:rPr>
        <w:t xml:space="preserve">The Recipient agrees to keep the Confidential Information in confidence, </w:t>
      </w:r>
      <w:proofErr w:type="gramStart"/>
      <w:r>
        <w:rPr>
          <w:sz w:val="20"/>
          <w:szCs w:val="20"/>
          <w:lang w:val="en-GB"/>
        </w:rPr>
        <w:t>in particular not</w:t>
      </w:r>
      <w:proofErr w:type="gramEnd"/>
      <w:r>
        <w:rPr>
          <w:sz w:val="20"/>
          <w:szCs w:val="20"/>
          <w:lang w:val="en-GB"/>
        </w:rPr>
        <w:t xml:space="preserve"> to reveal, disclose or make accessible the Confidential Information to any other party without the prior approval of the Discloser.</w:t>
      </w:r>
    </w:p>
    <w:p w14:paraId="5AC8A149" w14:textId="77777777" w:rsidR="009525B1" w:rsidRDefault="00D135BF" w:rsidP="007C407E">
      <w:pPr>
        <w:pStyle w:val="Standard"/>
        <w:numPr>
          <w:ilvl w:val="1"/>
          <w:numId w:val="39"/>
        </w:numPr>
        <w:jc w:val="both"/>
        <w:rPr>
          <w:lang w:val="en-GB"/>
        </w:rPr>
      </w:pPr>
      <w:r>
        <w:rPr>
          <w:sz w:val="20"/>
          <w:szCs w:val="20"/>
          <w:lang w:val="en-GB"/>
        </w:rPr>
        <w:t>The Recipient agrees to use the Confidential Information only for the agreed purpose and handle it with the professional standard of care.</w:t>
      </w:r>
    </w:p>
    <w:p w14:paraId="5DE050CC" w14:textId="77777777" w:rsidR="009525B1" w:rsidRDefault="00D135BF" w:rsidP="007C407E">
      <w:pPr>
        <w:pStyle w:val="Standard"/>
        <w:numPr>
          <w:ilvl w:val="1"/>
          <w:numId w:val="40"/>
        </w:numPr>
        <w:jc w:val="both"/>
        <w:rPr>
          <w:lang w:val="en-GB"/>
        </w:rPr>
      </w:pPr>
      <w:r>
        <w:rPr>
          <w:sz w:val="20"/>
          <w:szCs w:val="20"/>
          <w:lang w:val="en-GB"/>
        </w:rPr>
        <w:t>The duty of confidentiality does not apply to any information that:</w:t>
      </w:r>
    </w:p>
    <w:p w14:paraId="018895CE" w14:textId="77777777" w:rsidR="009525B1" w:rsidRDefault="00D135BF" w:rsidP="007C407E">
      <w:pPr>
        <w:pStyle w:val="Standard"/>
        <w:numPr>
          <w:ilvl w:val="2"/>
          <w:numId w:val="41"/>
        </w:numPr>
        <w:jc w:val="both"/>
        <w:rPr>
          <w:lang w:val="en-GB"/>
        </w:rPr>
      </w:pPr>
      <w:r>
        <w:rPr>
          <w:sz w:val="20"/>
          <w:szCs w:val="20"/>
          <w:lang w:val="en-GB"/>
        </w:rPr>
        <w:t xml:space="preserve">is publicly available at time of its disclosure to the </w:t>
      </w:r>
      <w:proofErr w:type="gramStart"/>
      <w:r>
        <w:rPr>
          <w:sz w:val="20"/>
          <w:szCs w:val="20"/>
          <w:lang w:val="en-GB"/>
        </w:rPr>
        <w:t>Recipient;</w:t>
      </w:r>
      <w:proofErr w:type="gramEnd"/>
    </w:p>
    <w:p w14:paraId="6FE79E54" w14:textId="77777777" w:rsidR="009525B1" w:rsidRDefault="00D135BF" w:rsidP="007C407E">
      <w:pPr>
        <w:pStyle w:val="Standard"/>
        <w:numPr>
          <w:ilvl w:val="2"/>
          <w:numId w:val="42"/>
        </w:numPr>
        <w:jc w:val="both"/>
        <w:rPr>
          <w:lang w:val="en-GB"/>
        </w:rPr>
      </w:pPr>
      <w:r>
        <w:rPr>
          <w:sz w:val="20"/>
          <w:szCs w:val="20"/>
          <w:lang w:val="en-GB"/>
        </w:rPr>
        <w:t xml:space="preserve">is published or made publicly available after having been disclosed to the Recipient, and not by any breach of contract by the </w:t>
      </w:r>
      <w:proofErr w:type="gramStart"/>
      <w:r>
        <w:rPr>
          <w:sz w:val="20"/>
          <w:szCs w:val="20"/>
          <w:lang w:val="en-GB"/>
        </w:rPr>
        <w:t>Recipient;</w:t>
      </w:r>
      <w:proofErr w:type="gramEnd"/>
    </w:p>
    <w:p w14:paraId="23B1F9F3" w14:textId="77777777" w:rsidR="009525B1" w:rsidRDefault="00D135BF" w:rsidP="007C407E">
      <w:pPr>
        <w:pStyle w:val="Standard"/>
        <w:numPr>
          <w:ilvl w:val="2"/>
          <w:numId w:val="43"/>
        </w:numPr>
        <w:jc w:val="both"/>
        <w:rPr>
          <w:lang w:val="en-GB"/>
        </w:rPr>
      </w:pPr>
      <w:r>
        <w:rPr>
          <w:sz w:val="20"/>
          <w:szCs w:val="20"/>
          <w:lang w:val="en-GB"/>
        </w:rPr>
        <w:t xml:space="preserve">the Discloser approved for publication by the </w:t>
      </w:r>
      <w:proofErr w:type="gramStart"/>
      <w:r>
        <w:rPr>
          <w:sz w:val="20"/>
          <w:szCs w:val="20"/>
          <w:lang w:val="en-GB"/>
        </w:rPr>
        <w:t>Recipient;</w:t>
      </w:r>
      <w:proofErr w:type="gramEnd"/>
    </w:p>
    <w:p w14:paraId="7DCEA0D6" w14:textId="77777777" w:rsidR="009525B1" w:rsidRDefault="00D135BF" w:rsidP="007C407E">
      <w:pPr>
        <w:pStyle w:val="Standard"/>
        <w:numPr>
          <w:ilvl w:val="2"/>
          <w:numId w:val="44"/>
        </w:numPr>
        <w:jc w:val="both"/>
        <w:rPr>
          <w:lang w:val="en-GB"/>
        </w:rPr>
      </w:pPr>
      <w:r>
        <w:rPr>
          <w:sz w:val="20"/>
          <w:szCs w:val="20"/>
          <w:lang w:val="en-GB"/>
        </w:rPr>
        <w:t xml:space="preserve">was already known to the Recipient before its disclosure by the Discloser, provided that the Recipient was not at that time bound by a duty of </w:t>
      </w:r>
      <w:proofErr w:type="gramStart"/>
      <w:r>
        <w:rPr>
          <w:sz w:val="20"/>
          <w:szCs w:val="20"/>
          <w:lang w:val="en-GB"/>
        </w:rPr>
        <w:t>confidentiality;</w:t>
      </w:r>
      <w:proofErr w:type="gramEnd"/>
    </w:p>
    <w:p w14:paraId="7AFD2F78" w14:textId="77777777" w:rsidR="009525B1" w:rsidRDefault="00D135BF" w:rsidP="007C407E">
      <w:pPr>
        <w:pStyle w:val="Standard"/>
        <w:numPr>
          <w:ilvl w:val="2"/>
          <w:numId w:val="45"/>
        </w:numPr>
        <w:jc w:val="both"/>
        <w:rPr>
          <w:lang w:val="en-GB"/>
        </w:rPr>
      </w:pPr>
      <w:r>
        <w:rPr>
          <w:sz w:val="20"/>
          <w:szCs w:val="20"/>
          <w:lang w:val="en-GB"/>
        </w:rPr>
        <w:t>is requested by a court or by an authority responsible for criminal proceedings or other public authority in accordance with the law, provided that the Confidential Information is disclosed only to the extent necessary to comply with the law.</w:t>
      </w:r>
    </w:p>
    <w:p w14:paraId="5E130701" w14:textId="77777777" w:rsidR="009525B1" w:rsidRDefault="00D135BF" w:rsidP="007C407E">
      <w:pPr>
        <w:pStyle w:val="Standard"/>
        <w:numPr>
          <w:ilvl w:val="1"/>
          <w:numId w:val="46"/>
        </w:numPr>
        <w:jc w:val="both"/>
        <w:rPr>
          <w:lang w:val="en-GB"/>
        </w:rPr>
      </w:pPr>
      <w:r>
        <w:rPr>
          <w:sz w:val="20"/>
          <w:szCs w:val="20"/>
          <w:lang w:val="en-GB"/>
        </w:rPr>
        <w:t xml:space="preserve">The Recipient may disclose the Confidential Information to its employees, contractors or agents that have a need to know </w:t>
      </w:r>
      <w:proofErr w:type="gramStart"/>
      <w:r>
        <w:rPr>
          <w:sz w:val="20"/>
          <w:szCs w:val="20"/>
          <w:lang w:val="en-GB"/>
        </w:rPr>
        <w:t>in order to</w:t>
      </w:r>
      <w:proofErr w:type="gramEnd"/>
      <w:r>
        <w:rPr>
          <w:sz w:val="20"/>
          <w:szCs w:val="20"/>
          <w:lang w:val="en-GB"/>
        </w:rPr>
        <w:t xml:space="preserve"> fulfil the aim of this Agreement or protect a legitimate interest of the Recipient. The Recipient shall ensure that each such person is informed of the Confidential Information’s confidential nature and is required to abide by a duty of confidentiality to the extent required by this Agreement.</w:t>
      </w:r>
    </w:p>
    <w:p w14:paraId="1B00874F" w14:textId="77777777" w:rsidR="009525B1" w:rsidRDefault="00D135BF" w:rsidP="007C407E">
      <w:pPr>
        <w:pStyle w:val="Standard"/>
        <w:numPr>
          <w:ilvl w:val="1"/>
          <w:numId w:val="47"/>
        </w:numPr>
        <w:jc w:val="both"/>
        <w:rPr>
          <w:lang w:val="en-GB"/>
        </w:rPr>
      </w:pPr>
      <w:r>
        <w:rPr>
          <w:sz w:val="20"/>
          <w:szCs w:val="20"/>
          <w:lang w:val="en-GB"/>
        </w:rPr>
        <w:t>In the event of a breach of confidentiality, the Recipient shall without undue delay notify the Discloser of the circumstances of the breach and the Confidential Information concerned and shall take all necessary steps to minimise the negative consequences of the breach.</w:t>
      </w:r>
    </w:p>
    <w:p w14:paraId="7E53A249" w14:textId="77777777" w:rsidR="009525B1" w:rsidRDefault="00D135BF" w:rsidP="007C407E">
      <w:pPr>
        <w:pStyle w:val="Standard"/>
        <w:numPr>
          <w:ilvl w:val="1"/>
          <w:numId w:val="48"/>
        </w:numPr>
        <w:jc w:val="both"/>
        <w:rPr>
          <w:lang w:val="en-GB"/>
        </w:rPr>
      </w:pPr>
      <w:r>
        <w:rPr>
          <w:sz w:val="20"/>
          <w:szCs w:val="20"/>
          <w:lang w:val="en-GB"/>
        </w:rPr>
        <w:t>Immediately upon the termination or expiration of this Agreement, or upon written request of the Discloser, the Recipient must immediately upon being so requested in writing by the Discloser, deliver to the Discloser the Confidential Information in its possession and all tangible items containing the Confidential Information or summaries thereof. Any part of the Confidential Information which cannot conveniently be returned to the Discloser by the Recipient must be destroyed in the manner that the Discloser directs.</w:t>
      </w:r>
    </w:p>
    <w:p w14:paraId="6985BA63" w14:textId="77777777" w:rsidR="009525B1" w:rsidRDefault="00D135BF" w:rsidP="007C407E">
      <w:pPr>
        <w:pStyle w:val="Standard"/>
        <w:numPr>
          <w:ilvl w:val="1"/>
          <w:numId w:val="49"/>
        </w:numPr>
        <w:jc w:val="both"/>
        <w:rPr>
          <w:lang w:val="en-GB"/>
        </w:rPr>
      </w:pPr>
      <w:r>
        <w:rPr>
          <w:sz w:val="20"/>
          <w:szCs w:val="20"/>
          <w:lang w:val="en-GB"/>
        </w:rPr>
        <w:t xml:space="preserve">The IMCAS may publish the information about the Parties’ cooperation, characteristics and use of the Material, history of its development etc. The IMCAS will provide the </w:t>
      </w:r>
      <w:proofErr w:type="spellStart"/>
      <w:r>
        <w:rPr>
          <w:sz w:val="20"/>
          <w:szCs w:val="20"/>
          <w:lang w:val="en-GB"/>
        </w:rPr>
        <w:t>Phycom</w:t>
      </w:r>
      <w:proofErr w:type="spellEnd"/>
      <w:r>
        <w:rPr>
          <w:sz w:val="20"/>
          <w:szCs w:val="20"/>
          <w:lang w:val="en-GB"/>
        </w:rPr>
        <w:t xml:space="preserve"> with the text intended for publication at least thirty (30) days prior to its publication for the purpose of enabling </w:t>
      </w:r>
      <w:proofErr w:type="spellStart"/>
      <w:r>
        <w:rPr>
          <w:sz w:val="20"/>
          <w:szCs w:val="20"/>
          <w:lang w:val="en-GB"/>
        </w:rPr>
        <w:t>Phycom</w:t>
      </w:r>
      <w:proofErr w:type="spellEnd"/>
      <w:r>
        <w:rPr>
          <w:sz w:val="20"/>
          <w:szCs w:val="20"/>
          <w:lang w:val="en-GB"/>
        </w:rPr>
        <w:t xml:space="preserve"> to review and provide comments. </w:t>
      </w:r>
      <w:proofErr w:type="spellStart"/>
      <w:r>
        <w:rPr>
          <w:sz w:val="20"/>
          <w:szCs w:val="20"/>
          <w:lang w:val="en-GB"/>
        </w:rPr>
        <w:t>Phycom</w:t>
      </w:r>
      <w:proofErr w:type="spellEnd"/>
      <w:r>
        <w:rPr>
          <w:sz w:val="20"/>
          <w:szCs w:val="20"/>
          <w:lang w:val="en-GB"/>
        </w:rPr>
        <w:t xml:space="preserve"> shall have the right to remove from the proposed text any information that is considered confidential and/or proprietary. If </w:t>
      </w:r>
      <w:proofErr w:type="spellStart"/>
      <w:r>
        <w:rPr>
          <w:sz w:val="20"/>
          <w:szCs w:val="20"/>
          <w:lang w:val="en-GB"/>
        </w:rPr>
        <w:t>Phycom</w:t>
      </w:r>
      <w:proofErr w:type="spellEnd"/>
      <w:r>
        <w:rPr>
          <w:sz w:val="20"/>
          <w:szCs w:val="20"/>
          <w:lang w:val="en-GB"/>
        </w:rPr>
        <w:t xml:space="preserve"> does not provide any comments or objections in time, the IMCAS is free to publish the text.</w:t>
      </w:r>
    </w:p>
    <w:p w14:paraId="4A4C4926" w14:textId="77777777" w:rsidR="009525B1" w:rsidRDefault="009525B1">
      <w:pPr>
        <w:pStyle w:val="Standard"/>
        <w:rPr>
          <w:sz w:val="20"/>
          <w:szCs w:val="20"/>
          <w:lang w:val="en-GB"/>
        </w:rPr>
      </w:pPr>
    </w:p>
    <w:p w14:paraId="6B9F00D5" w14:textId="77777777" w:rsidR="009525B1" w:rsidRDefault="00D135BF" w:rsidP="007C407E">
      <w:pPr>
        <w:pStyle w:val="Standard"/>
        <w:numPr>
          <w:ilvl w:val="0"/>
          <w:numId w:val="50"/>
        </w:numPr>
        <w:jc w:val="center"/>
        <w:rPr>
          <w:lang w:val="en-GB"/>
        </w:rPr>
      </w:pPr>
      <w:r>
        <w:rPr>
          <w:b/>
          <w:sz w:val="20"/>
          <w:szCs w:val="20"/>
          <w:lang w:val="en-GB"/>
        </w:rPr>
        <w:t>Duration and Termination of the Agreement</w:t>
      </w:r>
    </w:p>
    <w:p w14:paraId="0180AC54" w14:textId="77777777" w:rsidR="0076189E" w:rsidRPr="0076189E" w:rsidRDefault="00D135BF" w:rsidP="007C407E">
      <w:pPr>
        <w:pStyle w:val="Standard"/>
        <w:numPr>
          <w:ilvl w:val="1"/>
          <w:numId w:val="51"/>
        </w:numPr>
        <w:jc w:val="both"/>
        <w:rPr>
          <w:lang w:val="en-GB"/>
        </w:rPr>
      </w:pPr>
      <w:r>
        <w:rPr>
          <w:sz w:val="20"/>
          <w:szCs w:val="20"/>
          <w:lang w:val="en-GB"/>
        </w:rPr>
        <w:t>The Agreement will take effect upon signature of both Parties and shall remain in effect for an indefinite period.</w:t>
      </w:r>
      <w:r w:rsidR="0076189E">
        <w:rPr>
          <w:sz w:val="20"/>
          <w:szCs w:val="20"/>
          <w:lang w:val="en-GB"/>
        </w:rPr>
        <w:t xml:space="preserve"> </w:t>
      </w:r>
    </w:p>
    <w:p w14:paraId="4DEFD6E7" w14:textId="7E896CE6" w:rsidR="009525B1" w:rsidRPr="00D60678" w:rsidRDefault="0076189E" w:rsidP="007C407E">
      <w:pPr>
        <w:pStyle w:val="Standard"/>
        <w:numPr>
          <w:ilvl w:val="1"/>
          <w:numId w:val="51"/>
        </w:numPr>
        <w:jc w:val="both"/>
        <w:rPr>
          <w:lang w:val="en-GB"/>
        </w:rPr>
      </w:pPr>
      <w:r w:rsidRPr="0076189E">
        <w:rPr>
          <w:sz w:val="20"/>
          <w:szCs w:val="20"/>
          <w:lang w:val="en-GB"/>
        </w:rPr>
        <w:lastRenderedPageBreak/>
        <w:t>Either Party may terminate this Agreement upon a material breach of the Agreement by the other Party, provided that the terminating Party has previously informed the Party in breach of the breach in writing and has allowed the Party in breach reasonable time to rectify the breach. The notice period in such a case shall be 2 months and shall commence on the day the notice is delivered to the Party in breach.</w:t>
      </w:r>
    </w:p>
    <w:p w14:paraId="5C00B4C7" w14:textId="77777777" w:rsidR="009525B1" w:rsidRDefault="009525B1">
      <w:pPr>
        <w:pStyle w:val="Standard"/>
        <w:rPr>
          <w:sz w:val="20"/>
          <w:szCs w:val="20"/>
          <w:lang w:val="en-GB"/>
        </w:rPr>
      </w:pPr>
    </w:p>
    <w:p w14:paraId="22240F03" w14:textId="77777777" w:rsidR="009525B1" w:rsidRDefault="009525B1">
      <w:pPr>
        <w:pStyle w:val="Standard"/>
        <w:rPr>
          <w:sz w:val="20"/>
          <w:szCs w:val="20"/>
          <w:lang w:val="en-GB"/>
        </w:rPr>
      </w:pPr>
    </w:p>
    <w:p w14:paraId="5C609BF6" w14:textId="77777777" w:rsidR="009525B1" w:rsidRDefault="00D135BF" w:rsidP="007C407E">
      <w:pPr>
        <w:pStyle w:val="Standard"/>
        <w:numPr>
          <w:ilvl w:val="0"/>
          <w:numId w:val="55"/>
        </w:numPr>
        <w:jc w:val="center"/>
        <w:rPr>
          <w:lang w:val="en-GB"/>
        </w:rPr>
      </w:pPr>
      <w:r>
        <w:rPr>
          <w:b/>
          <w:sz w:val="20"/>
          <w:szCs w:val="20"/>
          <w:lang w:val="en-GB"/>
        </w:rPr>
        <w:t>Liabilities</w:t>
      </w:r>
    </w:p>
    <w:p w14:paraId="014C1D37" w14:textId="77777777" w:rsidR="009525B1" w:rsidRDefault="00D135BF" w:rsidP="007C407E">
      <w:pPr>
        <w:pStyle w:val="Standard"/>
        <w:numPr>
          <w:ilvl w:val="1"/>
          <w:numId w:val="56"/>
        </w:numPr>
        <w:jc w:val="both"/>
        <w:rPr>
          <w:lang w:val="en-GB"/>
        </w:rPr>
      </w:pPr>
      <w:r>
        <w:rPr>
          <w:sz w:val="20"/>
          <w:szCs w:val="20"/>
          <w:lang w:val="en-GB"/>
        </w:rPr>
        <w:t>Notwithstanding anything to the contrary in this Agreement, a Party’s entire liability under this Agreement, regardless of the basis on which the other Party is entitled to claim damages (including material breach, negligence, misrepresentation or other contract or tort claim), will be limited in the aggregate for all claims and causes of action to actual direct damages, but in no event more than the amount of the Fees already paid under this Agreement.</w:t>
      </w:r>
    </w:p>
    <w:p w14:paraId="60096939" w14:textId="7C30E1A3" w:rsidR="009525B1" w:rsidRDefault="00D135BF" w:rsidP="007C407E">
      <w:pPr>
        <w:pStyle w:val="Standard"/>
        <w:numPr>
          <w:ilvl w:val="1"/>
          <w:numId w:val="57"/>
        </w:numPr>
        <w:jc w:val="both"/>
        <w:rPr>
          <w:lang w:val="en-GB"/>
        </w:rPr>
      </w:pPr>
      <w:r>
        <w:rPr>
          <w:sz w:val="20"/>
          <w:szCs w:val="20"/>
          <w:lang w:val="en-GB"/>
        </w:rPr>
        <w:t xml:space="preserve">Each Party shall indemnify, defend and hold harmless the other Party, its officers, employees, subcontractors and agents, from and against any and all costs, expenses, liabilities, damages, losses and harm (including reasonable legal expenses and attorneys’ fees) arising out of or resulting from any third party suits, claims, actions, or demands to the extent resulting from or caused by: (a) the Party’s performance under this Agreement; (b) the negligence, recklessness or </w:t>
      </w:r>
      <w:r w:rsidR="00CB2AF7">
        <w:rPr>
          <w:sz w:val="20"/>
          <w:szCs w:val="20"/>
          <w:lang w:val="en-GB"/>
        </w:rPr>
        <w:t>wilful</w:t>
      </w:r>
      <w:r>
        <w:rPr>
          <w:sz w:val="20"/>
          <w:szCs w:val="20"/>
          <w:lang w:val="en-GB"/>
        </w:rPr>
        <w:t xml:space="preserve"> misconduct of the Party or its officers, directors, employees, subcontractors or agents; or (c) the Party’s breach of its obligations, warranties, or representations under this Agreement, except in each case to the extent that the claim arises out of or results from the negligence, recklessness </w:t>
      </w:r>
      <w:r w:rsidR="00CB2AF7">
        <w:rPr>
          <w:sz w:val="20"/>
          <w:szCs w:val="20"/>
          <w:lang w:val="en-GB"/>
        </w:rPr>
        <w:t>misconduct</w:t>
      </w:r>
      <w:r>
        <w:rPr>
          <w:sz w:val="20"/>
          <w:szCs w:val="20"/>
          <w:lang w:val="en-GB"/>
        </w:rPr>
        <w:t xml:space="preserve"> of the other Party or the other Party’s breach of its obligations, warranties, or representations under this Agreement.</w:t>
      </w:r>
    </w:p>
    <w:p w14:paraId="641689EC" w14:textId="77777777" w:rsidR="009525B1" w:rsidRDefault="00D135BF" w:rsidP="007C407E">
      <w:pPr>
        <w:pStyle w:val="Standard"/>
        <w:numPr>
          <w:ilvl w:val="1"/>
          <w:numId w:val="58"/>
        </w:numPr>
        <w:jc w:val="both"/>
        <w:rPr>
          <w:lang w:val="en-GB"/>
        </w:rPr>
      </w:pPr>
      <w:r>
        <w:rPr>
          <w:sz w:val="20"/>
          <w:szCs w:val="20"/>
          <w:lang w:val="en-GB"/>
        </w:rPr>
        <w:t>Each Party’s agreement to indemnify, defend and hold harmless the other Party is conditioned on the indemnified Party: (a) providing written notice to the indemnifying Party of any claim or demand for which it is seeking indemnification hereunder promptly after the indemnified Party has knowledge of such claim; (b) permitting the indemnifying Party to assume full responsibility to investigate, prepare for and defend against any such claim or demand, except that the indemnified Party may cooperate in the defence at its expense using its own counsel; (c) assisting the indemnifying Party, at the indemnifying Party’s reasonable expense, in the investigation of, preparing for and defence of any such claim or demand; and (d) not compromising or settling such claim or demand without the indemnifying Party’s written consent.</w:t>
      </w:r>
    </w:p>
    <w:p w14:paraId="4FB5FC59" w14:textId="77777777" w:rsidR="009525B1" w:rsidRDefault="009525B1">
      <w:pPr>
        <w:pStyle w:val="Standard"/>
        <w:rPr>
          <w:sz w:val="20"/>
          <w:szCs w:val="20"/>
          <w:lang w:val="en-GB"/>
        </w:rPr>
      </w:pPr>
    </w:p>
    <w:p w14:paraId="139EC577" w14:textId="77777777" w:rsidR="009525B1" w:rsidRDefault="00D135BF" w:rsidP="007C407E">
      <w:pPr>
        <w:pStyle w:val="Standard"/>
        <w:numPr>
          <w:ilvl w:val="0"/>
          <w:numId w:val="59"/>
        </w:numPr>
        <w:jc w:val="center"/>
        <w:rPr>
          <w:lang w:val="en-GB"/>
        </w:rPr>
      </w:pPr>
      <w:r>
        <w:rPr>
          <w:b/>
          <w:sz w:val="20"/>
          <w:szCs w:val="20"/>
          <w:lang w:val="en-GB"/>
        </w:rPr>
        <w:t>Governing Law and Dispute Resolution</w:t>
      </w:r>
    </w:p>
    <w:p w14:paraId="4D0A259F" w14:textId="77777777" w:rsidR="009525B1" w:rsidRDefault="00D135BF" w:rsidP="007C407E">
      <w:pPr>
        <w:pStyle w:val="Standard"/>
        <w:numPr>
          <w:ilvl w:val="1"/>
          <w:numId w:val="60"/>
        </w:numPr>
        <w:jc w:val="both"/>
        <w:rPr>
          <w:lang w:val="en-GB"/>
        </w:rPr>
      </w:pPr>
      <w:r>
        <w:rPr>
          <w:sz w:val="20"/>
          <w:szCs w:val="20"/>
          <w:lang w:val="en-GB"/>
        </w:rPr>
        <w:t>This Agreement shall be governed by th</w:t>
      </w:r>
      <w:r>
        <w:rPr>
          <w:sz w:val="20"/>
          <w:szCs w:val="20"/>
          <w:shd w:val="clear" w:color="auto" w:fill="FDFDFD"/>
          <w:lang w:val="en-GB"/>
        </w:rPr>
        <w:t>e law of the Czech Republic, reg</w:t>
      </w:r>
      <w:r>
        <w:rPr>
          <w:sz w:val="20"/>
          <w:szCs w:val="20"/>
          <w:lang w:val="en-GB"/>
        </w:rPr>
        <w:t>ardless of its conflict of law principles.</w:t>
      </w:r>
    </w:p>
    <w:p w14:paraId="195211DE" w14:textId="77777777" w:rsidR="009525B1" w:rsidRDefault="00D135BF" w:rsidP="007C407E">
      <w:pPr>
        <w:pStyle w:val="Standard"/>
        <w:numPr>
          <w:ilvl w:val="1"/>
          <w:numId w:val="61"/>
        </w:numPr>
        <w:jc w:val="both"/>
        <w:rPr>
          <w:lang w:val="en-GB"/>
        </w:rPr>
      </w:pPr>
      <w:r>
        <w:rPr>
          <w:sz w:val="20"/>
          <w:szCs w:val="20"/>
          <w:lang w:val="en-GB"/>
        </w:rPr>
        <w:t>Any dispute arising under this Agreement will be resolved as follows. First, within ten (10) days after either Party identifies the existence of a dispute, each Party will appoint a representative with authority to resolve the identified dispute and such representatives, within 20 days after their appointment, will meet or organise a video call to resolve such dispute.  If the representatives cannot resolve the dispute, either Party may make a written demand for formal dispute resolution.</w:t>
      </w:r>
    </w:p>
    <w:p w14:paraId="7C842199" w14:textId="77777777" w:rsidR="009525B1" w:rsidRDefault="00D135BF" w:rsidP="007C407E">
      <w:pPr>
        <w:pStyle w:val="Standard"/>
        <w:numPr>
          <w:ilvl w:val="1"/>
          <w:numId w:val="62"/>
        </w:numPr>
        <w:jc w:val="both"/>
        <w:rPr>
          <w:lang w:val="en-GB"/>
        </w:rPr>
      </w:pPr>
      <w:r>
        <w:rPr>
          <w:sz w:val="20"/>
          <w:szCs w:val="20"/>
          <w:lang w:val="en-GB"/>
        </w:rPr>
        <w:t>Within ten (10) days after such written demand, the Parties shall meet or organise a video call with an impartial mediator solely to consider dispute resolution alternatives other than litigation.  If an alternative method of dispute resolution is not agreed upon within ten (10) days after the mediation, either Party may begin litigation proceedings. The parties acknowledge that their preferred method of alternative dispute resolution shall be mediation in accordance with the LCIA Mediation Rules, which Rules are deemed to be incorporated by reference into this clause.</w:t>
      </w:r>
    </w:p>
    <w:p w14:paraId="7409F45F" w14:textId="77777777" w:rsidR="009525B1" w:rsidRDefault="00D135BF" w:rsidP="007C407E">
      <w:pPr>
        <w:pStyle w:val="Standard"/>
        <w:numPr>
          <w:ilvl w:val="1"/>
          <w:numId w:val="63"/>
        </w:numPr>
        <w:jc w:val="both"/>
        <w:rPr>
          <w:lang w:val="en-GB"/>
        </w:rPr>
      </w:pPr>
      <w:r>
        <w:rPr>
          <w:sz w:val="20"/>
          <w:szCs w:val="20"/>
          <w:lang w:val="en-GB"/>
        </w:rPr>
        <w:lastRenderedPageBreak/>
        <w:t>If the dispute is not settled by mediation with</w:t>
      </w:r>
      <w:r>
        <w:rPr>
          <w:sz w:val="20"/>
          <w:szCs w:val="20"/>
          <w:shd w:val="clear" w:color="auto" w:fill="FDFDFD"/>
          <w:lang w:val="en-GB"/>
        </w:rPr>
        <w:t>in 90 days of the commencement of the mediation, or such further period as the Parties shall agree in writing, the dispute shall be referred to and finally resolved by a competent court of the Czech Republic.</w:t>
      </w:r>
      <w:r>
        <w:rPr>
          <w:sz w:val="20"/>
          <w:szCs w:val="20"/>
          <w:lang w:val="en-GB"/>
        </w:rPr>
        <w:br/>
      </w:r>
    </w:p>
    <w:p w14:paraId="3CF0E237" w14:textId="77777777" w:rsidR="009525B1" w:rsidRDefault="00D135BF" w:rsidP="007C407E">
      <w:pPr>
        <w:pStyle w:val="Standard"/>
        <w:numPr>
          <w:ilvl w:val="0"/>
          <w:numId w:val="64"/>
        </w:numPr>
        <w:jc w:val="center"/>
        <w:rPr>
          <w:lang w:val="en-GB"/>
        </w:rPr>
      </w:pPr>
      <w:r>
        <w:rPr>
          <w:b/>
          <w:sz w:val="20"/>
          <w:szCs w:val="20"/>
          <w:lang w:val="en-GB"/>
        </w:rPr>
        <w:t>Final Provisions</w:t>
      </w:r>
    </w:p>
    <w:p w14:paraId="00231BA5" w14:textId="77777777" w:rsidR="009525B1" w:rsidRDefault="00D135BF" w:rsidP="007C407E">
      <w:pPr>
        <w:pStyle w:val="Standard"/>
        <w:numPr>
          <w:ilvl w:val="1"/>
          <w:numId w:val="65"/>
        </w:numPr>
        <w:jc w:val="both"/>
        <w:rPr>
          <w:lang w:val="en-GB"/>
        </w:rPr>
      </w:pPr>
      <w:r>
        <w:rPr>
          <w:sz w:val="20"/>
          <w:szCs w:val="20"/>
          <w:lang w:val="en-GB"/>
        </w:rPr>
        <w:t>The Parties declare that they have the power and authority to enter into this Agreement, and that they have solicited all required approvals.</w:t>
      </w:r>
    </w:p>
    <w:p w14:paraId="5DE83D3D" w14:textId="77777777" w:rsidR="009525B1" w:rsidRDefault="00D135BF" w:rsidP="007C407E">
      <w:pPr>
        <w:pStyle w:val="Standard"/>
        <w:numPr>
          <w:ilvl w:val="1"/>
          <w:numId w:val="66"/>
        </w:numPr>
        <w:jc w:val="both"/>
        <w:rPr>
          <w:lang w:val="en-GB"/>
        </w:rPr>
      </w:pPr>
      <w:r>
        <w:rPr>
          <w:sz w:val="20"/>
          <w:szCs w:val="20"/>
          <w:lang w:val="en-GB"/>
        </w:rPr>
        <w:t xml:space="preserve">The Parties acknowledge that this Agreement is subject to obligatory publication under the Czech Act No. 340/2015 Coll., on Special Conditions of Effect of certain Contracts, Publication of these Contracts and on the Register of Contracts (Act on the Register of Contracts) and shall become legally binding upon the IMCAS only upon such publication in the Register of Contracts. The Parties have agreed that prior to publication of this Agreement, the IMCAS will remove (black out) </w:t>
      </w:r>
      <w:proofErr w:type="gramStart"/>
      <w:r>
        <w:rPr>
          <w:sz w:val="20"/>
          <w:szCs w:val="20"/>
          <w:lang w:val="en-GB"/>
        </w:rPr>
        <w:t>any and all</w:t>
      </w:r>
      <w:proofErr w:type="gramEnd"/>
      <w:r>
        <w:rPr>
          <w:sz w:val="20"/>
          <w:szCs w:val="20"/>
          <w:lang w:val="en-GB"/>
        </w:rPr>
        <w:t xml:space="preserve"> provisions of this Agreement designated by the Parties as trade secrets and provide the redacted Agreement to </w:t>
      </w:r>
      <w:proofErr w:type="spellStart"/>
      <w:r>
        <w:rPr>
          <w:sz w:val="20"/>
          <w:szCs w:val="20"/>
          <w:lang w:val="en-GB"/>
        </w:rPr>
        <w:t>Phycom</w:t>
      </w:r>
      <w:proofErr w:type="spellEnd"/>
      <w:r>
        <w:rPr>
          <w:sz w:val="20"/>
          <w:szCs w:val="20"/>
          <w:lang w:val="en-GB"/>
        </w:rPr>
        <w:t xml:space="preserve"> for approval.</w:t>
      </w:r>
    </w:p>
    <w:p w14:paraId="3182451F" w14:textId="77777777" w:rsidR="009525B1" w:rsidRDefault="00D135BF" w:rsidP="007C407E">
      <w:pPr>
        <w:pStyle w:val="Standard"/>
        <w:numPr>
          <w:ilvl w:val="1"/>
          <w:numId w:val="67"/>
        </w:numPr>
        <w:jc w:val="both"/>
        <w:rPr>
          <w:lang w:val="en-GB"/>
        </w:rPr>
      </w:pPr>
      <w:r>
        <w:rPr>
          <w:sz w:val="20"/>
          <w:szCs w:val="20"/>
          <w:lang w:val="en-GB"/>
        </w:rPr>
        <w:t>Any changes to this Agreement may only be made in writing in the form of numbered amendments to this Agreement, upon the previous agreement of both Parties.</w:t>
      </w:r>
      <w:r>
        <w:rPr>
          <w:sz w:val="20"/>
          <w:szCs w:val="20"/>
          <w:lang w:val="en-GB"/>
        </w:rPr>
        <w:tab/>
      </w:r>
    </w:p>
    <w:p w14:paraId="6DA29711" w14:textId="77777777" w:rsidR="009525B1" w:rsidRDefault="00D135BF" w:rsidP="007C407E">
      <w:pPr>
        <w:pStyle w:val="Standard"/>
        <w:numPr>
          <w:ilvl w:val="1"/>
          <w:numId w:val="68"/>
        </w:numPr>
        <w:jc w:val="both"/>
        <w:rPr>
          <w:lang w:val="en-GB"/>
        </w:rPr>
      </w:pPr>
      <w:proofErr w:type="gramStart"/>
      <w:r>
        <w:rPr>
          <w:sz w:val="20"/>
          <w:szCs w:val="20"/>
          <w:lang w:val="en-GB"/>
        </w:rPr>
        <w:t>In the event that</w:t>
      </w:r>
      <w:proofErr w:type="gramEnd"/>
      <w:r>
        <w:rPr>
          <w:sz w:val="20"/>
          <w:szCs w:val="20"/>
          <w:lang w:val="en-GB"/>
        </w:rPr>
        <w:t xml:space="preserve"> any of the terms and provisions of this Agreement are held to be invalid or unenforceable by any competent court, such determination shall not affect the operation of the remaining provisions of this Agreement, which shall remain in full force and effect.</w:t>
      </w:r>
    </w:p>
    <w:p w14:paraId="118A5B18" w14:textId="77777777" w:rsidR="009525B1" w:rsidRDefault="00D135BF" w:rsidP="007C407E">
      <w:pPr>
        <w:pStyle w:val="Standard"/>
        <w:numPr>
          <w:ilvl w:val="1"/>
          <w:numId w:val="69"/>
        </w:numPr>
        <w:jc w:val="both"/>
        <w:rPr>
          <w:lang w:val="en-GB"/>
        </w:rPr>
      </w:pPr>
      <w:r>
        <w:rPr>
          <w:sz w:val="20"/>
          <w:szCs w:val="20"/>
          <w:lang w:val="en-GB"/>
        </w:rPr>
        <w:t>The Agreement is executed in (2) two counterparts. Each party shall receive one.</w:t>
      </w:r>
      <w:r>
        <w:rPr>
          <w:sz w:val="20"/>
          <w:szCs w:val="20"/>
          <w:lang w:val="en-GB"/>
        </w:rPr>
        <w:tab/>
      </w:r>
    </w:p>
    <w:p w14:paraId="03D55B33" w14:textId="77777777" w:rsidR="009525B1" w:rsidRDefault="00D135BF" w:rsidP="007C407E">
      <w:pPr>
        <w:pStyle w:val="Standard"/>
        <w:numPr>
          <w:ilvl w:val="1"/>
          <w:numId w:val="70"/>
        </w:numPr>
        <w:jc w:val="both"/>
        <w:rPr>
          <w:lang w:val="en-GB"/>
        </w:rPr>
      </w:pPr>
      <w:r>
        <w:rPr>
          <w:sz w:val="20"/>
          <w:szCs w:val="20"/>
          <w:lang w:val="en-GB"/>
        </w:rPr>
        <w:t>The Parties declare that they have read the Agreement, understand its content, agree with it in full and desire to be bound by it.</w:t>
      </w:r>
    </w:p>
    <w:p w14:paraId="2B185ED6" w14:textId="77777777" w:rsidR="009525B1" w:rsidRDefault="009525B1">
      <w:pPr>
        <w:pStyle w:val="Standard"/>
        <w:rPr>
          <w:sz w:val="20"/>
          <w:szCs w:val="20"/>
          <w:lang w:val="en-GB"/>
        </w:rPr>
      </w:pPr>
    </w:p>
    <w:p w14:paraId="60FB1121" w14:textId="77777777" w:rsidR="009525B1" w:rsidRDefault="009525B1">
      <w:pPr>
        <w:pStyle w:val="Standard"/>
        <w:rPr>
          <w:sz w:val="20"/>
          <w:szCs w:val="20"/>
          <w:lang w:val="en-GB"/>
        </w:rPr>
      </w:pPr>
    </w:p>
    <w:p w14:paraId="1ACD1394" w14:textId="77777777" w:rsidR="009525B1" w:rsidRDefault="009525B1">
      <w:pPr>
        <w:pStyle w:val="Standard"/>
        <w:rPr>
          <w:sz w:val="20"/>
          <w:szCs w:val="20"/>
          <w:lang w:val="en-GB"/>
        </w:rPr>
      </w:pPr>
    </w:p>
    <w:p w14:paraId="4874E085" w14:textId="77777777" w:rsidR="009525B1" w:rsidRDefault="009525B1">
      <w:pPr>
        <w:pStyle w:val="Standard"/>
        <w:rPr>
          <w:sz w:val="20"/>
          <w:szCs w:val="20"/>
          <w:lang w:val="en-GB"/>
        </w:rPr>
      </w:pPr>
    </w:p>
    <w:tbl>
      <w:tblPr>
        <w:tblW w:w="9040" w:type="dxa"/>
        <w:tblInd w:w="-100" w:type="dxa"/>
        <w:tblLook w:val="0000" w:firstRow="0" w:lastRow="0" w:firstColumn="0" w:lastColumn="0" w:noHBand="0" w:noVBand="0"/>
      </w:tblPr>
      <w:tblGrid>
        <w:gridCol w:w="4521"/>
        <w:gridCol w:w="4519"/>
      </w:tblGrid>
      <w:tr w:rsidR="009525B1" w14:paraId="62269793" w14:textId="77777777">
        <w:tc>
          <w:tcPr>
            <w:tcW w:w="4520" w:type="dxa"/>
          </w:tcPr>
          <w:p w14:paraId="46D61A4B" w14:textId="77777777" w:rsidR="009525B1" w:rsidRDefault="00D135BF">
            <w:pPr>
              <w:pStyle w:val="Standard"/>
              <w:rPr>
                <w:lang w:val="en-GB"/>
              </w:rPr>
            </w:pPr>
            <w:r>
              <w:rPr>
                <w:sz w:val="20"/>
                <w:szCs w:val="20"/>
                <w:lang w:val="en-GB"/>
              </w:rPr>
              <w:t>Done in ____________________________</w:t>
            </w:r>
          </w:p>
          <w:p w14:paraId="1EBB9021" w14:textId="77777777" w:rsidR="009525B1" w:rsidRDefault="009525B1">
            <w:pPr>
              <w:pStyle w:val="Standard"/>
              <w:rPr>
                <w:sz w:val="20"/>
                <w:szCs w:val="20"/>
                <w:lang w:val="en-GB"/>
              </w:rPr>
            </w:pPr>
          </w:p>
          <w:p w14:paraId="1C951683" w14:textId="77777777" w:rsidR="009525B1" w:rsidRDefault="00D135BF">
            <w:pPr>
              <w:pStyle w:val="Standard"/>
              <w:rPr>
                <w:lang w:val="en-GB"/>
              </w:rPr>
            </w:pPr>
            <w:r>
              <w:rPr>
                <w:sz w:val="20"/>
                <w:szCs w:val="20"/>
                <w:lang w:val="en-GB"/>
              </w:rPr>
              <w:t>on ________________________________</w:t>
            </w:r>
          </w:p>
        </w:tc>
        <w:tc>
          <w:tcPr>
            <w:tcW w:w="4519" w:type="dxa"/>
          </w:tcPr>
          <w:p w14:paraId="1E8D4EDF" w14:textId="77777777" w:rsidR="009525B1" w:rsidRDefault="00D135BF">
            <w:pPr>
              <w:pStyle w:val="Standard"/>
              <w:rPr>
                <w:lang w:val="en-GB"/>
              </w:rPr>
            </w:pPr>
            <w:r>
              <w:rPr>
                <w:sz w:val="20"/>
                <w:szCs w:val="20"/>
                <w:lang w:val="en-GB"/>
              </w:rPr>
              <w:t>Done in ____________________________</w:t>
            </w:r>
          </w:p>
          <w:p w14:paraId="2E178C17" w14:textId="77777777" w:rsidR="009525B1" w:rsidRDefault="009525B1">
            <w:pPr>
              <w:pStyle w:val="Standard"/>
              <w:rPr>
                <w:sz w:val="20"/>
                <w:szCs w:val="20"/>
                <w:lang w:val="en-GB"/>
              </w:rPr>
            </w:pPr>
          </w:p>
          <w:p w14:paraId="58662858" w14:textId="77777777" w:rsidR="009525B1" w:rsidRDefault="00D135BF">
            <w:pPr>
              <w:pStyle w:val="Standard"/>
              <w:rPr>
                <w:lang w:val="en-GB"/>
              </w:rPr>
            </w:pPr>
            <w:r>
              <w:rPr>
                <w:sz w:val="20"/>
                <w:szCs w:val="20"/>
                <w:lang w:val="en-GB"/>
              </w:rPr>
              <w:t>on ________________________________</w:t>
            </w:r>
          </w:p>
        </w:tc>
      </w:tr>
      <w:tr w:rsidR="009525B1" w14:paraId="4268EC68" w14:textId="77777777">
        <w:tc>
          <w:tcPr>
            <w:tcW w:w="4520" w:type="dxa"/>
          </w:tcPr>
          <w:p w14:paraId="7D91D9E9" w14:textId="77777777" w:rsidR="009525B1" w:rsidRDefault="009525B1">
            <w:pPr>
              <w:pStyle w:val="Standard"/>
              <w:rPr>
                <w:sz w:val="20"/>
                <w:szCs w:val="20"/>
                <w:lang w:val="en-GB"/>
              </w:rPr>
            </w:pPr>
          </w:p>
        </w:tc>
        <w:tc>
          <w:tcPr>
            <w:tcW w:w="4519" w:type="dxa"/>
          </w:tcPr>
          <w:p w14:paraId="5F61B4FB" w14:textId="77777777" w:rsidR="009525B1" w:rsidRDefault="009525B1">
            <w:pPr>
              <w:pStyle w:val="Standard"/>
              <w:rPr>
                <w:sz w:val="20"/>
                <w:szCs w:val="20"/>
                <w:lang w:val="en-GB"/>
              </w:rPr>
            </w:pPr>
          </w:p>
        </w:tc>
      </w:tr>
      <w:tr w:rsidR="009525B1" w14:paraId="5870E1C2" w14:textId="77777777">
        <w:tc>
          <w:tcPr>
            <w:tcW w:w="4520" w:type="dxa"/>
          </w:tcPr>
          <w:p w14:paraId="4E4228D9" w14:textId="77777777" w:rsidR="009525B1" w:rsidRDefault="009525B1">
            <w:pPr>
              <w:pStyle w:val="Standard"/>
              <w:rPr>
                <w:sz w:val="20"/>
                <w:szCs w:val="20"/>
                <w:lang w:val="en-GB"/>
              </w:rPr>
            </w:pPr>
          </w:p>
        </w:tc>
        <w:tc>
          <w:tcPr>
            <w:tcW w:w="4519" w:type="dxa"/>
          </w:tcPr>
          <w:p w14:paraId="5B25E938" w14:textId="77777777" w:rsidR="009525B1" w:rsidRDefault="009525B1">
            <w:pPr>
              <w:pStyle w:val="Standard"/>
              <w:rPr>
                <w:sz w:val="20"/>
                <w:szCs w:val="20"/>
                <w:lang w:val="en-GB"/>
              </w:rPr>
            </w:pPr>
          </w:p>
        </w:tc>
      </w:tr>
      <w:tr w:rsidR="009525B1" w14:paraId="76F16FD0" w14:textId="77777777">
        <w:tc>
          <w:tcPr>
            <w:tcW w:w="4520" w:type="dxa"/>
          </w:tcPr>
          <w:p w14:paraId="7D91B633" w14:textId="77777777" w:rsidR="009525B1" w:rsidRDefault="00D135BF">
            <w:pPr>
              <w:pStyle w:val="Standard"/>
              <w:rPr>
                <w:lang w:val="en-GB"/>
              </w:rPr>
            </w:pPr>
            <w:r>
              <w:rPr>
                <w:sz w:val="20"/>
                <w:szCs w:val="20"/>
                <w:lang w:val="en-GB"/>
              </w:rPr>
              <w:t>__________________________________</w:t>
            </w:r>
          </w:p>
        </w:tc>
        <w:tc>
          <w:tcPr>
            <w:tcW w:w="4519" w:type="dxa"/>
          </w:tcPr>
          <w:p w14:paraId="5A07C3DA" w14:textId="77777777" w:rsidR="009525B1" w:rsidRDefault="00D135BF">
            <w:pPr>
              <w:pStyle w:val="Standard"/>
              <w:rPr>
                <w:lang w:val="en-GB"/>
              </w:rPr>
            </w:pPr>
            <w:r>
              <w:rPr>
                <w:sz w:val="20"/>
                <w:szCs w:val="20"/>
                <w:lang w:val="en-GB"/>
              </w:rPr>
              <w:t>__________________________________</w:t>
            </w:r>
          </w:p>
        </w:tc>
      </w:tr>
      <w:tr w:rsidR="009525B1" w14:paraId="6772FE64" w14:textId="77777777">
        <w:tc>
          <w:tcPr>
            <w:tcW w:w="4520" w:type="dxa"/>
          </w:tcPr>
          <w:p w14:paraId="275B74CD" w14:textId="77777777" w:rsidR="009525B1" w:rsidRDefault="00D135BF">
            <w:pPr>
              <w:pStyle w:val="Standard"/>
              <w:jc w:val="center"/>
              <w:rPr>
                <w:lang w:val="en-GB"/>
              </w:rPr>
            </w:pPr>
            <w:proofErr w:type="spellStart"/>
            <w:r>
              <w:rPr>
                <w:b/>
                <w:sz w:val="20"/>
                <w:szCs w:val="20"/>
                <w:lang w:val="en-GB"/>
              </w:rPr>
              <w:t>Mikrobiologický</w:t>
            </w:r>
            <w:proofErr w:type="spellEnd"/>
            <w:r>
              <w:rPr>
                <w:b/>
                <w:sz w:val="20"/>
                <w:szCs w:val="20"/>
                <w:lang w:val="en-GB"/>
              </w:rPr>
              <w:t xml:space="preserve"> </w:t>
            </w:r>
            <w:proofErr w:type="spellStart"/>
            <w:r>
              <w:rPr>
                <w:b/>
                <w:sz w:val="20"/>
                <w:szCs w:val="20"/>
                <w:lang w:val="en-GB"/>
              </w:rPr>
              <w:t>ústav</w:t>
            </w:r>
            <w:proofErr w:type="spellEnd"/>
            <w:r>
              <w:rPr>
                <w:b/>
                <w:sz w:val="20"/>
                <w:szCs w:val="20"/>
                <w:lang w:val="en-GB"/>
              </w:rPr>
              <w:t xml:space="preserve"> AV ČR, v. v. </w:t>
            </w:r>
            <w:proofErr w:type="spellStart"/>
            <w:r>
              <w:rPr>
                <w:b/>
                <w:sz w:val="20"/>
                <w:szCs w:val="20"/>
                <w:lang w:val="en-GB"/>
              </w:rPr>
              <w:t>i</w:t>
            </w:r>
            <w:proofErr w:type="spellEnd"/>
            <w:r>
              <w:rPr>
                <w:b/>
                <w:sz w:val="20"/>
                <w:szCs w:val="20"/>
                <w:lang w:val="en-GB"/>
              </w:rPr>
              <w:t>.</w:t>
            </w:r>
          </w:p>
          <w:p w14:paraId="7A9CA839" w14:textId="77777777" w:rsidR="009525B1" w:rsidRDefault="009525B1">
            <w:pPr>
              <w:pStyle w:val="Standard"/>
              <w:jc w:val="center"/>
              <w:rPr>
                <w:b/>
                <w:sz w:val="20"/>
                <w:szCs w:val="20"/>
                <w:lang w:val="en-GB"/>
              </w:rPr>
            </w:pPr>
          </w:p>
        </w:tc>
        <w:tc>
          <w:tcPr>
            <w:tcW w:w="4519" w:type="dxa"/>
          </w:tcPr>
          <w:p w14:paraId="66EE850C" w14:textId="77777777" w:rsidR="009525B1" w:rsidRDefault="00D135BF">
            <w:pPr>
              <w:pStyle w:val="Standard"/>
              <w:jc w:val="center"/>
              <w:rPr>
                <w:lang w:val="en-GB"/>
              </w:rPr>
            </w:pPr>
            <w:proofErr w:type="spellStart"/>
            <w:r>
              <w:rPr>
                <w:b/>
                <w:sz w:val="20"/>
                <w:szCs w:val="20"/>
                <w:lang w:val="en-GB"/>
              </w:rPr>
              <w:t>Phycom</w:t>
            </w:r>
            <w:proofErr w:type="spellEnd"/>
            <w:r>
              <w:rPr>
                <w:b/>
                <w:sz w:val="20"/>
                <w:szCs w:val="20"/>
                <w:lang w:val="en-GB"/>
              </w:rPr>
              <w:t xml:space="preserve"> B.V.</w:t>
            </w:r>
          </w:p>
        </w:tc>
      </w:tr>
    </w:tbl>
    <w:p w14:paraId="419624C9" w14:textId="77777777" w:rsidR="009525B1" w:rsidRDefault="009525B1">
      <w:pPr>
        <w:pStyle w:val="Standard"/>
        <w:rPr>
          <w:lang w:val="en-GB"/>
        </w:rPr>
      </w:pPr>
    </w:p>
    <w:sectPr w:rsidR="009525B1">
      <w:pgSz w:w="11906" w:h="16838"/>
      <w:pgMar w:top="1440" w:right="1440" w:bottom="1440" w:left="1440" w:header="0" w:footer="0" w:gutter="0"/>
      <w:pgNumType w:start="1"/>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6B02E" w14:textId="77777777" w:rsidR="005B12DA" w:rsidRDefault="005B12DA">
      <w:r>
        <w:separator/>
      </w:r>
    </w:p>
  </w:endnote>
  <w:endnote w:type="continuationSeparator" w:id="0">
    <w:p w14:paraId="7773F0CC" w14:textId="77777777" w:rsidR="005B12DA" w:rsidRDefault="005B1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EE"/>
    <w:family w:val="swiss"/>
    <w:pitch w:val="variable"/>
    <w:sig w:usb0="E4002EFF" w:usb1="C000E47F" w:usb2="00000009" w:usb3="00000000" w:csb0="000001FF" w:csb1="00000000"/>
  </w:font>
  <w:font w:name="Liberation Sans">
    <w:altName w:val="Arial"/>
    <w:charset w:val="01"/>
    <w:family w:val="roman"/>
    <w:pitch w:val="variable"/>
  </w:font>
  <w:font w:name="Linux Libertine G">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1AC35" w14:textId="77777777" w:rsidR="005B12DA" w:rsidRDefault="005B12DA">
      <w:pPr>
        <w:rPr>
          <w:sz w:val="12"/>
        </w:rPr>
      </w:pPr>
    </w:p>
  </w:footnote>
  <w:footnote w:type="continuationSeparator" w:id="0">
    <w:p w14:paraId="373A01A9" w14:textId="77777777" w:rsidR="005B12DA" w:rsidRDefault="005B12DA">
      <w:pPr>
        <w:rPr>
          <w:sz w:val="12"/>
        </w:rPr>
      </w:pPr>
    </w:p>
  </w:footnote>
  <w:footnote w:id="1">
    <w:p w14:paraId="165BD7BB" w14:textId="3096D0D7" w:rsidR="009525B1" w:rsidRDefault="00D135BF">
      <w:pPr>
        <w:pStyle w:val="Standard"/>
        <w:spacing w:line="240" w:lineRule="auto"/>
      </w:pPr>
      <w:r w:rsidRPr="00A91F42">
        <w:rPr>
          <w:rStyle w:val="Znakypropoznmkupodarou"/>
          <w:highlight w:val="black"/>
        </w:rPr>
        <w:footnoteRef/>
      </w:r>
      <w:r w:rsidR="005C12AE" w:rsidRPr="00A91F42">
        <w:rPr>
          <w:sz w:val="20"/>
          <w:szCs w:val="20"/>
          <w:highlight w:val="black"/>
          <w:lang w:val="en-GB"/>
        </w:rPr>
        <w:t xml:space="preserve">) </w:t>
      </w:r>
      <w:r w:rsidRPr="00A91F42">
        <w:rPr>
          <w:sz w:val="20"/>
          <w:szCs w:val="20"/>
          <w:highlight w:val="black"/>
          <w:lang w:val="en-GB"/>
        </w:rPr>
        <w:t>Grant agreement ID: 887227, URL https://cordis.europa.eu/project/id/887227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601CF"/>
    <w:multiLevelType w:val="multilevel"/>
    <w:tmpl w:val="10562830"/>
    <w:lvl w:ilvl="0">
      <w:start w:val="1"/>
      <w:numFmt w:val="decimal"/>
      <w:lvlText w:val="%1."/>
      <w:lvlJc w:val="right"/>
      <w:pPr>
        <w:tabs>
          <w:tab w:val="num" w:pos="0"/>
        </w:tabs>
        <w:ind w:left="720" w:hanging="360"/>
      </w:pPr>
      <w:rPr>
        <w:b/>
        <w:sz w:val="20"/>
        <w:u w:val="none"/>
      </w:rPr>
    </w:lvl>
    <w:lvl w:ilvl="1">
      <w:start w:val="1"/>
      <w:numFmt w:val="decimal"/>
      <w:lvlText w:val="%1.%2."/>
      <w:lvlJc w:val="right"/>
      <w:pPr>
        <w:tabs>
          <w:tab w:val="num" w:pos="0"/>
        </w:tabs>
        <w:ind w:left="1440" w:hanging="360"/>
      </w:pPr>
      <w:rPr>
        <w:b w:val="0"/>
        <w:color w:val="000000"/>
        <w:sz w:val="20"/>
        <w:u w:val="none"/>
      </w:rPr>
    </w:lvl>
    <w:lvl w:ilvl="2">
      <w:start w:val="1"/>
      <w:numFmt w:val="decimal"/>
      <w:lvlText w:val="%1.%2.%3."/>
      <w:lvlJc w:val="right"/>
      <w:pPr>
        <w:tabs>
          <w:tab w:val="num" w:pos="0"/>
        </w:tabs>
        <w:ind w:left="2160" w:hanging="360"/>
      </w:pPr>
      <w:rPr>
        <w:sz w:val="20"/>
        <w:u w:val="none"/>
      </w:rPr>
    </w:lvl>
    <w:lvl w:ilvl="3">
      <w:start w:val="1"/>
      <w:numFmt w:val="decimal"/>
      <w:lvlText w:val="%1.%2.%3.%4."/>
      <w:lvlJc w:val="right"/>
      <w:pPr>
        <w:tabs>
          <w:tab w:val="num" w:pos="0"/>
        </w:tabs>
        <w:ind w:left="2880" w:hanging="360"/>
      </w:pPr>
      <w:rPr>
        <w:sz w:val="20"/>
        <w:u w:val="none"/>
      </w:rPr>
    </w:lvl>
    <w:lvl w:ilvl="4">
      <w:start w:val="1"/>
      <w:numFmt w:val="decimal"/>
      <w:lvlText w:val="%1.%2.%3.%4.%5."/>
      <w:lvlJc w:val="right"/>
      <w:pPr>
        <w:tabs>
          <w:tab w:val="num" w:pos="0"/>
        </w:tabs>
        <w:ind w:left="3600" w:hanging="360"/>
      </w:pPr>
      <w:rPr>
        <w:u w:val="none"/>
      </w:rPr>
    </w:lvl>
    <w:lvl w:ilvl="5">
      <w:start w:val="1"/>
      <w:numFmt w:val="decimal"/>
      <w:lvlText w:val="%1.%2.%3.%4.%5.%6."/>
      <w:lvlJc w:val="right"/>
      <w:pPr>
        <w:tabs>
          <w:tab w:val="num" w:pos="0"/>
        </w:tabs>
        <w:ind w:left="4320" w:hanging="360"/>
      </w:pPr>
      <w:rPr>
        <w:u w:val="none"/>
      </w:rPr>
    </w:lvl>
    <w:lvl w:ilvl="6">
      <w:start w:val="1"/>
      <w:numFmt w:val="decimal"/>
      <w:lvlText w:val="%1.%2.%3.%4.%5.%6.%7."/>
      <w:lvlJc w:val="right"/>
      <w:pPr>
        <w:tabs>
          <w:tab w:val="num" w:pos="0"/>
        </w:tabs>
        <w:ind w:left="5040" w:hanging="360"/>
      </w:pPr>
      <w:rPr>
        <w:u w:val="none"/>
      </w:rPr>
    </w:lvl>
    <w:lvl w:ilvl="7">
      <w:start w:val="1"/>
      <w:numFmt w:val="decimal"/>
      <w:lvlText w:val="%1.%2.%3.%4.%5.%6.%7.%8."/>
      <w:lvlJc w:val="right"/>
      <w:pPr>
        <w:tabs>
          <w:tab w:val="num" w:pos="0"/>
        </w:tabs>
        <w:ind w:left="5760" w:hanging="360"/>
      </w:pPr>
      <w:rPr>
        <w:u w:val="none"/>
      </w:rPr>
    </w:lvl>
    <w:lvl w:ilvl="8">
      <w:start w:val="1"/>
      <w:numFmt w:val="decimal"/>
      <w:lvlText w:val="%1.%2.%3.%4.%5.%6.%7.%8.%9."/>
      <w:lvlJc w:val="right"/>
      <w:pPr>
        <w:tabs>
          <w:tab w:val="num" w:pos="0"/>
        </w:tabs>
        <w:ind w:left="6480" w:hanging="360"/>
      </w:pPr>
      <w:rPr>
        <w:u w:val="none"/>
      </w:rPr>
    </w:lvl>
  </w:abstractNum>
  <w:num w:numId="1" w16cid:durableId="2020112898">
    <w:abstractNumId w:val="0"/>
    <w:lvlOverride w:ilvl="0">
      <w:startOverride w:val="1"/>
    </w:lvlOverride>
  </w:num>
  <w:num w:numId="2" w16cid:durableId="161942847">
    <w:abstractNumId w:val="0"/>
  </w:num>
  <w:num w:numId="3" w16cid:durableId="1494838363">
    <w:abstractNumId w:val="0"/>
  </w:num>
  <w:num w:numId="4" w16cid:durableId="390421858">
    <w:abstractNumId w:val="0"/>
  </w:num>
  <w:num w:numId="5" w16cid:durableId="739641904">
    <w:abstractNumId w:val="0"/>
  </w:num>
  <w:num w:numId="6" w16cid:durableId="793870254">
    <w:abstractNumId w:val="0"/>
  </w:num>
  <w:num w:numId="7" w16cid:durableId="961305033">
    <w:abstractNumId w:val="0"/>
  </w:num>
  <w:num w:numId="8" w16cid:durableId="1517496658">
    <w:abstractNumId w:val="0"/>
  </w:num>
  <w:num w:numId="9" w16cid:durableId="609048586">
    <w:abstractNumId w:val="0"/>
  </w:num>
  <w:num w:numId="10" w16cid:durableId="1231884039">
    <w:abstractNumId w:val="0"/>
  </w:num>
  <w:num w:numId="11" w16cid:durableId="304433332">
    <w:abstractNumId w:val="0"/>
  </w:num>
  <w:num w:numId="12" w16cid:durableId="116726968">
    <w:abstractNumId w:val="0"/>
  </w:num>
  <w:num w:numId="13" w16cid:durableId="280379729">
    <w:abstractNumId w:val="0"/>
  </w:num>
  <w:num w:numId="14" w16cid:durableId="1403912451">
    <w:abstractNumId w:val="0"/>
  </w:num>
  <w:num w:numId="15" w16cid:durableId="1968930661">
    <w:abstractNumId w:val="0"/>
  </w:num>
  <w:num w:numId="16" w16cid:durableId="683869012">
    <w:abstractNumId w:val="0"/>
  </w:num>
  <w:num w:numId="17" w16cid:durableId="43675877">
    <w:abstractNumId w:val="0"/>
  </w:num>
  <w:num w:numId="18" w16cid:durableId="1747721378">
    <w:abstractNumId w:val="0"/>
  </w:num>
  <w:num w:numId="19" w16cid:durableId="17973895">
    <w:abstractNumId w:val="0"/>
  </w:num>
  <w:num w:numId="20" w16cid:durableId="1331644488">
    <w:abstractNumId w:val="0"/>
  </w:num>
  <w:num w:numId="21" w16cid:durableId="61031968">
    <w:abstractNumId w:val="0"/>
  </w:num>
  <w:num w:numId="22" w16cid:durableId="584656096">
    <w:abstractNumId w:val="0"/>
  </w:num>
  <w:num w:numId="23" w16cid:durableId="87312736">
    <w:abstractNumId w:val="0"/>
  </w:num>
  <w:num w:numId="24" w16cid:durableId="660891258">
    <w:abstractNumId w:val="0"/>
  </w:num>
  <w:num w:numId="25" w16cid:durableId="26756967">
    <w:abstractNumId w:val="0"/>
  </w:num>
  <w:num w:numId="26" w16cid:durableId="558829351">
    <w:abstractNumId w:val="0"/>
  </w:num>
  <w:num w:numId="27" w16cid:durableId="1116564099">
    <w:abstractNumId w:val="0"/>
  </w:num>
  <w:num w:numId="28" w16cid:durableId="66610730">
    <w:abstractNumId w:val="0"/>
  </w:num>
  <w:num w:numId="29" w16cid:durableId="1078864648">
    <w:abstractNumId w:val="0"/>
  </w:num>
  <w:num w:numId="30" w16cid:durableId="2134470466">
    <w:abstractNumId w:val="0"/>
  </w:num>
  <w:num w:numId="31" w16cid:durableId="91051902">
    <w:abstractNumId w:val="0"/>
  </w:num>
  <w:num w:numId="32" w16cid:durableId="1616868066">
    <w:abstractNumId w:val="0"/>
  </w:num>
  <w:num w:numId="33" w16cid:durableId="864250235">
    <w:abstractNumId w:val="0"/>
  </w:num>
  <w:num w:numId="34" w16cid:durableId="277950030">
    <w:abstractNumId w:val="0"/>
  </w:num>
  <w:num w:numId="35" w16cid:durableId="578708758">
    <w:abstractNumId w:val="0"/>
  </w:num>
  <w:num w:numId="36" w16cid:durableId="1841892721">
    <w:abstractNumId w:val="0"/>
  </w:num>
  <w:num w:numId="37" w16cid:durableId="1329560331">
    <w:abstractNumId w:val="0"/>
  </w:num>
  <w:num w:numId="38" w16cid:durableId="1809932529">
    <w:abstractNumId w:val="0"/>
  </w:num>
  <w:num w:numId="39" w16cid:durableId="447354028">
    <w:abstractNumId w:val="0"/>
  </w:num>
  <w:num w:numId="40" w16cid:durableId="688264670">
    <w:abstractNumId w:val="0"/>
  </w:num>
  <w:num w:numId="41" w16cid:durableId="780299729">
    <w:abstractNumId w:val="0"/>
  </w:num>
  <w:num w:numId="42" w16cid:durableId="1582135848">
    <w:abstractNumId w:val="0"/>
  </w:num>
  <w:num w:numId="43" w16cid:durableId="1936936831">
    <w:abstractNumId w:val="0"/>
  </w:num>
  <w:num w:numId="44" w16cid:durableId="980842571">
    <w:abstractNumId w:val="0"/>
  </w:num>
  <w:num w:numId="45" w16cid:durableId="1936551975">
    <w:abstractNumId w:val="0"/>
  </w:num>
  <w:num w:numId="46" w16cid:durableId="320280697">
    <w:abstractNumId w:val="0"/>
  </w:num>
  <w:num w:numId="47" w16cid:durableId="535696378">
    <w:abstractNumId w:val="0"/>
  </w:num>
  <w:num w:numId="48" w16cid:durableId="497504655">
    <w:abstractNumId w:val="0"/>
  </w:num>
  <w:num w:numId="49" w16cid:durableId="814569553">
    <w:abstractNumId w:val="0"/>
  </w:num>
  <w:num w:numId="50" w16cid:durableId="816185847">
    <w:abstractNumId w:val="0"/>
  </w:num>
  <w:num w:numId="51" w16cid:durableId="587006983">
    <w:abstractNumId w:val="0"/>
  </w:num>
  <w:num w:numId="52" w16cid:durableId="60182851">
    <w:abstractNumId w:val="0"/>
  </w:num>
  <w:num w:numId="53" w16cid:durableId="2088568987">
    <w:abstractNumId w:val="0"/>
  </w:num>
  <w:num w:numId="54" w16cid:durableId="927612594">
    <w:abstractNumId w:val="0"/>
  </w:num>
  <w:num w:numId="55" w16cid:durableId="246311733">
    <w:abstractNumId w:val="0"/>
  </w:num>
  <w:num w:numId="56" w16cid:durableId="481820688">
    <w:abstractNumId w:val="0"/>
  </w:num>
  <w:num w:numId="57" w16cid:durableId="197353234">
    <w:abstractNumId w:val="0"/>
  </w:num>
  <w:num w:numId="58" w16cid:durableId="283973950">
    <w:abstractNumId w:val="0"/>
  </w:num>
  <w:num w:numId="59" w16cid:durableId="1677073173">
    <w:abstractNumId w:val="0"/>
  </w:num>
  <w:num w:numId="60" w16cid:durableId="1240751144">
    <w:abstractNumId w:val="0"/>
  </w:num>
  <w:num w:numId="61" w16cid:durableId="1600067870">
    <w:abstractNumId w:val="0"/>
  </w:num>
  <w:num w:numId="62" w16cid:durableId="695157906">
    <w:abstractNumId w:val="0"/>
  </w:num>
  <w:num w:numId="63" w16cid:durableId="1484850241">
    <w:abstractNumId w:val="0"/>
  </w:num>
  <w:num w:numId="64" w16cid:durableId="1113282733">
    <w:abstractNumId w:val="0"/>
  </w:num>
  <w:num w:numId="65" w16cid:durableId="1407144436">
    <w:abstractNumId w:val="0"/>
  </w:num>
  <w:num w:numId="66" w16cid:durableId="2058581740">
    <w:abstractNumId w:val="0"/>
  </w:num>
  <w:num w:numId="67" w16cid:durableId="998775867">
    <w:abstractNumId w:val="0"/>
  </w:num>
  <w:num w:numId="68" w16cid:durableId="781147341">
    <w:abstractNumId w:val="0"/>
  </w:num>
  <w:num w:numId="69" w16cid:durableId="375469852">
    <w:abstractNumId w:val="0"/>
  </w:num>
  <w:num w:numId="70" w16cid:durableId="1308315544">
    <w:abstractNumId w:val="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5B1"/>
    <w:rsid w:val="0002515C"/>
    <w:rsid w:val="00034AE2"/>
    <w:rsid w:val="00063A7C"/>
    <w:rsid w:val="000A210D"/>
    <w:rsid w:val="000B62E7"/>
    <w:rsid w:val="0013535D"/>
    <w:rsid w:val="001363EF"/>
    <w:rsid w:val="001639B6"/>
    <w:rsid w:val="001C4958"/>
    <w:rsid w:val="00214D93"/>
    <w:rsid w:val="002333FC"/>
    <w:rsid w:val="002420B5"/>
    <w:rsid w:val="002478F5"/>
    <w:rsid w:val="00281CB0"/>
    <w:rsid w:val="002A4F38"/>
    <w:rsid w:val="002B4AD1"/>
    <w:rsid w:val="002B4D69"/>
    <w:rsid w:val="003010D1"/>
    <w:rsid w:val="00310906"/>
    <w:rsid w:val="0034087D"/>
    <w:rsid w:val="00347E3B"/>
    <w:rsid w:val="00370D71"/>
    <w:rsid w:val="003911FF"/>
    <w:rsid w:val="003B2A35"/>
    <w:rsid w:val="004008E1"/>
    <w:rsid w:val="004528D3"/>
    <w:rsid w:val="004F14F4"/>
    <w:rsid w:val="00510FC3"/>
    <w:rsid w:val="00555161"/>
    <w:rsid w:val="005B12DA"/>
    <w:rsid w:val="005C12AE"/>
    <w:rsid w:val="005F2201"/>
    <w:rsid w:val="00603907"/>
    <w:rsid w:val="00634780"/>
    <w:rsid w:val="006A2BD5"/>
    <w:rsid w:val="006C1CB2"/>
    <w:rsid w:val="006C5358"/>
    <w:rsid w:val="006E300D"/>
    <w:rsid w:val="006F4C41"/>
    <w:rsid w:val="0076189E"/>
    <w:rsid w:val="00783694"/>
    <w:rsid w:val="00783BB8"/>
    <w:rsid w:val="00787879"/>
    <w:rsid w:val="00797DC0"/>
    <w:rsid w:val="007C407E"/>
    <w:rsid w:val="008120CC"/>
    <w:rsid w:val="00816341"/>
    <w:rsid w:val="0083559B"/>
    <w:rsid w:val="00846508"/>
    <w:rsid w:val="009525B1"/>
    <w:rsid w:val="00955BE1"/>
    <w:rsid w:val="009B42E9"/>
    <w:rsid w:val="009B4424"/>
    <w:rsid w:val="009E6D2B"/>
    <w:rsid w:val="00A3741E"/>
    <w:rsid w:val="00A62DC2"/>
    <w:rsid w:val="00A91F42"/>
    <w:rsid w:val="00AA0983"/>
    <w:rsid w:val="00AC66DC"/>
    <w:rsid w:val="00B2223A"/>
    <w:rsid w:val="00B86744"/>
    <w:rsid w:val="00B91A12"/>
    <w:rsid w:val="00B91EAA"/>
    <w:rsid w:val="00C552C3"/>
    <w:rsid w:val="00C97008"/>
    <w:rsid w:val="00CB2AF7"/>
    <w:rsid w:val="00CE0E08"/>
    <w:rsid w:val="00D135BF"/>
    <w:rsid w:val="00D14FE0"/>
    <w:rsid w:val="00D22D3A"/>
    <w:rsid w:val="00D44979"/>
    <w:rsid w:val="00D60678"/>
    <w:rsid w:val="00D91220"/>
    <w:rsid w:val="00DC6F64"/>
    <w:rsid w:val="00E05CC9"/>
    <w:rsid w:val="00E172EA"/>
    <w:rsid w:val="00E5099B"/>
    <w:rsid w:val="00E538E7"/>
    <w:rsid w:val="00E66381"/>
    <w:rsid w:val="00E93670"/>
    <w:rsid w:val="00EB1D45"/>
    <w:rsid w:val="00F345A4"/>
    <w:rsid w:val="00FB08FE"/>
    <w:rsid w:val="00FD035C"/>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29CA6"/>
  <w15:docId w15:val="{2BB5946B-2C61-4C00-BD75-66DF78D20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textAlignment w:val="baseline"/>
    </w:pPr>
  </w:style>
  <w:style w:type="paragraph" w:styleId="Nadpis1">
    <w:name w:val="heading 1"/>
    <w:basedOn w:val="Normln"/>
    <w:next w:val="Standard"/>
    <w:uiPriority w:val="9"/>
    <w:qFormat/>
    <w:pPr>
      <w:keepNext/>
      <w:keepLines/>
      <w:spacing w:before="400" w:after="120"/>
      <w:outlineLvl w:val="0"/>
    </w:pPr>
    <w:rPr>
      <w:sz w:val="40"/>
      <w:szCs w:val="40"/>
    </w:rPr>
  </w:style>
  <w:style w:type="paragraph" w:styleId="Nadpis2">
    <w:name w:val="heading 2"/>
    <w:basedOn w:val="Normln"/>
    <w:next w:val="Standard"/>
    <w:uiPriority w:val="9"/>
    <w:semiHidden/>
    <w:unhideWhenUsed/>
    <w:qFormat/>
    <w:pPr>
      <w:keepNext/>
      <w:keepLines/>
      <w:spacing w:before="360" w:after="120"/>
      <w:outlineLvl w:val="1"/>
    </w:pPr>
    <w:rPr>
      <w:sz w:val="32"/>
      <w:szCs w:val="32"/>
    </w:rPr>
  </w:style>
  <w:style w:type="paragraph" w:styleId="Nadpis3">
    <w:name w:val="heading 3"/>
    <w:basedOn w:val="Normln"/>
    <w:next w:val="Standard"/>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Standard"/>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Standard"/>
    <w:uiPriority w:val="9"/>
    <w:semiHidden/>
    <w:unhideWhenUsed/>
    <w:qFormat/>
    <w:pPr>
      <w:keepNext/>
      <w:keepLines/>
      <w:spacing w:before="240" w:after="80"/>
      <w:outlineLvl w:val="4"/>
    </w:pPr>
    <w:rPr>
      <w:color w:val="666666"/>
    </w:rPr>
  </w:style>
  <w:style w:type="paragraph" w:styleId="Nadpis6">
    <w:name w:val="heading 6"/>
    <w:basedOn w:val="Normln"/>
    <w:next w:val="Standard"/>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Ukotvenpoznmkypodarou">
    <w:name w:val="Ukotvení poznámky pod čarou"/>
    <w:rPr>
      <w:vertAlign w:val="superscript"/>
    </w:rPr>
  </w:style>
  <w:style w:type="character" w:customStyle="1" w:styleId="FootnoteCharacters">
    <w:name w:val="Footnote Characters"/>
    <w:basedOn w:val="Standardnpsmoodstavce"/>
    <w:uiPriority w:val="99"/>
    <w:semiHidden/>
    <w:unhideWhenUsed/>
    <w:qFormat/>
    <w:rPr>
      <w:vertAlign w:val="superscript"/>
    </w:rPr>
  </w:style>
  <w:style w:type="character" w:styleId="Odkaznakoment">
    <w:name w:val="annotation reference"/>
    <w:basedOn w:val="Standardnpsmoodstavce"/>
    <w:uiPriority w:val="99"/>
    <w:semiHidden/>
    <w:unhideWhenUsed/>
    <w:qFormat/>
    <w:rsid w:val="00263A6C"/>
    <w:rPr>
      <w:sz w:val="16"/>
      <w:szCs w:val="16"/>
    </w:rPr>
  </w:style>
  <w:style w:type="character" w:customStyle="1" w:styleId="TextkomenteChar">
    <w:name w:val="Text komentáře Char"/>
    <w:basedOn w:val="Standardnpsmoodstavce"/>
    <w:link w:val="Textkomente"/>
    <w:uiPriority w:val="99"/>
    <w:qFormat/>
    <w:rsid w:val="00263A6C"/>
    <w:rPr>
      <w:rFonts w:cs="Mangal"/>
      <w:sz w:val="20"/>
      <w:szCs w:val="18"/>
    </w:rPr>
  </w:style>
  <w:style w:type="character" w:customStyle="1" w:styleId="PedmtkomenteChar">
    <w:name w:val="Předmět komentáře Char"/>
    <w:basedOn w:val="TextkomenteChar"/>
    <w:link w:val="Pedmtkomente"/>
    <w:uiPriority w:val="99"/>
    <w:semiHidden/>
    <w:qFormat/>
    <w:rsid w:val="00263A6C"/>
    <w:rPr>
      <w:rFonts w:cs="Mangal"/>
      <w:b/>
      <w:bCs/>
      <w:sz w:val="20"/>
      <w:szCs w:val="18"/>
    </w:rPr>
  </w:style>
  <w:style w:type="character" w:customStyle="1" w:styleId="TextbublinyChar">
    <w:name w:val="Text bubliny Char"/>
    <w:basedOn w:val="Standardnpsmoodstavce"/>
    <w:link w:val="Textbubliny"/>
    <w:uiPriority w:val="99"/>
    <w:semiHidden/>
    <w:qFormat/>
    <w:rsid w:val="00531947"/>
    <w:rPr>
      <w:rFonts w:ascii="Segoe UI" w:hAnsi="Segoe UI" w:cs="Mangal"/>
      <w:sz w:val="18"/>
      <w:szCs w:val="16"/>
    </w:rPr>
  </w:style>
  <w:style w:type="character" w:customStyle="1" w:styleId="Znakypropoznmkupodarou">
    <w:name w:val="Znaky pro poznámku pod čarou"/>
    <w:qFormat/>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Standard"/>
    <w:next w:val="Textbody"/>
    <w:qFormat/>
    <w:pPr>
      <w:keepNext/>
      <w:spacing w:before="240" w:after="120"/>
    </w:pPr>
    <w:rPr>
      <w:rFonts w:ascii="Liberation Sans" w:eastAsia="Linux Libertine G" w:hAnsi="Liberation Sans" w:cs="Linux Libertine G"/>
      <w:sz w:val="28"/>
      <w:szCs w:val="28"/>
    </w:rPr>
  </w:style>
  <w:style w:type="paragraph" w:styleId="Zkladntext">
    <w:name w:val="Body Text"/>
    <w:basedOn w:val="Normln"/>
    <w:pPr>
      <w:spacing w:after="140" w:line="276" w:lineRule="auto"/>
    </w:pPr>
  </w:style>
  <w:style w:type="paragraph" w:styleId="Seznam">
    <w:name w:val="List"/>
    <w:basedOn w:val="Textbody"/>
    <w:rPr>
      <w:sz w:val="24"/>
    </w:rPr>
  </w:style>
  <w:style w:type="paragraph" w:styleId="Titulek">
    <w:name w:val="caption"/>
    <w:basedOn w:val="Standard"/>
    <w:qFormat/>
    <w:pPr>
      <w:suppressLineNumbers/>
      <w:spacing w:before="120" w:after="120"/>
    </w:pPr>
    <w:rPr>
      <w:i/>
      <w:iCs/>
      <w:sz w:val="24"/>
      <w:szCs w:val="24"/>
    </w:rPr>
  </w:style>
  <w:style w:type="paragraph" w:customStyle="1" w:styleId="Rejstk">
    <w:name w:val="Rejstřík"/>
    <w:basedOn w:val="Standard"/>
    <w:qFormat/>
    <w:pPr>
      <w:suppressLineNumbers/>
    </w:pPr>
    <w:rPr>
      <w:sz w:val="24"/>
    </w:rPr>
  </w:style>
  <w:style w:type="paragraph" w:customStyle="1" w:styleId="Standard">
    <w:name w:val="Standard"/>
    <w:qFormat/>
    <w:pPr>
      <w:widowControl w:val="0"/>
      <w:spacing w:line="276" w:lineRule="auto"/>
      <w:textAlignment w:val="baseline"/>
    </w:pPr>
  </w:style>
  <w:style w:type="paragraph" w:customStyle="1" w:styleId="Textbody">
    <w:name w:val="Text body"/>
    <w:basedOn w:val="Standard"/>
    <w:qFormat/>
    <w:pPr>
      <w:spacing w:after="140"/>
    </w:pPr>
  </w:style>
  <w:style w:type="paragraph" w:styleId="Nzev">
    <w:name w:val="Title"/>
    <w:basedOn w:val="Normln"/>
    <w:next w:val="Standard"/>
    <w:uiPriority w:val="10"/>
    <w:qFormat/>
    <w:pPr>
      <w:keepNext/>
      <w:keepLines/>
      <w:spacing w:after="60"/>
    </w:pPr>
    <w:rPr>
      <w:sz w:val="52"/>
      <w:szCs w:val="52"/>
    </w:rPr>
  </w:style>
  <w:style w:type="paragraph" w:styleId="Podnadpis">
    <w:name w:val="Subtitle"/>
    <w:basedOn w:val="Normln"/>
    <w:next w:val="Standard"/>
    <w:uiPriority w:val="11"/>
    <w:qFormat/>
    <w:pPr>
      <w:keepNext/>
      <w:keepLines/>
      <w:spacing w:after="320"/>
    </w:pPr>
    <w:rPr>
      <w:color w:val="666666"/>
      <w:sz w:val="30"/>
      <w:szCs w:val="30"/>
    </w:rPr>
  </w:style>
  <w:style w:type="paragraph" w:customStyle="1" w:styleId="Footnote">
    <w:name w:val="Footnote"/>
    <w:basedOn w:val="Standard"/>
    <w:qFormat/>
  </w:style>
  <w:style w:type="paragraph" w:styleId="Revize">
    <w:name w:val="Revision"/>
    <w:uiPriority w:val="99"/>
    <w:semiHidden/>
    <w:qFormat/>
    <w:rsid w:val="00C07DC1"/>
    <w:pPr>
      <w:suppressAutoHyphens w:val="0"/>
    </w:pPr>
    <w:rPr>
      <w:rFonts w:cs="Mangal"/>
      <w:szCs w:val="20"/>
    </w:rPr>
  </w:style>
  <w:style w:type="paragraph" w:styleId="Textkomente">
    <w:name w:val="annotation text"/>
    <w:basedOn w:val="Normln"/>
    <w:link w:val="TextkomenteChar"/>
    <w:uiPriority w:val="99"/>
    <w:unhideWhenUsed/>
    <w:qFormat/>
    <w:rsid w:val="00263A6C"/>
    <w:rPr>
      <w:rFonts w:cs="Mangal"/>
      <w:sz w:val="20"/>
      <w:szCs w:val="18"/>
    </w:rPr>
  </w:style>
  <w:style w:type="paragraph" w:styleId="Pedmtkomente">
    <w:name w:val="annotation subject"/>
    <w:basedOn w:val="Textkomente"/>
    <w:next w:val="Textkomente"/>
    <w:link w:val="PedmtkomenteChar"/>
    <w:uiPriority w:val="99"/>
    <w:semiHidden/>
    <w:unhideWhenUsed/>
    <w:qFormat/>
    <w:rsid w:val="00263A6C"/>
    <w:rPr>
      <w:b/>
      <w:bCs/>
    </w:rPr>
  </w:style>
  <w:style w:type="paragraph" w:styleId="Textbubliny">
    <w:name w:val="Balloon Text"/>
    <w:basedOn w:val="Normln"/>
    <w:link w:val="TextbublinyChar"/>
    <w:uiPriority w:val="99"/>
    <w:semiHidden/>
    <w:unhideWhenUsed/>
    <w:qFormat/>
    <w:rsid w:val="00531947"/>
    <w:rPr>
      <w:rFonts w:ascii="Segoe UI" w:hAnsi="Segoe UI" w:cs="Mangal"/>
      <w:sz w:val="18"/>
      <w:szCs w:val="16"/>
    </w:rPr>
  </w:style>
  <w:style w:type="paragraph" w:styleId="Textpoznpodarou">
    <w:name w:val="footnote text"/>
    <w:basedOn w:val="Norml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2283</Words>
  <Characters>12330</Characters>
  <Application>Microsoft Office Word</Application>
  <DocSecurity>0</DocSecurity>
  <Lines>246</Lines>
  <Paragraphs>104</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Kubeš Martin</dc:creator>
  <dc:description/>
  <cp:lastModifiedBy>Čudová Lucie</cp:lastModifiedBy>
  <cp:revision>2</cp:revision>
  <dcterms:created xsi:type="dcterms:W3CDTF">2023-11-06T09:47:00Z</dcterms:created>
  <dcterms:modified xsi:type="dcterms:W3CDTF">2023-11-06T09:47:00Z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22391fa4fcbbf1fafc9b6c326493a1bafe9517035936dc64998f8544fc2aa91e</vt:lpwstr>
  </property>
</Properties>
</file>