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A5B5" w14:textId="77777777" w:rsidR="0030383A" w:rsidRDefault="0030383A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6AD55E36" w14:textId="4D4041EB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0B29ED93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5ED0C151" w14:textId="77777777" w:rsidR="005767CB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5767CB"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>,</w:t>
      </w:r>
      <w:r w:rsidR="0030383A">
        <w:rPr>
          <w:rFonts w:ascii="Calibri" w:hAnsi="Calibri" w:cs="Arial"/>
          <w:sz w:val="22"/>
          <w:szCs w:val="22"/>
        </w:rPr>
        <w:t xml:space="preserve"> e-mail:</w:t>
      </w:r>
      <w:r w:rsidR="00F66335">
        <w:rPr>
          <w:rFonts w:ascii="Calibri" w:hAnsi="Calibri" w:cs="Arial"/>
          <w:sz w:val="22"/>
          <w:szCs w:val="22"/>
        </w:rPr>
        <w:t xml:space="preserve"> </w:t>
      </w:r>
      <w:r w:rsidR="005767CB"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 tel.: </w:t>
      </w:r>
      <w:r w:rsidR="005767CB">
        <w:rPr>
          <w:rFonts w:ascii="Calibri" w:hAnsi="Calibri" w:cs="Arial"/>
          <w:sz w:val="22"/>
          <w:szCs w:val="22"/>
        </w:rPr>
        <w:t>xxx</w:t>
      </w:r>
      <w:r w:rsidR="005767CB" w:rsidRPr="005E1CEA">
        <w:rPr>
          <w:rFonts w:ascii="Calibri" w:hAnsi="Calibri" w:cs="Arial"/>
          <w:sz w:val="22"/>
          <w:szCs w:val="22"/>
        </w:rPr>
        <w:t xml:space="preserve"> </w:t>
      </w:r>
    </w:p>
    <w:p w14:paraId="29718EBB" w14:textId="4EDF1260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04947BB7" w14:textId="77777777" w:rsidR="007A0AFD" w:rsidRPr="00234090" w:rsidRDefault="007A0AFD" w:rsidP="007A0AFD">
      <w:pPr>
        <w:spacing w:line="260" w:lineRule="exact"/>
        <w:rPr>
          <w:rFonts w:ascii="Calibri" w:hAnsi="Calibri" w:cs="Calibri"/>
          <w:b/>
          <w:sz w:val="22"/>
          <w:szCs w:val="22"/>
          <w:lang w:eastAsia="en-US"/>
        </w:rPr>
      </w:pPr>
      <w:r w:rsidRPr="00234090">
        <w:rPr>
          <w:rFonts w:ascii="Calibri" w:hAnsi="Calibri" w:cs="Calibri"/>
          <w:b/>
          <w:sz w:val="22"/>
          <w:szCs w:val="22"/>
          <w:lang w:eastAsia="en-US"/>
        </w:rPr>
        <w:t>H.R.G. spol. s r.o.</w:t>
      </w:r>
    </w:p>
    <w:p w14:paraId="4F5ACA9C" w14:textId="77777777" w:rsidR="007A0AFD" w:rsidRPr="00535BA4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535BA4">
        <w:rPr>
          <w:rFonts w:ascii="Calibri" w:hAnsi="Calibri" w:cs="Calibri"/>
          <w:sz w:val="22"/>
          <w:szCs w:val="22"/>
          <w:lang w:eastAsia="en-US"/>
        </w:rPr>
        <w:t xml:space="preserve">se sídlem Svitavská 1203 </w:t>
      </w:r>
    </w:p>
    <w:p w14:paraId="691BA62D" w14:textId="77777777" w:rsidR="007A0AFD" w:rsidRPr="00535BA4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535BA4">
        <w:rPr>
          <w:rFonts w:ascii="Calibri" w:hAnsi="Calibri" w:cs="Calibri"/>
          <w:sz w:val="22"/>
          <w:szCs w:val="22"/>
          <w:lang w:eastAsia="en-US"/>
        </w:rPr>
        <w:t>570 01 Litomyšl</w:t>
      </w:r>
    </w:p>
    <w:p w14:paraId="64C2EE94" w14:textId="77777777" w:rsidR="007A0AFD" w:rsidRPr="00535BA4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535BA4">
        <w:rPr>
          <w:rFonts w:ascii="Calibri" w:hAnsi="Calibri" w:cs="Calibri"/>
          <w:sz w:val="22"/>
          <w:szCs w:val="22"/>
          <w:lang w:eastAsia="en-US"/>
        </w:rPr>
        <w:t>IČO 47471611, DIČ CZ47471611</w:t>
      </w:r>
    </w:p>
    <w:p w14:paraId="254782A0" w14:textId="0DE9741B" w:rsidR="007A0AFD" w:rsidRPr="00234090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234090">
        <w:rPr>
          <w:rFonts w:ascii="Calibri" w:hAnsi="Calibri" w:cs="Calibri"/>
          <w:sz w:val="22"/>
          <w:szCs w:val="22"/>
          <w:lang w:eastAsia="en-US"/>
        </w:rPr>
        <w:t>Zas</w:t>
      </w:r>
      <w:r>
        <w:rPr>
          <w:rFonts w:ascii="Calibri" w:hAnsi="Calibri" w:cs="Calibri"/>
          <w:sz w:val="22"/>
          <w:szCs w:val="22"/>
          <w:lang w:eastAsia="en-US"/>
        </w:rPr>
        <w:t>t</w:t>
      </w:r>
      <w:r w:rsidRPr="00234090">
        <w:rPr>
          <w:rFonts w:ascii="Calibri" w:hAnsi="Calibri" w:cs="Calibri"/>
          <w:sz w:val="22"/>
          <w:szCs w:val="22"/>
          <w:lang w:eastAsia="en-US"/>
        </w:rPr>
        <w:t xml:space="preserve">oupení </w:t>
      </w:r>
      <w:r>
        <w:rPr>
          <w:rFonts w:ascii="Calibri" w:hAnsi="Calibri" w:cs="Calibri"/>
          <w:sz w:val="22"/>
          <w:szCs w:val="22"/>
          <w:lang w:eastAsia="en-US"/>
        </w:rPr>
        <w:t>Ing. Leošem Tupcem</w:t>
      </w:r>
      <w:r w:rsidRPr="00234090">
        <w:rPr>
          <w:rFonts w:ascii="Calibri" w:hAnsi="Calibri" w:cs="Calibri"/>
          <w:sz w:val="22"/>
          <w:szCs w:val="22"/>
          <w:lang w:eastAsia="en-US"/>
        </w:rPr>
        <w:t>, jednatelem</w:t>
      </w:r>
    </w:p>
    <w:p w14:paraId="436B0C51" w14:textId="77777777" w:rsidR="007A0AFD" w:rsidRPr="00234090" w:rsidRDefault="007A0AFD" w:rsidP="007A0AFD">
      <w:pPr>
        <w:spacing w:line="260" w:lineRule="exact"/>
        <w:rPr>
          <w:rFonts w:ascii="Calibri" w:hAnsi="Calibri" w:cs="Calibri"/>
          <w:sz w:val="22"/>
          <w:szCs w:val="22"/>
          <w:lang w:eastAsia="en-US"/>
        </w:rPr>
      </w:pPr>
      <w:r w:rsidRPr="00234090">
        <w:rPr>
          <w:rFonts w:ascii="Calibri" w:hAnsi="Calibri" w:cs="Calibri"/>
          <w:sz w:val="22"/>
          <w:szCs w:val="22"/>
          <w:lang w:eastAsia="en-US"/>
        </w:rPr>
        <w:t>č. účtu 29905591/0100</w:t>
      </w:r>
    </w:p>
    <w:p w14:paraId="7CC4513E" w14:textId="77777777" w:rsidR="007A0AFD" w:rsidRPr="00840271" w:rsidRDefault="007A0AFD" w:rsidP="007A0AFD">
      <w:p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175613F6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77A2625E"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>uzavřel Objednatel se Zhotovitelem Rámco</w:t>
      </w:r>
      <w:r w:rsidR="0030383A">
        <w:rPr>
          <w:color w:val="000000"/>
          <w:sz w:val="22"/>
          <w:szCs w:val="22"/>
          <w:lang w:bidi="cs-CZ"/>
        </w:rPr>
        <w:t>vou dohodu, na základě které se </w:t>
      </w:r>
      <w:r w:rsidRPr="005E1CEA">
        <w:rPr>
          <w:color w:val="000000"/>
          <w:sz w:val="22"/>
          <w:szCs w:val="22"/>
          <w:lang w:bidi="cs-CZ"/>
        </w:rPr>
        <w:t xml:space="preserve">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7FF85E5B" w:rsidR="008F61F4" w:rsidRPr="007A4797" w:rsidRDefault="008F61F4" w:rsidP="00E67927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 xml:space="preserve">Na základě Rámcové dohody jsou uzavírány Prováděcí smlouvy v tzv. minitendrech, tedy na 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B690A" w:rsidRPr="007A4797">
        <w:rPr>
          <w:color w:val="000000"/>
          <w:sz w:val="22"/>
          <w:szCs w:val="22"/>
          <w:lang w:bidi="cs-CZ"/>
        </w:rPr>
        <w:br/>
      </w:r>
      <w:r w:rsidR="008E512B" w:rsidRPr="002D1D5A">
        <w:rPr>
          <w:rFonts w:ascii="Calibri" w:hAnsi="Calibri" w:cs="Calibri"/>
          <w:sz w:val="22"/>
          <w:szCs w:val="22"/>
        </w:rPr>
        <w:t>N006/23/V00028603</w:t>
      </w:r>
      <w:r w:rsidR="00E67927" w:rsidRPr="00E67927">
        <w:rPr>
          <w:color w:val="000000"/>
          <w:sz w:val="22"/>
          <w:szCs w:val="22"/>
          <w:lang w:bidi="cs-CZ"/>
        </w:rPr>
        <w:t xml:space="preserve"> </w:t>
      </w:r>
      <w:r w:rsidR="00343EF7" w:rsidRPr="007A4797">
        <w:rPr>
          <w:color w:val="000000"/>
          <w:sz w:val="22"/>
          <w:szCs w:val="22"/>
          <w:lang w:bidi="cs-CZ"/>
        </w:rPr>
        <w:t>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</w:t>
      </w:r>
      <w:r w:rsidR="00343EF7" w:rsidRPr="00D33F42">
        <w:rPr>
          <w:b/>
          <w:color w:val="000000"/>
          <w:sz w:val="22"/>
          <w:szCs w:val="22"/>
          <w:lang w:bidi="cs-CZ"/>
        </w:rPr>
        <w:t xml:space="preserve">Tisk </w:t>
      </w:r>
      <w:r w:rsidR="000767F0" w:rsidRPr="00D33F42">
        <w:rPr>
          <w:b/>
          <w:color w:val="000000"/>
          <w:sz w:val="22"/>
          <w:szCs w:val="22"/>
          <w:lang w:bidi="cs-CZ"/>
        </w:rPr>
        <w:t>knihy</w:t>
      </w:r>
      <w:r w:rsidR="00FB0C90" w:rsidRPr="00D33F42">
        <w:rPr>
          <w:b/>
          <w:color w:val="000000"/>
          <w:sz w:val="22"/>
          <w:szCs w:val="22"/>
          <w:lang w:bidi="cs-CZ"/>
        </w:rPr>
        <w:t xml:space="preserve"> </w:t>
      </w:r>
      <w:r w:rsidR="000452E4" w:rsidRPr="00D33F42">
        <w:rPr>
          <w:rFonts w:eastAsia="Times New Roman" w:cs="Times New Roman"/>
          <w:b/>
          <w:sz w:val="22"/>
          <w:szCs w:val="22"/>
        </w:rPr>
        <w:t>Pamatují Napoleona II</w:t>
      </w:r>
      <w:r w:rsidR="000B690A" w:rsidRPr="00FB0C90">
        <w:rPr>
          <w:b/>
          <w:color w:val="000000"/>
          <w:sz w:val="22"/>
          <w:szCs w:val="22"/>
          <w:lang w:bidi="cs-CZ"/>
        </w:rPr>
        <w:t xml:space="preserve">. 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 ohledem na skutečnost, že nabídka Zhotovitele byla v rámci minitendru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037FF2E0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  <w:r w:rsidR="0030383A">
        <w:rPr>
          <w:color w:val="000000"/>
          <w:sz w:val="22"/>
          <w:szCs w:val="22"/>
          <w:lang w:bidi="cs-CZ"/>
        </w:rPr>
        <w:t xml:space="preserve"> </w:t>
      </w:r>
    </w:p>
    <w:p w14:paraId="5E953525" w14:textId="77777777" w:rsidR="0030383A" w:rsidRPr="00CC0EAA" w:rsidRDefault="0030383A" w:rsidP="0030383A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Předmět Prováděcí smlouvy</w:t>
      </w:r>
    </w:p>
    <w:p w14:paraId="4CA6E999" w14:textId="4F6BD56C" w:rsidR="008F61F4" w:rsidRPr="005E1CEA" w:rsidRDefault="008F61F4" w:rsidP="008A73C8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343EF7" w:rsidRPr="00BE0840">
        <w:rPr>
          <w:b/>
          <w:color w:val="000000"/>
          <w:sz w:val="22"/>
          <w:szCs w:val="22"/>
          <w:lang w:bidi="cs-CZ"/>
        </w:rPr>
        <w:t xml:space="preserve">tisk </w:t>
      </w:r>
      <w:r w:rsidR="000767F0" w:rsidRPr="00BE0840">
        <w:rPr>
          <w:b/>
          <w:color w:val="000000"/>
          <w:sz w:val="22"/>
          <w:szCs w:val="22"/>
          <w:lang w:bidi="cs-CZ"/>
        </w:rPr>
        <w:t xml:space="preserve">knihy </w:t>
      </w:r>
      <w:r w:rsidR="000452E4" w:rsidRPr="00BE0840">
        <w:rPr>
          <w:rFonts w:eastAsia="Times New Roman" w:cs="Times New Roman"/>
          <w:b/>
          <w:sz w:val="22"/>
          <w:szCs w:val="22"/>
        </w:rPr>
        <w:t>Pamatují Napoleona II</w:t>
      </w:r>
      <w:r w:rsidR="001E274B">
        <w:rPr>
          <w:b/>
          <w:color w:val="000000"/>
          <w:sz w:val="22"/>
          <w:szCs w:val="22"/>
          <w:lang w:bidi="cs-CZ"/>
        </w:rPr>
        <w:t>,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CD1034A" w14:textId="77777777"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039493A1" w14:textId="77D13F85" w:rsidR="00D048D4" w:rsidRPr="002A3DC5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Smluvní strany se dohodly, že cena za poskytnutí plnění </w:t>
      </w:r>
      <w:r>
        <w:rPr>
          <w:color w:val="000000"/>
          <w:sz w:val="22"/>
          <w:szCs w:val="22"/>
          <w:lang w:bidi="cs-CZ"/>
        </w:rPr>
        <w:t>Zhotovitelem</w:t>
      </w:r>
      <w:r w:rsidRPr="005E1CEA">
        <w:rPr>
          <w:color w:val="000000"/>
          <w:sz w:val="22"/>
          <w:szCs w:val="22"/>
          <w:lang w:bidi="cs-CZ"/>
        </w:rPr>
        <w:t xml:space="preserve"> dle této Prováděcí smlouvy činí </w:t>
      </w:r>
      <w:r w:rsidR="007A0AFD">
        <w:rPr>
          <w:rFonts w:ascii="Calibri" w:hAnsi="Calibri" w:cs="Calibri"/>
          <w:sz w:val="22"/>
          <w:szCs w:val="22"/>
        </w:rPr>
        <w:t>115.100</w:t>
      </w:r>
      <w:r w:rsidRPr="006500AF">
        <w:rPr>
          <w:color w:val="000000"/>
          <w:sz w:val="22"/>
          <w:szCs w:val="22"/>
          <w:lang w:bidi="cs-CZ"/>
        </w:rPr>
        <w:t xml:space="preserve">,- Kč </w:t>
      </w:r>
      <w:r w:rsidR="00C02540">
        <w:rPr>
          <w:color w:val="000000"/>
          <w:sz w:val="22"/>
          <w:szCs w:val="22"/>
          <w:lang w:bidi="cs-CZ"/>
        </w:rPr>
        <w:t xml:space="preserve">bez </w:t>
      </w:r>
      <w:r w:rsidRPr="006500AF">
        <w:rPr>
          <w:color w:val="000000"/>
          <w:sz w:val="22"/>
          <w:szCs w:val="22"/>
          <w:lang w:bidi="cs-CZ"/>
        </w:rPr>
        <w:t xml:space="preserve">DPH, </w:t>
      </w:r>
    </w:p>
    <w:p w14:paraId="6A622683" w14:textId="73D3B72F" w:rsidR="002A3DC5" w:rsidRPr="00D048D4" w:rsidRDefault="002A3DC5" w:rsidP="002A3DC5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cs-CZ"/>
        </w:rPr>
        <w:t xml:space="preserve">DPH ve výši </w:t>
      </w:r>
      <w:r w:rsidR="007A0AFD">
        <w:rPr>
          <w:rFonts w:ascii="Calibri" w:hAnsi="Calibri" w:cs="Calibri"/>
          <w:sz w:val="22"/>
          <w:szCs w:val="22"/>
        </w:rPr>
        <w:t>11.510,-</w:t>
      </w:r>
      <w:r>
        <w:rPr>
          <w:color w:val="000000"/>
          <w:sz w:val="22"/>
          <w:szCs w:val="22"/>
          <w:lang w:bidi="cs-CZ"/>
        </w:rPr>
        <w:t>Kč</w:t>
      </w:r>
    </w:p>
    <w:p w14:paraId="797827DD" w14:textId="35677F06" w:rsidR="008F61F4" w:rsidRPr="00AF79C1" w:rsidRDefault="007A0AFD" w:rsidP="00D048D4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126.610,-</w:t>
      </w:r>
      <w:r w:rsidR="008F61F4" w:rsidRPr="005E1CEA">
        <w:rPr>
          <w:color w:val="000000"/>
          <w:sz w:val="22"/>
          <w:szCs w:val="22"/>
          <w:lang w:bidi="cs-CZ"/>
        </w:rPr>
        <w:t xml:space="preserve"> Kč včetně DPH.</w:t>
      </w:r>
      <w:r w:rsidR="008F61F4">
        <w:rPr>
          <w:sz w:val="22"/>
          <w:szCs w:val="22"/>
        </w:rPr>
        <w:t xml:space="preserve"> </w:t>
      </w:r>
    </w:p>
    <w:p w14:paraId="119E3E67" w14:textId="38BEC4B0" w:rsidR="008F61F4" w:rsidRPr="0030383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098C7606" w14:textId="03C501F7" w:rsidR="0030383A" w:rsidRDefault="0030383A" w:rsidP="0030383A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color w:val="000000"/>
          <w:sz w:val="22"/>
          <w:szCs w:val="22"/>
          <w:lang w:bidi="cs-CZ"/>
        </w:rPr>
      </w:pPr>
    </w:p>
    <w:p w14:paraId="37E92032" w14:textId="77777777" w:rsidR="0030383A" w:rsidRPr="0049799D" w:rsidRDefault="0030383A" w:rsidP="0030383A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Doba a místo plnění</w:t>
      </w:r>
    </w:p>
    <w:p w14:paraId="4BDD5F12" w14:textId="04697474" w:rsidR="008F61F4" w:rsidRPr="00462668" w:rsidRDefault="008F61F4" w:rsidP="008F2AD8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0767F0">
        <w:rPr>
          <w:color w:val="000000"/>
          <w:lang w:bidi="cs-CZ"/>
        </w:rPr>
        <w:t>30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06952616" w14:textId="559B1A5F"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>místo</w:t>
      </w:r>
      <w:r w:rsidR="0030383A">
        <w:rPr>
          <w:color w:val="000000"/>
          <w:lang w:bidi="cs-CZ"/>
        </w:rPr>
        <w:t xml:space="preserve"> plnění dle Rámcové dohody, tj. 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30383A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1C73DE53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v likvidaci nebo vůči jeho majetku probíhá insolvenční řízení, v němž bylo vydáno rozhodnutí o úpadku, nebo byl insolvenční návrh zamítnut </w:t>
      </w:r>
      <w:r w:rsidR="0030383A">
        <w:rPr>
          <w:rFonts w:ascii="Calibri" w:eastAsia="Calibri" w:hAnsi="Calibri" w:cs="Calibri"/>
          <w:color w:val="000000"/>
          <w:sz w:val="22"/>
          <w:szCs w:val="22"/>
          <w:lang w:bidi="cs-CZ"/>
        </w:rPr>
        <w:t>proto, že majetek nepostačuje k 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2EB01D46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</w:t>
      </w:r>
      <w:r w:rsidR="0030383A">
        <w:rPr>
          <w:rFonts w:ascii="Calibri" w:eastAsia="Calibri" w:hAnsi="Calibri" w:cs="Calibri"/>
          <w:color w:val="000000"/>
          <w:sz w:val="22"/>
          <w:szCs w:val="22"/>
          <w:lang w:bidi="cs-CZ"/>
        </w:rPr>
        <w:t>ápravu ani v dodatečné lhůtě mu 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poskytnuté Zhotovitelem.</w:t>
      </w:r>
    </w:p>
    <w:p w14:paraId="63930E3B" w14:textId="77777777" w:rsidR="008F61F4" w:rsidRDefault="008F61F4" w:rsidP="008F2AD8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648D9AC5" w:rsidR="008F61F4" w:rsidRDefault="008F61F4" w:rsidP="0030383A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</w:t>
      </w:r>
      <w:r w:rsidR="0030383A">
        <w:rPr>
          <w:color w:val="000000"/>
          <w:lang w:bidi="cs-CZ"/>
        </w:rPr>
        <w:t>být učiněn v písemné formě a je </w:t>
      </w:r>
      <w:r w:rsidRPr="00AE0093">
        <w:rPr>
          <w:color w:val="000000"/>
          <w:lang w:bidi="cs-CZ"/>
        </w:rPr>
        <w:t xml:space="preserve">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8F2AD8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EF1F3A8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633ED857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V případě, že se ujednání obsažené v této Prováděcí smlouvě bude odchylovat od ustanovení obsaženého v Rámcové dohodě, má ujednání obsažené v této Prováděcí smlouvě přednost před </w:t>
      </w:r>
      <w:r w:rsidRPr="005F1E26">
        <w:rPr>
          <w:color w:val="000000"/>
          <w:sz w:val="22"/>
          <w:szCs w:val="22"/>
          <w:lang w:bidi="cs-CZ"/>
        </w:rPr>
        <w:lastRenderedPageBreak/>
        <w:t>ustanovením obsaženým v Rámcové dohodě, ovšem pouze ohledně plnění sjednaného v této Prováděcí smlouvě. V otázkách touto Prováděcí smlouvou neupravených se použijí ustanovení Rámcové dohody.</w:t>
      </w:r>
    </w:p>
    <w:p w14:paraId="7CFE7943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385837D0" w:rsidR="008F61F4" w:rsidRPr="0059060B" w:rsidRDefault="008F61F4" w:rsidP="0030383A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Na důkaz toho, že Smluvní strany s obsahem této Prováděcí smlouvy souhlasí, rozumí jí a zavazují se k 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42E54F91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 xml:space="preserve">V Praze 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F77D44C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7A0AFD">
              <w:rPr>
                <w:rFonts w:ascii="Calibri" w:hAnsi="Calibri"/>
                <w:sz w:val="22"/>
                <w:szCs w:val="22"/>
              </w:rPr>
              <w:t>Litomyšli</w:t>
            </w:r>
            <w:r w:rsidRPr="005E1CE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073C08E" w14:textId="40CF1559" w:rsidR="008F61F4" w:rsidRPr="005E1CEA" w:rsidRDefault="007A0AF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Leoš Tupec</w:t>
            </w:r>
          </w:p>
          <w:p w14:paraId="23AEFC2D" w14:textId="6372D3F1" w:rsidR="008F61F4" w:rsidRPr="005E1CEA" w:rsidRDefault="007A0AF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30383A">
          <w:footerReference w:type="default" r:id="rId8"/>
          <w:headerReference w:type="first" r:id="rId9"/>
          <w:pgSz w:w="11906" w:h="16838"/>
          <w:pgMar w:top="1134" w:right="1134" w:bottom="284" w:left="1134" w:header="708" w:footer="708" w:gutter="0"/>
          <w:cols w:space="708"/>
          <w:titlePg/>
          <w:docGrid w:linePitch="360"/>
        </w:sectPr>
      </w:pPr>
    </w:p>
    <w:p w14:paraId="173853C5" w14:textId="5FE626FF" w:rsidR="002114E2" w:rsidRPr="00FB0C90" w:rsidRDefault="002114E2" w:rsidP="0030383A">
      <w:pPr>
        <w:pStyle w:val="Normal2"/>
        <w:keepNext/>
        <w:ind w:left="142"/>
        <w:contextualSpacing/>
        <w:jc w:val="left"/>
        <w:rPr>
          <w:rFonts w:asciiTheme="minorHAnsi" w:hAnsiTheme="minorHAns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>plnění: tis</w:t>
      </w:r>
      <w:r w:rsidRPr="008A73C8">
        <w:rPr>
          <w:rFonts w:ascii="Calibri" w:hAnsi="Calibri"/>
          <w:b/>
        </w:rPr>
        <w:t xml:space="preserve">k </w:t>
      </w:r>
      <w:r w:rsidR="008077EC" w:rsidRPr="00FB0C90">
        <w:rPr>
          <w:rFonts w:asciiTheme="minorHAnsi" w:hAnsiTheme="minorHAnsi"/>
          <w:b/>
        </w:rPr>
        <w:t>knihy</w:t>
      </w:r>
      <w:r w:rsidR="00FB0C90" w:rsidRPr="00FB0C90">
        <w:rPr>
          <w:rFonts w:asciiTheme="minorHAnsi" w:hAnsiTheme="minorHAnsi"/>
          <w:b/>
        </w:rPr>
        <w:t xml:space="preserve"> </w:t>
      </w:r>
      <w:r w:rsidR="000452E4">
        <w:rPr>
          <w:rFonts w:asciiTheme="minorHAnsi" w:hAnsiTheme="minorHAnsi"/>
          <w:b/>
        </w:rPr>
        <w:t>Pamatují Napoleona II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6831ACA7" w14:textId="7ED3F910" w:rsidR="00D61453" w:rsidRPr="006B61A9" w:rsidRDefault="009B062D" w:rsidP="0030383A">
      <w:pPr>
        <w:spacing w:line="315" w:lineRule="atLeast"/>
        <w:ind w:left="142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29D36210" w14:textId="77777777" w:rsidR="000452E4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Formát 225x225 mm (obálka 230x230 mm)</w:t>
      </w:r>
    </w:p>
    <w:p w14:paraId="2D65CFC3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Vazba:  </w:t>
      </w:r>
      <w:r>
        <w:rPr>
          <w:rFonts w:ascii="Calibri" w:hAnsi="Calibri"/>
          <w:bCs/>
          <w:color w:val="000000"/>
          <w:sz w:val="22"/>
          <w:szCs w:val="22"/>
        </w:rPr>
        <w:t>V8 rovný hřbet</w:t>
      </w:r>
    </w:p>
    <w:p w14:paraId="35E03E69" w14:textId="77777777" w:rsidR="000452E4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</w:t>
      </w:r>
      <w:r w:rsidRPr="00CD3FFE">
        <w:rPr>
          <w:rFonts w:ascii="Calibri" w:hAnsi="Calibri"/>
          <w:bCs/>
          <w:color w:val="000000"/>
          <w:sz w:val="22"/>
          <w:szCs w:val="22"/>
        </w:rPr>
        <w:t>bálka:  4/</w:t>
      </w:r>
      <w:r>
        <w:rPr>
          <w:rFonts w:ascii="Calibri" w:hAnsi="Calibri"/>
          <w:bCs/>
          <w:color w:val="000000"/>
          <w:sz w:val="22"/>
          <w:szCs w:val="22"/>
        </w:rPr>
        <w:t>0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CMYK, papír K</w:t>
      </w:r>
      <w:r>
        <w:rPr>
          <w:rFonts w:ascii="Calibri" w:hAnsi="Calibri"/>
          <w:bCs/>
          <w:color w:val="000000"/>
          <w:sz w:val="22"/>
          <w:szCs w:val="22"/>
        </w:rPr>
        <w:t>L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135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g</w:t>
      </w:r>
      <w:r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Pr="00CD3FFE">
        <w:rPr>
          <w:rFonts w:ascii="Calibri" w:hAnsi="Calibri"/>
          <w:bCs/>
          <w:color w:val="000000"/>
          <w:sz w:val="22"/>
          <w:szCs w:val="22"/>
        </w:rPr>
        <w:t>matné lamino 1/0</w:t>
      </w:r>
    </w:p>
    <w:p w14:paraId="76C7226D" w14:textId="77777777" w:rsidR="000452E4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Předsádky: 0/0, BO 140g</w:t>
      </w:r>
    </w:p>
    <w:p w14:paraId="50809919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Kapitálek bílý </w:t>
      </w:r>
    </w:p>
    <w:p w14:paraId="707E2454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Blok: 264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stran, 4/4, papír </w:t>
      </w:r>
      <w:r>
        <w:rPr>
          <w:rFonts w:ascii="Calibri" w:hAnsi="Calibri"/>
          <w:bCs/>
          <w:color w:val="000000"/>
          <w:sz w:val="22"/>
          <w:szCs w:val="22"/>
        </w:rPr>
        <w:t>G-print 130g</w:t>
      </w:r>
    </w:p>
    <w:p w14:paraId="324498F6" w14:textId="77777777" w:rsidR="000452E4" w:rsidRPr="00CD3FFE" w:rsidRDefault="000452E4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Náklad: </w:t>
      </w:r>
      <w:r>
        <w:rPr>
          <w:rFonts w:ascii="Calibri" w:hAnsi="Calibri"/>
          <w:bCs/>
          <w:color w:val="000000"/>
          <w:sz w:val="22"/>
          <w:szCs w:val="22"/>
        </w:rPr>
        <w:t>4</w:t>
      </w:r>
      <w:r w:rsidRPr="00CD3FFE">
        <w:rPr>
          <w:rFonts w:ascii="Calibri" w:hAnsi="Calibri"/>
          <w:bCs/>
          <w:color w:val="000000"/>
          <w:sz w:val="22"/>
          <w:szCs w:val="22"/>
        </w:rPr>
        <w:t>00 ks</w:t>
      </w:r>
    </w:p>
    <w:p w14:paraId="477803C2" w14:textId="77777777" w:rsidR="00860753" w:rsidRPr="00CD3FFE" w:rsidRDefault="00860753" w:rsidP="0030383A">
      <w:pPr>
        <w:ind w:left="142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>Doprava na adresu: Sklad publikací NPÚ, GnŘ, Liliová 219/5, 110 01 Praha 1 – Staré Město</w:t>
      </w:r>
    </w:p>
    <w:p w14:paraId="5AEF6A45" w14:textId="77777777" w:rsidR="009B062D" w:rsidRPr="008A73C8" w:rsidRDefault="009B062D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</w:p>
    <w:p w14:paraId="2DCCB06F" w14:textId="35EB27FA" w:rsidR="009B062D" w:rsidRPr="008A73C8" w:rsidRDefault="009B062D" w:rsidP="0030383A">
      <w:pPr>
        <w:spacing w:line="315" w:lineRule="atLeast"/>
        <w:ind w:left="142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333C5F9" w:rsidR="009B062D" w:rsidRPr="008A73C8" w:rsidRDefault="000767F0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Digitální, případně papírové 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>plotry,</w:t>
      </w:r>
      <w:r>
        <w:rPr>
          <w:rFonts w:ascii="Calibri" w:hAnsi="Calibri"/>
          <w:bCs/>
          <w:color w:val="000000"/>
          <w:sz w:val="22"/>
          <w:szCs w:val="22"/>
        </w:rPr>
        <w:t xml:space="preserve"> nátisk obálky a vybraných stran do rozsahu 2xA3,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 xml:space="preserve"> doprava na adresu: NPÚ, Valdštejnské náměstí 3, 118 00 Praha 1,</w:t>
      </w:r>
    </w:p>
    <w:p w14:paraId="31B1CBB6" w14:textId="53C8BEE9" w:rsidR="009B062D" w:rsidRPr="008A73C8" w:rsidRDefault="009B062D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30383A">
      <w:pPr>
        <w:spacing w:line="315" w:lineRule="atLeast"/>
        <w:ind w:left="142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30383A">
      <w:pPr>
        <w:spacing w:line="315" w:lineRule="atLeast"/>
        <w:ind w:left="142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BDD74" w14:textId="77777777" w:rsidR="003702C7" w:rsidRDefault="003702C7">
      <w:r>
        <w:separator/>
      </w:r>
    </w:p>
  </w:endnote>
  <w:endnote w:type="continuationSeparator" w:id="0">
    <w:p w14:paraId="62A31C55" w14:textId="77777777" w:rsidR="003702C7" w:rsidRDefault="0037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83D4928" w14:textId="2B02E027" w:rsidR="00BD79C9" w:rsidRDefault="00BD79C9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767CB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767CB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BD79C9" w:rsidRDefault="00BD7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21FAE" w14:textId="77777777" w:rsidR="003702C7" w:rsidRDefault="003702C7">
      <w:r>
        <w:separator/>
      </w:r>
    </w:p>
  </w:footnote>
  <w:footnote w:type="continuationSeparator" w:id="0">
    <w:p w14:paraId="703C6EAF" w14:textId="77777777" w:rsidR="003702C7" w:rsidRDefault="0037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C733A" w14:textId="77777777" w:rsidR="0030383A" w:rsidRPr="005E5328" w:rsidRDefault="0030383A" w:rsidP="0030383A">
    <w:pPr>
      <w:suppressAutoHyphens/>
      <w:ind w:left="142" w:right="-285" w:hanging="567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1824" behindDoc="1" locked="0" layoutInCell="1" allowOverlap="1" wp14:anchorId="6F3B8F56" wp14:editId="5AF6D758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  <w:t xml:space="preserve">ev.č.: </w:t>
    </w:r>
    <w:r>
      <w:rPr>
        <w:rFonts w:ascii="Calibri" w:eastAsia="Calibri" w:hAnsi="Calibri" w:cs="Calibri"/>
        <w:sz w:val="18"/>
        <w:szCs w:val="18"/>
        <w:lang w:eastAsia="zh-CN"/>
      </w:rPr>
      <w:t>232</w:t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>/310/2023</w:t>
    </w:r>
  </w:p>
  <w:p w14:paraId="21FD2661" w14:textId="77777777" w:rsidR="0030383A" w:rsidRPr="005E5328" w:rsidRDefault="0030383A" w:rsidP="0030383A">
    <w:pPr>
      <w:suppressAutoHyphens/>
      <w:ind w:left="7799" w:right="-285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sz w:val="18"/>
        <w:szCs w:val="18"/>
        <w:lang w:val="x-none" w:eastAsia="zh-CN"/>
      </w:rPr>
      <w:t>č.j.: 310/</w:t>
    </w:r>
    <w:r>
      <w:rPr>
        <w:rFonts w:ascii="Calibri" w:eastAsia="Calibri" w:hAnsi="Calibri" w:cs="Calibri"/>
        <w:sz w:val="18"/>
        <w:szCs w:val="18"/>
        <w:lang w:eastAsia="zh-CN"/>
      </w:rPr>
      <w:t>92231</w:t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>/2023</w:t>
    </w:r>
  </w:p>
  <w:p w14:paraId="07B61475" w14:textId="77777777" w:rsidR="0030383A" w:rsidRPr="005E5328" w:rsidRDefault="0030383A" w:rsidP="0030383A">
    <w:pPr>
      <w:suppressAutoHyphens/>
      <w:ind w:left="703" w:hanging="567"/>
      <w:rPr>
        <w:rFonts w:ascii="Calibri" w:eastAsia="Calibri" w:hAnsi="Calibri" w:cs="Calibri"/>
        <w:sz w:val="20"/>
        <w:szCs w:val="20"/>
        <w:lang w:val="x-none" w:eastAsia="zh-CN"/>
      </w:rPr>
    </w:pPr>
  </w:p>
  <w:p w14:paraId="39ED9708" w14:textId="77777777" w:rsidR="0030383A" w:rsidRDefault="003038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4"/>
    <w:rsid w:val="00026313"/>
    <w:rsid w:val="00034ED1"/>
    <w:rsid w:val="000452E4"/>
    <w:rsid w:val="000767F0"/>
    <w:rsid w:val="000A693A"/>
    <w:rsid w:val="000B437F"/>
    <w:rsid w:val="000B690A"/>
    <w:rsid w:val="000B6BC8"/>
    <w:rsid w:val="000D54B1"/>
    <w:rsid w:val="00192FF6"/>
    <w:rsid w:val="001C1AD5"/>
    <w:rsid w:val="001C3921"/>
    <w:rsid w:val="001E274B"/>
    <w:rsid w:val="002114E2"/>
    <w:rsid w:val="00236AFC"/>
    <w:rsid w:val="002A3DC5"/>
    <w:rsid w:val="002A685C"/>
    <w:rsid w:val="0030383A"/>
    <w:rsid w:val="00330D6F"/>
    <w:rsid w:val="00343EF7"/>
    <w:rsid w:val="003702C7"/>
    <w:rsid w:val="003B5BE9"/>
    <w:rsid w:val="00483463"/>
    <w:rsid w:val="004C7DF7"/>
    <w:rsid w:val="004D19C3"/>
    <w:rsid w:val="004E0C9F"/>
    <w:rsid w:val="00520EEA"/>
    <w:rsid w:val="00535BA4"/>
    <w:rsid w:val="00572EE0"/>
    <w:rsid w:val="005767CB"/>
    <w:rsid w:val="005E5328"/>
    <w:rsid w:val="006B61A9"/>
    <w:rsid w:val="006F7644"/>
    <w:rsid w:val="00702BF1"/>
    <w:rsid w:val="00710CB4"/>
    <w:rsid w:val="007501DD"/>
    <w:rsid w:val="00771D62"/>
    <w:rsid w:val="007A0AFD"/>
    <w:rsid w:val="007A4797"/>
    <w:rsid w:val="007D0294"/>
    <w:rsid w:val="008077EC"/>
    <w:rsid w:val="00860753"/>
    <w:rsid w:val="00866011"/>
    <w:rsid w:val="00886170"/>
    <w:rsid w:val="008A2FDC"/>
    <w:rsid w:val="008A73C8"/>
    <w:rsid w:val="008E512B"/>
    <w:rsid w:val="008F2AD8"/>
    <w:rsid w:val="008F61F4"/>
    <w:rsid w:val="00922285"/>
    <w:rsid w:val="009B062D"/>
    <w:rsid w:val="009C65D2"/>
    <w:rsid w:val="00A55BF4"/>
    <w:rsid w:val="00A62EB8"/>
    <w:rsid w:val="00AE2D92"/>
    <w:rsid w:val="00B2188F"/>
    <w:rsid w:val="00B26881"/>
    <w:rsid w:val="00B31834"/>
    <w:rsid w:val="00B6251D"/>
    <w:rsid w:val="00BD2FD2"/>
    <w:rsid w:val="00BD79C9"/>
    <w:rsid w:val="00BE0840"/>
    <w:rsid w:val="00C02540"/>
    <w:rsid w:val="00C21A9A"/>
    <w:rsid w:val="00C23502"/>
    <w:rsid w:val="00C26F79"/>
    <w:rsid w:val="00C27E30"/>
    <w:rsid w:val="00C357F4"/>
    <w:rsid w:val="00CC7E74"/>
    <w:rsid w:val="00CD3FFE"/>
    <w:rsid w:val="00CD5776"/>
    <w:rsid w:val="00CE72FF"/>
    <w:rsid w:val="00D048D4"/>
    <w:rsid w:val="00D1003C"/>
    <w:rsid w:val="00D33F42"/>
    <w:rsid w:val="00D42F49"/>
    <w:rsid w:val="00D6018E"/>
    <w:rsid w:val="00D61453"/>
    <w:rsid w:val="00D90B86"/>
    <w:rsid w:val="00DB3722"/>
    <w:rsid w:val="00DD1795"/>
    <w:rsid w:val="00DE6FA8"/>
    <w:rsid w:val="00DF6657"/>
    <w:rsid w:val="00E30E26"/>
    <w:rsid w:val="00E67927"/>
    <w:rsid w:val="00E74303"/>
    <w:rsid w:val="00EB0F0C"/>
    <w:rsid w:val="00EE0BBE"/>
    <w:rsid w:val="00F37213"/>
    <w:rsid w:val="00F622E8"/>
    <w:rsid w:val="00F66335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AE31D"/>
  <w15:docId w15:val="{0615466A-CAE0-402B-B6D9-3AAACB9E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5E53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53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9D66-B6DB-498B-A23C-44CB02D1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12</cp:revision>
  <dcterms:created xsi:type="dcterms:W3CDTF">2023-10-09T07:37:00Z</dcterms:created>
  <dcterms:modified xsi:type="dcterms:W3CDTF">2023-11-06T09:37:00Z</dcterms:modified>
</cp:coreProperties>
</file>