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52BAE59A" w:rsidR="00612D4D" w:rsidRPr="002208A1" w:rsidRDefault="003C7370" w:rsidP="00AF2333">
      <w:pPr>
        <w:jc w:val="center"/>
        <w:rPr>
          <w:b/>
          <w:sz w:val="44"/>
          <w:szCs w:val="44"/>
        </w:rPr>
      </w:pPr>
      <w:r>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23F31A26" w:rsidR="00612D4D" w:rsidRPr="009527D3" w:rsidRDefault="0019224C" w:rsidP="004C6515">
            <w:pPr>
              <w:rPr>
                <w:sz w:val="22"/>
                <w:szCs w:val="22"/>
              </w:rPr>
            </w:pPr>
            <w:r w:rsidRPr="0019224C">
              <w:rPr>
                <w:b/>
                <w:sz w:val="22"/>
                <w:szCs w:val="22"/>
              </w:rPr>
              <w:t>Vlastivědné muzeum Dr. Hostaše v Klatovech,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4AE7DFC0" w:rsidR="00612D4D" w:rsidRPr="009527D3" w:rsidRDefault="0019224C" w:rsidP="004C6515">
            <w:pPr>
              <w:rPr>
                <w:sz w:val="22"/>
                <w:szCs w:val="22"/>
              </w:rPr>
            </w:pPr>
            <w:r w:rsidRPr="0019224C">
              <w:rPr>
                <w:sz w:val="22"/>
                <w:szCs w:val="22"/>
              </w:rPr>
              <w:t>Hostašova 1, Klatovy, 339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6C99100D" w:rsidR="00612D4D" w:rsidRPr="009527D3" w:rsidRDefault="0019224C" w:rsidP="004C6515">
            <w:pPr>
              <w:rPr>
                <w:sz w:val="22"/>
                <w:szCs w:val="22"/>
              </w:rPr>
            </w:pPr>
            <w:r w:rsidRPr="0019224C">
              <w:rPr>
                <w:sz w:val="22"/>
                <w:szCs w:val="22"/>
              </w:rPr>
              <w:t>00075078</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23A84143" w:rsidR="00612D4D" w:rsidRPr="009527D3" w:rsidRDefault="00771AF7" w:rsidP="004C6515">
            <w:pPr>
              <w:rPr>
                <w:sz w:val="22"/>
                <w:szCs w:val="22"/>
              </w:rPr>
            </w:pPr>
            <w:r w:rsidRPr="00771AF7">
              <w:rPr>
                <w:sz w:val="22"/>
                <w:szCs w:val="22"/>
              </w:rPr>
              <w:t>CZ00075078</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4071A852" w:rsidR="00612D4D" w:rsidRPr="009527D3" w:rsidRDefault="0019224C" w:rsidP="004C6515">
            <w:pPr>
              <w:rPr>
                <w:sz w:val="22"/>
                <w:szCs w:val="22"/>
              </w:rPr>
            </w:pPr>
            <w:r w:rsidRPr="0019224C">
              <w:rPr>
                <w:sz w:val="22"/>
                <w:szCs w:val="22"/>
              </w:rPr>
              <w:t>Mgr. Luboš Smolík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5BB2C1DC" w:rsidR="00612D4D" w:rsidRPr="009527D3" w:rsidRDefault="00F94424" w:rsidP="004C6515">
            <w:pPr>
              <w:rPr>
                <w:sz w:val="22"/>
                <w:szCs w:val="22"/>
              </w:rPr>
            </w:pPr>
            <w:r>
              <w:rPr>
                <w:sz w:val="22"/>
                <w:szCs w:val="22"/>
              </w:rPr>
              <w:t>………………………………………..</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32920095" w:rsidR="00612D4D" w:rsidRPr="0014233B" w:rsidRDefault="0014233B" w:rsidP="006D083E">
            <w:pPr>
              <w:rPr>
                <w:b/>
                <w:sz w:val="22"/>
                <w:szCs w:val="22"/>
              </w:rPr>
            </w:pPr>
            <w:r w:rsidRPr="0014233B">
              <w:rPr>
                <w:b/>
                <w:sz w:val="22"/>
                <w:szCs w:val="22"/>
              </w:rPr>
              <w:t>KAPPENBERGER + BRAUN, Elektro – Technik spol. s 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7195AE24" w:rsidR="00612D4D" w:rsidRPr="009527D3" w:rsidRDefault="0014233B" w:rsidP="004C6515">
            <w:pPr>
              <w:rPr>
                <w:sz w:val="22"/>
                <w:szCs w:val="22"/>
              </w:rPr>
            </w:pPr>
            <w:r>
              <w:rPr>
                <w:sz w:val="22"/>
                <w:szCs w:val="22"/>
              </w:rPr>
              <w:t xml:space="preserve">Domažlická 172a, </w:t>
            </w:r>
            <w:proofErr w:type="spellStart"/>
            <w:r>
              <w:rPr>
                <w:sz w:val="22"/>
                <w:szCs w:val="22"/>
              </w:rPr>
              <w:t>Skvrňany</w:t>
            </w:r>
            <w:proofErr w:type="spellEnd"/>
            <w:r>
              <w:rPr>
                <w:sz w:val="22"/>
                <w:szCs w:val="22"/>
              </w:rPr>
              <w:t>, 318 00 Plzeň</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14233B" w:rsidRDefault="00612D4D" w:rsidP="004C6515">
            <w:pPr>
              <w:rPr>
                <w:sz w:val="22"/>
                <w:szCs w:val="22"/>
              </w:rPr>
            </w:pPr>
            <w:r w:rsidRPr="0014233B">
              <w:rPr>
                <w:sz w:val="22"/>
                <w:szCs w:val="22"/>
              </w:rPr>
              <w:t>IČ</w:t>
            </w:r>
            <w:r w:rsidR="00F340C2" w:rsidRPr="0014233B">
              <w:rPr>
                <w:sz w:val="22"/>
                <w:szCs w:val="22"/>
              </w:rPr>
              <w:t>O</w:t>
            </w:r>
            <w:r w:rsidRPr="0014233B">
              <w:rPr>
                <w:sz w:val="22"/>
                <w:szCs w:val="22"/>
              </w:rPr>
              <w:t>:</w:t>
            </w:r>
          </w:p>
        </w:tc>
        <w:tc>
          <w:tcPr>
            <w:tcW w:w="3538" w:type="pct"/>
            <w:tcMar>
              <w:left w:w="0" w:type="dxa"/>
            </w:tcMar>
          </w:tcPr>
          <w:p w14:paraId="33C818B8" w14:textId="2A0875A3" w:rsidR="00612D4D" w:rsidRPr="0014233B" w:rsidRDefault="0014233B" w:rsidP="004C6515">
            <w:pPr>
              <w:rPr>
                <w:sz w:val="22"/>
                <w:szCs w:val="22"/>
              </w:rPr>
            </w:pPr>
            <w:r w:rsidRPr="0014233B">
              <w:rPr>
                <w:sz w:val="22"/>
                <w:szCs w:val="22"/>
              </w:rPr>
              <w:t>16736907</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37C9557" w:rsidR="00612D4D" w:rsidRPr="009527D3" w:rsidRDefault="0014233B" w:rsidP="004C6515">
            <w:pPr>
              <w:rPr>
                <w:sz w:val="22"/>
                <w:szCs w:val="22"/>
              </w:rPr>
            </w:pPr>
            <w:r>
              <w:rPr>
                <w:sz w:val="22"/>
                <w:szCs w:val="22"/>
              </w:rPr>
              <w:t>CZ16736907</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4EAE03C8" w:rsidR="006D26AE" w:rsidRPr="009527D3" w:rsidRDefault="006D26AE" w:rsidP="0014233B">
            <w:pPr>
              <w:rPr>
                <w:sz w:val="22"/>
                <w:szCs w:val="22"/>
              </w:rPr>
            </w:pPr>
            <w:r w:rsidRPr="009527D3">
              <w:rPr>
                <w:sz w:val="22"/>
                <w:szCs w:val="22"/>
              </w:rPr>
              <w:t xml:space="preserve">Spisová značka: </w:t>
            </w:r>
            <w:r w:rsidR="0014233B">
              <w:rPr>
                <w:sz w:val="22"/>
                <w:szCs w:val="22"/>
              </w:rPr>
              <w:t>oddíl C, vložka 439</w:t>
            </w:r>
            <w:r w:rsidR="007C611D" w:rsidRPr="007C611D">
              <w:rPr>
                <w:sz w:val="22"/>
                <w:szCs w:val="22"/>
              </w:rPr>
              <w:t xml:space="preserve"> </w:t>
            </w:r>
            <w:r w:rsidRPr="009527D3">
              <w:rPr>
                <w:sz w:val="22"/>
                <w:szCs w:val="22"/>
              </w:rPr>
              <w:t xml:space="preserve">uvedená u </w:t>
            </w:r>
            <w:r w:rsidR="0014233B">
              <w:rPr>
                <w:sz w:val="22"/>
                <w:szCs w:val="22"/>
              </w:rPr>
              <w:t>Krajského soudu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562EA9CA" w:rsidR="00612D4D" w:rsidRPr="009527D3" w:rsidRDefault="0014233B" w:rsidP="004C6515">
            <w:pPr>
              <w:rPr>
                <w:sz w:val="22"/>
                <w:szCs w:val="22"/>
              </w:rPr>
            </w:pPr>
            <w:r>
              <w:rPr>
                <w:sz w:val="22"/>
                <w:szCs w:val="22"/>
              </w:rPr>
              <w:t>Mgr. Martin Peřina, jednatel společnosti</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6A767653" w:rsidR="00612D4D" w:rsidRPr="009527D3" w:rsidRDefault="00F94424" w:rsidP="0014233B">
            <w:pPr>
              <w:rPr>
                <w:sz w:val="22"/>
                <w:szCs w:val="22"/>
              </w:rPr>
            </w:pPr>
            <w:r>
              <w:rPr>
                <w:sz w:val="22"/>
                <w:szCs w:val="22"/>
              </w:rPr>
              <w:t>……………………………………..</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5D500FAE" w:rsidR="00612D4D" w:rsidRPr="009527D3" w:rsidRDefault="0014233B" w:rsidP="004C6515">
            <w:pPr>
              <w:rPr>
                <w:sz w:val="22"/>
                <w:szCs w:val="22"/>
              </w:rPr>
            </w:pPr>
            <w:r>
              <w:rPr>
                <w:sz w:val="22"/>
                <w:szCs w:val="22"/>
              </w:rPr>
              <w:t xml:space="preserve">Jiří </w:t>
            </w:r>
            <w:proofErr w:type="spellStart"/>
            <w:r>
              <w:rPr>
                <w:sz w:val="22"/>
                <w:szCs w:val="22"/>
              </w:rPr>
              <w:t>Krejzar</w:t>
            </w:r>
            <w:proofErr w:type="spellEnd"/>
            <w:r w:rsidR="007C611D" w:rsidRPr="007C611D">
              <w:rPr>
                <w:sz w:val="22"/>
                <w:szCs w:val="22"/>
              </w:rPr>
              <w:t xml:space="preserve"> </w:t>
            </w:r>
            <w:r w:rsidR="00612D4D" w:rsidRPr="009527D3">
              <w:rPr>
                <w:sz w:val="22"/>
                <w:szCs w:val="22"/>
              </w:rPr>
              <w:t xml:space="preserve">– </w:t>
            </w:r>
            <w:r w:rsidR="00612D4D" w:rsidRPr="0014233B">
              <w:rPr>
                <w:sz w:val="22"/>
                <w:szCs w:val="22"/>
              </w:rPr>
              <w:t xml:space="preserve">obor </w:t>
            </w:r>
            <w:r w:rsidRPr="0014233B">
              <w:rPr>
                <w:sz w:val="22"/>
                <w:szCs w:val="22"/>
              </w:rPr>
              <w:t>technika prostředí staveb, specializace elektrotechnická zařízení</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0A3D63">
          <w:rPr>
            <w:noProof/>
            <w:webHidden/>
          </w:rPr>
          <w:t>3</w:t>
        </w:r>
        <w:r>
          <w:rPr>
            <w:noProof/>
            <w:webHidden/>
          </w:rPr>
          <w:fldChar w:fldCharType="end"/>
        </w:r>
      </w:hyperlink>
    </w:p>
    <w:p w14:paraId="375C40BD" w14:textId="77777777" w:rsidR="00862A35" w:rsidRDefault="00F94424">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0A3D63">
          <w:rPr>
            <w:noProof/>
            <w:webHidden/>
          </w:rPr>
          <w:t>3</w:t>
        </w:r>
        <w:r w:rsidR="00862A35">
          <w:rPr>
            <w:noProof/>
            <w:webHidden/>
          </w:rPr>
          <w:fldChar w:fldCharType="end"/>
        </w:r>
      </w:hyperlink>
    </w:p>
    <w:p w14:paraId="692C5AD0" w14:textId="77777777" w:rsidR="00862A35" w:rsidRDefault="00F94424">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0A3D63">
          <w:rPr>
            <w:noProof/>
            <w:webHidden/>
          </w:rPr>
          <w:t>3</w:t>
        </w:r>
        <w:r w:rsidR="00862A35">
          <w:rPr>
            <w:noProof/>
            <w:webHidden/>
          </w:rPr>
          <w:fldChar w:fldCharType="end"/>
        </w:r>
      </w:hyperlink>
    </w:p>
    <w:p w14:paraId="65A4DAB1" w14:textId="77777777" w:rsidR="00862A35" w:rsidRDefault="00F94424">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0A3D63">
          <w:rPr>
            <w:noProof/>
            <w:webHidden/>
          </w:rPr>
          <w:t>5</w:t>
        </w:r>
        <w:r w:rsidR="00862A35">
          <w:rPr>
            <w:noProof/>
            <w:webHidden/>
          </w:rPr>
          <w:fldChar w:fldCharType="end"/>
        </w:r>
      </w:hyperlink>
    </w:p>
    <w:p w14:paraId="00669F2E" w14:textId="77777777" w:rsidR="00862A35" w:rsidRDefault="00F94424">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0A3D63">
          <w:rPr>
            <w:noProof/>
            <w:webHidden/>
          </w:rPr>
          <w:t>5</w:t>
        </w:r>
        <w:r w:rsidR="00862A35">
          <w:rPr>
            <w:noProof/>
            <w:webHidden/>
          </w:rPr>
          <w:fldChar w:fldCharType="end"/>
        </w:r>
      </w:hyperlink>
    </w:p>
    <w:p w14:paraId="7BF56A3E" w14:textId="77777777" w:rsidR="00862A35" w:rsidRDefault="00F94424">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0A3D63">
          <w:rPr>
            <w:noProof/>
            <w:webHidden/>
          </w:rPr>
          <w:t>7</w:t>
        </w:r>
        <w:r w:rsidR="00862A35">
          <w:rPr>
            <w:noProof/>
            <w:webHidden/>
          </w:rPr>
          <w:fldChar w:fldCharType="end"/>
        </w:r>
      </w:hyperlink>
    </w:p>
    <w:p w14:paraId="10F9D81F" w14:textId="77777777" w:rsidR="00862A35" w:rsidRDefault="00F94424">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0A3D63">
          <w:rPr>
            <w:noProof/>
            <w:webHidden/>
          </w:rPr>
          <w:t>9</w:t>
        </w:r>
        <w:r w:rsidR="00862A35">
          <w:rPr>
            <w:noProof/>
            <w:webHidden/>
          </w:rPr>
          <w:fldChar w:fldCharType="end"/>
        </w:r>
      </w:hyperlink>
    </w:p>
    <w:p w14:paraId="5BE4C80B" w14:textId="77777777" w:rsidR="00862A35" w:rsidRDefault="00F94424">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0A3D63">
          <w:rPr>
            <w:noProof/>
            <w:webHidden/>
          </w:rPr>
          <w:t>9</w:t>
        </w:r>
        <w:r w:rsidR="00862A35">
          <w:rPr>
            <w:noProof/>
            <w:webHidden/>
          </w:rPr>
          <w:fldChar w:fldCharType="end"/>
        </w:r>
      </w:hyperlink>
    </w:p>
    <w:p w14:paraId="72DB4355" w14:textId="77777777" w:rsidR="00862A35" w:rsidRDefault="00F94424">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0A3D63">
          <w:rPr>
            <w:noProof/>
            <w:webHidden/>
          </w:rPr>
          <w:t>10</w:t>
        </w:r>
        <w:r w:rsidR="00862A35">
          <w:rPr>
            <w:noProof/>
            <w:webHidden/>
          </w:rPr>
          <w:fldChar w:fldCharType="end"/>
        </w:r>
      </w:hyperlink>
    </w:p>
    <w:p w14:paraId="60B2FEF3" w14:textId="77777777" w:rsidR="00862A35" w:rsidRDefault="00F94424">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0A3D63">
          <w:rPr>
            <w:noProof/>
            <w:webHidden/>
          </w:rPr>
          <w:t>11</w:t>
        </w:r>
        <w:r w:rsidR="00862A35">
          <w:rPr>
            <w:noProof/>
            <w:webHidden/>
          </w:rPr>
          <w:fldChar w:fldCharType="end"/>
        </w:r>
      </w:hyperlink>
    </w:p>
    <w:p w14:paraId="4DEB9FD8" w14:textId="77777777" w:rsidR="00862A35" w:rsidRDefault="00F94424">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0A3D63">
          <w:rPr>
            <w:noProof/>
            <w:webHidden/>
          </w:rPr>
          <w:t>12</w:t>
        </w:r>
        <w:r w:rsidR="00862A35">
          <w:rPr>
            <w:noProof/>
            <w:webHidden/>
          </w:rPr>
          <w:fldChar w:fldCharType="end"/>
        </w:r>
      </w:hyperlink>
    </w:p>
    <w:p w14:paraId="63600D10" w14:textId="77777777" w:rsidR="00862A35" w:rsidRDefault="00F94424">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0A3D63">
          <w:rPr>
            <w:noProof/>
            <w:webHidden/>
          </w:rPr>
          <w:t>13</w:t>
        </w:r>
        <w:r w:rsidR="00862A35">
          <w:rPr>
            <w:noProof/>
            <w:webHidden/>
          </w:rPr>
          <w:fldChar w:fldCharType="end"/>
        </w:r>
      </w:hyperlink>
    </w:p>
    <w:p w14:paraId="76E218B8" w14:textId="77777777" w:rsidR="00862A35" w:rsidRDefault="00F94424">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0A3D63">
          <w:rPr>
            <w:noProof/>
            <w:webHidden/>
          </w:rPr>
          <w:t>13</w:t>
        </w:r>
        <w:r w:rsidR="00862A35">
          <w:rPr>
            <w:noProof/>
            <w:webHidden/>
          </w:rPr>
          <w:fldChar w:fldCharType="end"/>
        </w:r>
      </w:hyperlink>
    </w:p>
    <w:p w14:paraId="5ADB38FD" w14:textId="77777777" w:rsidR="00862A35" w:rsidRDefault="00F94424">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0A3D63">
          <w:rPr>
            <w:noProof/>
            <w:webHidden/>
          </w:rPr>
          <w:t>13</w:t>
        </w:r>
        <w:r w:rsidR="00862A35">
          <w:rPr>
            <w:noProof/>
            <w:webHidden/>
          </w:rPr>
          <w:fldChar w:fldCharType="end"/>
        </w:r>
      </w:hyperlink>
    </w:p>
    <w:p w14:paraId="27261C5A" w14:textId="77777777" w:rsidR="00862A35" w:rsidRDefault="00F94424">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0A3D63">
          <w:rPr>
            <w:noProof/>
            <w:webHidden/>
          </w:rPr>
          <w:t>13</w:t>
        </w:r>
        <w:r w:rsidR="00862A35">
          <w:rPr>
            <w:noProof/>
            <w:webHidden/>
          </w:rPr>
          <w:fldChar w:fldCharType="end"/>
        </w:r>
      </w:hyperlink>
    </w:p>
    <w:p w14:paraId="7C1A6562" w14:textId="77777777" w:rsidR="00862A35" w:rsidRDefault="00F94424">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0A3D63">
          <w:rPr>
            <w:noProof/>
            <w:webHidden/>
          </w:rPr>
          <w:t>15</w:t>
        </w:r>
        <w:r w:rsidR="00862A35">
          <w:rPr>
            <w:noProof/>
            <w:webHidden/>
          </w:rPr>
          <w:fldChar w:fldCharType="end"/>
        </w:r>
      </w:hyperlink>
    </w:p>
    <w:p w14:paraId="1BB065C0" w14:textId="77777777" w:rsidR="00862A35" w:rsidRDefault="00F94424">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0A3D63">
          <w:rPr>
            <w:noProof/>
            <w:webHidden/>
          </w:rPr>
          <w:t>16</w:t>
        </w:r>
        <w:r w:rsidR="00862A35">
          <w:rPr>
            <w:noProof/>
            <w:webHidden/>
          </w:rPr>
          <w:fldChar w:fldCharType="end"/>
        </w:r>
      </w:hyperlink>
    </w:p>
    <w:p w14:paraId="593C480C" w14:textId="77777777" w:rsidR="00862A35" w:rsidRDefault="00F94424">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0A3D63">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27A61ECF" w:rsidR="00646856" w:rsidRDefault="00612D4D" w:rsidP="00BA0C00">
      <w:pPr>
        <w:pStyle w:val="Nadpis2"/>
      </w:pPr>
      <w:r w:rsidRPr="004C6515">
        <w:t xml:space="preserve">Smlouva je uzavřena na základě </w:t>
      </w:r>
      <w:r w:rsidR="00E2266C">
        <w:t xml:space="preserve">výsledku </w:t>
      </w:r>
      <w:r w:rsidRPr="004C6515">
        <w:t xml:space="preserve">veřejné zakázky </w:t>
      </w:r>
      <w:r w:rsidR="00BA0C00" w:rsidRPr="00BA0C00">
        <w:t>ELA CHANOVICE – ROUBENÁ CHALUPA S CHLÉVY, PŮVODEM Z TŘEBÝCINY ČP. 7 – REALIZACE PZTS OBJEKTU</w:t>
      </w:r>
      <w:r w:rsidR="00BA0C00">
        <w:t>.</w:t>
      </w:r>
      <w:r w:rsidR="00E2266C">
        <w:t xml:space="preserve"> </w:t>
      </w:r>
      <w:r w:rsidR="00454345">
        <w:t>Poptávkové</w:t>
      </w:r>
      <w:r w:rsidR="00E2266C">
        <w:t xml:space="preserve"> řízení k předmětné veřejné zakázce bylo vyhlášeno</w:t>
      </w:r>
      <w:r w:rsidR="00E2266C" w:rsidRPr="004C6515">
        <w:t xml:space="preserve"> </w:t>
      </w:r>
      <w:r w:rsidR="00E2266C" w:rsidRPr="003C7370">
        <w:t xml:space="preserve">dne </w:t>
      </w:r>
      <w:r w:rsidR="003C7370" w:rsidRPr="003C7370">
        <w:t>1. 10. 2023.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493A0DF7" w14:textId="6BEE680A" w:rsidR="00F0362A" w:rsidRPr="00310A5C" w:rsidRDefault="00F0362A" w:rsidP="00514301">
      <w:pPr>
        <w:pStyle w:val="Nadpis2"/>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 Registrační číslo projektu: </w:t>
      </w:r>
      <w:r w:rsidR="00514301" w:rsidRPr="00514301">
        <w:t>CZ.06.3.33/0.0/0.0/17_099/0007659</w:t>
      </w:r>
      <w:r w:rsidRPr="00132513">
        <w:t>, Název pr</w:t>
      </w:r>
      <w:r w:rsidRPr="00646856">
        <w:t xml:space="preserve">ojektu:“ </w:t>
      </w:r>
      <w:r w:rsidR="00514301" w:rsidRPr="00514301">
        <w:t>ELA CHANOVICE – ROUBENÁ CHALUPA S CHLÉVY, PŮVODEM Z TŘEBÝCINY ČP. 7 – REALIZACE PZTS OBJEKTU</w:t>
      </w:r>
      <w:r w:rsidRPr="00646856">
        <w:t>“. Při plnění této smlouvy je tedy zhotovitel povinen dodržovat i veškeré povinnosti vyplývající z dotačních podmínek či</w:t>
      </w:r>
      <w:r w:rsidR="00EB038C" w:rsidRPr="00646856">
        <w:t> </w:t>
      </w:r>
      <w:r w:rsidRPr="00646856">
        <w:t>pravidel poskytovatele dotace, a to i po ukončení smlouvy.</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w:t>
      </w:r>
      <w:proofErr w:type="gramStart"/>
      <w:r w:rsidR="0093131B" w:rsidRPr="0093131B">
        <w:t xml:space="preserve">článku </w:t>
      </w:r>
      <w:r w:rsidR="00DC52D5">
        <w:fldChar w:fldCharType="begin"/>
      </w:r>
      <w:r w:rsidR="00DC52D5">
        <w:instrText xml:space="preserve"> REF _Ref109742187 \r \h </w:instrText>
      </w:r>
      <w:r w:rsidR="00DC52D5">
        <w:fldChar w:fldCharType="separate"/>
      </w:r>
      <w:r w:rsidR="000A3D63">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76C6F3AC" w14:textId="4EBA76ED"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w:t>
      </w:r>
      <w:r w:rsidR="004C231F">
        <w:t>, např. v nabídce</w:t>
      </w:r>
      <w:r w:rsidRPr="004C6515">
        <w:t>.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4EE6F338" w14:textId="04CD0342" w:rsidR="004C231F" w:rsidRPr="004C231F" w:rsidRDefault="00612D4D" w:rsidP="004C231F">
      <w:pPr>
        <w:pStyle w:val="Nadpis2"/>
      </w:pPr>
      <w:bookmarkStart w:id="4" w:name="_Ref109742187"/>
      <w:r w:rsidRPr="004C231F">
        <w:t>Zhotovitel se uzavřen</w:t>
      </w:r>
      <w:r w:rsidR="005F1EA6" w:rsidRPr="004C231F">
        <w:t>ím této S</w:t>
      </w:r>
      <w:r w:rsidRPr="004C231F">
        <w:t xml:space="preserve">mlouvy zavazuje provést pro objednatele stavební práce spočívající zejména v provedení: </w:t>
      </w:r>
      <w:bookmarkEnd w:id="4"/>
      <w:r w:rsidR="004C231F" w:rsidRPr="004C231F">
        <w:t xml:space="preserve">dodání a provedení systému poplachového zabezpečovacího a tísňového systému (PZTS), kamerového systému (CCTV) a instalace zařízení pro vstup prostřednictvím vstupenek s čárovým kódem pro objekt </w:t>
      </w:r>
      <w:proofErr w:type="spellStart"/>
      <w:r w:rsidR="004C231F" w:rsidRPr="004C231F">
        <w:t>Třebýcina</w:t>
      </w:r>
      <w:proofErr w:type="spellEnd"/>
      <w:r w:rsidR="004C231F" w:rsidRPr="004C231F">
        <w:t xml:space="preserve"> č. 7, instalovaný v areálu skansenu lidové architektury v Chanovicích. Před zahájením vlastní realizace musí být zpracována řádná dodavatelská dokumentace, která bude předložena zadavateli k odsouhlasení před zahájením montážních prací. </w:t>
      </w:r>
    </w:p>
    <w:p w14:paraId="0D0D888F" w14:textId="77777777" w:rsidR="004C231F" w:rsidRPr="004C231F" w:rsidRDefault="004C231F" w:rsidP="004C231F">
      <w:pPr>
        <w:pStyle w:val="Nadpis2"/>
        <w:numPr>
          <w:ilvl w:val="0"/>
          <w:numId w:val="0"/>
        </w:numPr>
        <w:spacing w:after="0"/>
        <w:ind w:left="709"/>
      </w:pPr>
      <w:r w:rsidRPr="004C231F">
        <w:t>Stávající systém PZTS:</w:t>
      </w:r>
    </w:p>
    <w:p w14:paraId="5B3C87ED" w14:textId="77777777" w:rsidR="004C231F" w:rsidRPr="004C231F" w:rsidRDefault="004C231F" w:rsidP="004C231F">
      <w:pPr>
        <w:pStyle w:val="Nadpis2"/>
        <w:numPr>
          <w:ilvl w:val="0"/>
          <w:numId w:val="0"/>
        </w:numPr>
        <w:ind w:left="709"/>
      </w:pPr>
      <w:r w:rsidRPr="004C231F">
        <w:t xml:space="preserve">Je instalován ve vstupním objektu, který slouží pro správu skansenu. Je v něm umístěna kancelář, pokladna, místnost průvodců a sociální zařízení. Podkroví jsou místnosti, které slouží jako noclehárna pro externí pracovníky. Ve vstupním objektu je osazen systém PZTS, s ústřednou typu </w:t>
      </w:r>
      <w:proofErr w:type="spellStart"/>
      <w:r w:rsidRPr="004C231F">
        <w:t>Galaxy</w:t>
      </w:r>
      <w:proofErr w:type="spellEnd"/>
      <w:r w:rsidRPr="004C231F">
        <w:t xml:space="preserve"> 128 připojený prostřednictvím lokální radiové sítě na PCO Krajské ředitelství PČR Plzně. Ve vstupním objektu je zřízena kompletní plášťová ochrana v 1.NP a kompletní prostorová ochrana. Z uvedeného je zřejmé, že navazuje na stávající systém PZTS a z toho důvodu jsou v některých případech konkrétně specifikována stávající zařízení, v rámci nezbytné návaznosti zařízení v systému.</w:t>
      </w:r>
    </w:p>
    <w:p w14:paraId="3C376EDB" w14:textId="77777777" w:rsidR="004C231F" w:rsidRPr="004C231F" w:rsidRDefault="004C231F" w:rsidP="004C231F">
      <w:pPr>
        <w:pStyle w:val="Nadpis2"/>
        <w:numPr>
          <w:ilvl w:val="0"/>
          <w:numId w:val="0"/>
        </w:numPr>
        <w:spacing w:after="0"/>
        <w:ind w:left="709"/>
      </w:pPr>
      <w:r w:rsidRPr="004C231F">
        <w:t xml:space="preserve">Nová instalace PZTS v objekt </w:t>
      </w:r>
      <w:proofErr w:type="spellStart"/>
      <w:r w:rsidRPr="004C231F">
        <w:t>Třebýcina</w:t>
      </w:r>
      <w:proofErr w:type="spellEnd"/>
      <w:r w:rsidRPr="004C231F">
        <w:t xml:space="preserve"> č. 7:</w:t>
      </w:r>
    </w:p>
    <w:p w14:paraId="35A4A6A5" w14:textId="77777777" w:rsidR="004C231F" w:rsidRPr="004C231F" w:rsidRDefault="004C231F" w:rsidP="004C231F">
      <w:pPr>
        <w:pStyle w:val="Nadpis2"/>
        <w:numPr>
          <w:ilvl w:val="0"/>
          <w:numId w:val="0"/>
        </w:numPr>
        <w:spacing w:after="0"/>
        <w:ind w:left="709"/>
      </w:pPr>
      <w:r w:rsidRPr="004C231F">
        <w:t>V objektu je požadována instalace zařízení PZTS.</w:t>
      </w:r>
    </w:p>
    <w:p w14:paraId="0899CEAD" w14:textId="77777777" w:rsidR="004C231F" w:rsidRPr="004C231F" w:rsidRDefault="004C231F" w:rsidP="004C231F">
      <w:pPr>
        <w:pStyle w:val="Nadpis2"/>
        <w:numPr>
          <w:ilvl w:val="0"/>
          <w:numId w:val="0"/>
        </w:numPr>
        <w:spacing w:after="0"/>
        <w:ind w:left="709"/>
      </w:pPr>
      <w:r w:rsidRPr="004C231F">
        <w:t>Návrh je zpracován podle těchto zásad:</w:t>
      </w:r>
    </w:p>
    <w:p w14:paraId="0F9A884F" w14:textId="77777777" w:rsidR="004C231F" w:rsidRPr="004C231F" w:rsidRDefault="004C231F" w:rsidP="004C231F">
      <w:pPr>
        <w:pStyle w:val="Nadpis2"/>
        <w:numPr>
          <w:ilvl w:val="0"/>
          <w:numId w:val="0"/>
        </w:numPr>
        <w:spacing w:after="0"/>
        <w:ind w:left="709"/>
      </w:pPr>
      <w:r w:rsidRPr="004C231F">
        <w:lastRenderedPageBreak/>
        <w:t>1. Instalace plášťové ochrany v přízemí roubené chalupy a chléva;</w:t>
      </w:r>
    </w:p>
    <w:p w14:paraId="366C00C9" w14:textId="77777777" w:rsidR="004C231F" w:rsidRPr="004C231F" w:rsidRDefault="004C231F" w:rsidP="004C231F">
      <w:pPr>
        <w:pStyle w:val="Nadpis2"/>
        <w:numPr>
          <w:ilvl w:val="0"/>
          <w:numId w:val="0"/>
        </w:numPr>
        <w:spacing w:after="0"/>
        <w:ind w:left="709"/>
      </w:pPr>
      <w:r w:rsidRPr="004C231F">
        <w:t>2. Instalace prostorové ochrany;</w:t>
      </w:r>
    </w:p>
    <w:p w14:paraId="686700CC" w14:textId="77777777" w:rsidR="004C231F" w:rsidRPr="004C231F" w:rsidRDefault="004C231F" w:rsidP="004C231F">
      <w:pPr>
        <w:pStyle w:val="Nadpis2"/>
        <w:numPr>
          <w:ilvl w:val="0"/>
          <w:numId w:val="0"/>
        </w:numPr>
        <w:spacing w:after="0"/>
        <w:ind w:left="709"/>
      </w:pPr>
      <w:r w:rsidRPr="004C231F">
        <w:t>3. Instalace pude provedena jako rozšíření stávajícího systému PZTS;</w:t>
      </w:r>
    </w:p>
    <w:p w14:paraId="529693E2" w14:textId="77777777" w:rsidR="004C231F" w:rsidRPr="004C231F" w:rsidRDefault="004C231F" w:rsidP="004C231F">
      <w:pPr>
        <w:pStyle w:val="Nadpis2"/>
        <w:numPr>
          <w:ilvl w:val="0"/>
          <w:numId w:val="0"/>
        </w:numPr>
        <w:ind w:left="709"/>
      </w:pPr>
      <w:r w:rsidRPr="004C231F">
        <w:t xml:space="preserve">4. Úprava stávajícího PZTS pro přenos na PCO v protokolu </w:t>
      </w:r>
      <w:proofErr w:type="spellStart"/>
      <w:r w:rsidRPr="004C231F">
        <w:t>Spell</w:t>
      </w:r>
      <w:proofErr w:type="spellEnd"/>
      <w:r w:rsidRPr="004C231F">
        <w:t xml:space="preserve"> 2;</w:t>
      </w:r>
    </w:p>
    <w:p w14:paraId="4057D8F9" w14:textId="7F828F25" w:rsidR="00612D4D" w:rsidRPr="004C231F" w:rsidRDefault="004C231F" w:rsidP="004C231F">
      <w:pPr>
        <w:pStyle w:val="Nadpis2"/>
        <w:numPr>
          <w:ilvl w:val="0"/>
          <w:numId w:val="0"/>
        </w:numPr>
        <w:ind w:left="709"/>
      </w:pPr>
      <w:r w:rsidRPr="004C231F">
        <w:t>Součástí realizace slaboproudých rozvodů je kompletní proměření instalací včetně vystavení měřících protokolů, uvedení systémů do provozu, a zaškolení obsluhy slaboproudých systémů. Při předání díla předá dodavatelská firma měřící protokoly, protokoly o kusových zkouškách rozvaděčů a dokumentaci skutečného stavu</w:t>
      </w:r>
    </w:p>
    <w:p w14:paraId="1C362BD7" w14:textId="53A5A2BB" w:rsidR="004466E2" w:rsidRPr="00AE5CB6" w:rsidRDefault="00612D4D" w:rsidP="004466E2">
      <w:pPr>
        <w:pStyle w:val="Nadpis3"/>
        <w:spacing w:after="0"/>
      </w:pPr>
      <w:r w:rsidRPr="00AE5CB6">
        <w:t>Pro rozsah provedení prací je závazný obsah projektové dokumentace</w:t>
      </w:r>
      <w:r w:rsidR="004466E2">
        <w:t xml:space="preserve"> s názvem „ELA v Chanovicích, usedlost 1, Dům s chlévem a branou (</w:t>
      </w:r>
      <w:proofErr w:type="spellStart"/>
      <w:r w:rsidR="004466E2">
        <w:t>Třebýcina</w:t>
      </w:r>
      <w:proofErr w:type="spellEnd"/>
      <w:r w:rsidR="004466E2">
        <w:t xml:space="preserve"> </w:t>
      </w:r>
      <w:proofErr w:type="gramStart"/>
      <w:r w:rsidR="004466E2">
        <w:t>č.p.</w:t>
      </w:r>
      <w:proofErr w:type="gramEnd"/>
      <w:r w:rsidR="004466E2">
        <w:t xml:space="preserve"> 7), POPLACHOVÝ ZABEZPEČOVACÍ A TÍSŇOVÝ SYSTÉM (PZTS)“ z 10/2020 a změny č.1 z 08/2023</w:t>
      </w:r>
      <w:r w:rsidRPr="00AE5CB6">
        <w:t>, soupisu prací a výkazu výměr, jakož i podmínky veřejné zakázky. Přesný popis předmětu díla je zřejmý z projektové dokumentace pro provedení stavby, technických zpráv, soupisu prací a výkazů výměr, zpracované společností</w:t>
      </w:r>
      <w:r w:rsidR="00EA207C" w:rsidRPr="00AE5CB6">
        <w:t>/oprávněnou osobou</w:t>
      </w:r>
      <w:r w:rsidR="004466E2">
        <w:t xml:space="preserve">: </w:t>
      </w:r>
    </w:p>
    <w:tbl>
      <w:tblPr>
        <w:tblStyle w:val="Mkatabulky1"/>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7"/>
      </w:tblGrid>
      <w:tr w:rsidR="004466E2" w:rsidRPr="004466E2" w14:paraId="5DD130FB" w14:textId="77777777" w:rsidTr="003C7370">
        <w:trPr>
          <w:trHeight w:val="284"/>
        </w:trPr>
        <w:tc>
          <w:tcPr>
            <w:tcW w:w="6457" w:type="dxa"/>
            <w:shd w:val="clear" w:color="auto" w:fill="auto"/>
          </w:tcPr>
          <w:p w14:paraId="653C8542" w14:textId="77777777" w:rsidR="004466E2" w:rsidRPr="004466E2" w:rsidRDefault="004466E2" w:rsidP="004466E2">
            <w:pPr>
              <w:spacing w:after="0"/>
              <w:jc w:val="both"/>
              <w:rPr>
                <w:rFonts w:eastAsiaTheme="minorHAnsi" w:cstheme="minorBidi"/>
                <w:szCs w:val="22"/>
              </w:rPr>
            </w:pPr>
            <w:r w:rsidRPr="004466E2">
              <w:rPr>
                <w:rFonts w:eastAsiaTheme="minorHAnsi" w:cstheme="minorBidi"/>
                <w:szCs w:val="22"/>
              </w:rPr>
              <w:t>Zbyněk Beneš, K+B elektro-technik</w:t>
            </w:r>
          </w:p>
        </w:tc>
      </w:tr>
      <w:tr w:rsidR="004466E2" w:rsidRPr="004466E2" w14:paraId="67451A1D" w14:textId="77777777" w:rsidTr="003C7370">
        <w:trPr>
          <w:trHeight w:val="284"/>
        </w:trPr>
        <w:tc>
          <w:tcPr>
            <w:tcW w:w="6457" w:type="dxa"/>
            <w:shd w:val="clear" w:color="auto" w:fill="auto"/>
          </w:tcPr>
          <w:p w14:paraId="3D50FEA0" w14:textId="285B85CD" w:rsidR="004466E2" w:rsidRPr="004466E2" w:rsidRDefault="004466E2" w:rsidP="004466E2">
            <w:pPr>
              <w:spacing w:after="0"/>
              <w:jc w:val="both"/>
              <w:rPr>
                <w:rFonts w:eastAsiaTheme="minorHAnsi" w:cstheme="minorBidi"/>
                <w:szCs w:val="22"/>
              </w:rPr>
            </w:pPr>
            <w:r>
              <w:rPr>
                <w:rFonts w:eastAsiaTheme="minorHAnsi" w:cstheme="minorBidi"/>
                <w:szCs w:val="22"/>
              </w:rPr>
              <w:t xml:space="preserve">IČO: </w:t>
            </w:r>
            <w:r w:rsidRPr="004466E2">
              <w:rPr>
                <w:rFonts w:eastAsiaTheme="minorHAnsi" w:cstheme="minorBidi"/>
                <w:szCs w:val="22"/>
              </w:rPr>
              <w:t>16736907</w:t>
            </w:r>
          </w:p>
        </w:tc>
      </w:tr>
      <w:tr w:rsidR="004466E2" w:rsidRPr="004466E2" w14:paraId="7E171E96" w14:textId="77777777" w:rsidTr="003C7370">
        <w:trPr>
          <w:trHeight w:val="284"/>
        </w:trPr>
        <w:tc>
          <w:tcPr>
            <w:tcW w:w="6457" w:type="dxa"/>
            <w:shd w:val="clear" w:color="auto" w:fill="auto"/>
          </w:tcPr>
          <w:p w14:paraId="6107AA24" w14:textId="5FE79CBE" w:rsidR="004466E2" w:rsidRPr="004466E2" w:rsidRDefault="004466E2" w:rsidP="004466E2">
            <w:pPr>
              <w:jc w:val="both"/>
              <w:rPr>
                <w:rFonts w:eastAsiaTheme="minorHAnsi" w:cstheme="minorBidi"/>
                <w:szCs w:val="22"/>
              </w:rPr>
            </w:pPr>
            <w:r>
              <w:rPr>
                <w:rFonts w:eastAsiaTheme="minorHAnsi" w:cstheme="minorBidi"/>
                <w:szCs w:val="22"/>
              </w:rPr>
              <w:t xml:space="preserve">Se sídlem: </w:t>
            </w:r>
            <w:r w:rsidRPr="004466E2">
              <w:rPr>
                <w:rFonts w:eastAsiaTheme="minorHAnsi" w:cstheme="minorBidi"/>
                <w:szCs w:val="22"/>
              </w:rPr>
              <w:t>Domažlická 1141/172a, 318 00 Plzeň-</w:t>
            </w:r>
            <w:proofErr w:type="spellStart"/>
            <w:r w:rsidRPr="004466E2">
              <w:rPr>
                <w:rFonts w:eastAsiaTheme="minorHAnsi" w:cstheme="minorBidi"/>
                <w:szCs w:val="22"/>
              </w:rPr>
              <w:t>Skvrňany</w:t>
            </w:r>
            <w:proofErr w:type="spellEnd"/>
          </w:p>
        </w:tc>
      </w:tr>
    </w:tbl>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5E6AE21D"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007D259B">
        <w:t xml:space="preserve"> nebo nutně navazující na předchozí investice</w:t>
      </w:r>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00F952D8" w:rsidR="008833BC" w:rsidRPr="000D2AAE" w:rsidRDefault="00612D4D" w:rsidP="008F719B">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8F719B">
        <w:t xml:space="preserve"> </w:t>
      </w:r>
      <w:r w:rsidR="008F719B" w:rsidRPr="008F719B">
        <w:t>provést zkoušky a revize instalovaných zařízení</w:t>
      </w:r>
      <w:r w:rsidR="008F719B">
        <w:t>,</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lastRenderedPageBreak/>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t>MÍSTO PLNĚNÍ</w:t>
      </w:r>
      <w:bookmarkEnd w:id="6"/>
    </w:p>
    <w:p w14:paraId="29BDB11A" w14:textId="6C923F83" w:rsidR="00760FE9" w:rsidRDefault="00502FD5" w:rsidP="00190269">
      <w:pPr>
        <w:pStyle w:val="Nadpis2"/>
      </w:pPr>
      <w:r w:rsidRPr="00310A5C">
        <w:t xml:space="preserve">Místem plnění je stavba nacházející se </w:t>
      </w:r>
      <w:r w:rsidR="00760FE9">
        <w:t>v:</w:t>
      </w:r>
    </w:p>
    <w:p w14:paraId="36728DCD" w14:textId="77777777" w:rsidR="00760FE9" w:rsidRDefault="00760FE9" w:rsidP="00760FE9">
      <w:pPr>
        <w:pStyle w:val="Nadpis2"/>
        <w:numPr>
          <w:ilvl w:val="0"/>
          <w:numId w:val="0"/>
        </w:numPr>
        <w:spacing w:after="0"/>
        <w:ind w:left="709"/>
      </w:pPr>
      <w:r>
        <w:t>ELA v Chanovicích – usedlost 1, dům s chlévem a branou (</w:t>
      </w:r>
      <w:proofErr w:type="spellStart"/>
      <w:r>
        <w:t>Třebýcina</w:t>
      </w:r>
      <w:proofErr w:type="spellEnd"/>
      <w:r>
        <w:t xml:space="preserve"> </w:t>
      </w:r>
      <w:proofErr w:type="gramStart"/>
      <w:r>
        <w:t>č.p.</w:t>
      </w:r>
      <w:proofErr w:type="gramEnd"/>
      <w:r>
        <w:t>7)</w:t>
      </w:r>
    </w:p>
    <w:p w14:paraId="63B6B475" w14:textId="2E1023DA" w:rsidR="00760FE9" w:rsidRDefault="00760FE9" w:rsidP="00760FE9">
      <w:pPr>
        <w:pStyle w:val="Nadpis2"/>
        <w:numPr>
          <w:ilvl w:val="0"/>
          <w:numId w:val="0"/>
        </w:numPr>
        <w:spacing w:after="0"/>
        <w:ind w:left="709"/>
      </w:pPr>
      <w:r>
        <w:t>Obec:</w:t>
      </w:r>
      <w:r>
        <w:tab/>
      </w:r>
      <w:r>
        <w:tab/>
      </w:r>
      <w:r>
        <w:tab/>
        <w:t>Chanovice (556335)</w:t>
      </w:r>
    </w:p>
    <w:p w14:paraId="7335D52D" w14:textId="77777777" w:rsidR="00760FE9" w:rsidRDefault="00760FE9" w:rsidP="00760FE9">
      <w:pPr>
        <w:pStyle w:val="Nadpis2"/>
        <w:numPr>
          <w:ilvl w:val="0"/>
          <w:numId w:val="0"/>
        </w:numPr>
        <w:spacing w:after="0"/>
        <w:ind w:left="709"/>
      </w:pPr>
      <w:r>
        <w:t>Katastrální území:</w:t>
      </w:r>
      <w:r>
        <w:tab/>
        <w:t>Chanovice (650633)</w:t>
      </w:r>
    </w:p>
    <w:p w14:paraId="73401608" w14:textId="77777777" w:rsidR="00760FE9" w:rsidRDefault="00760FE9" w:rsidP="00760FE9">
      <w:pPr>
        <w:pStyle w:val="Nadpis2"/>
        <w:numPr>
          <w:ilvl w:val="0"/>
          <w:numId w:val="0"/>
        </w:numPr>
        <w:spacing w:after="0"/>
        <w:ind w:left="709"/>
      </w:pPr>
      <w:r>
        <w:t>Statistický kód LAU 1:</w:t>
      </w:r>
      <w:r>
        <w:tab/>
        <w:t>CZ032</w:t>
      </w:r>
    </w:p>
    <w:p w14:paraId="7C9A2651" w14:textId="77777777" w:rsidR="00760FE9" w:rsidRDefault="00760FE9" w:rsidP="00760FE9">
      <w:pPr>
        <w:pStyle w:val="Nadpis2"/>
        <w:numPr>
          <w:ilvl w:val="0"/>
          <w:numId w:val="0"/>
        </w:numPr>
        <w:spacing w:after="0"/>
        <w:ind w:left="709"/>
      </w:pPr>
      <w:r>
        <w:t>Stavba na pozemku:</w:t>
      </w:r>
      <w:r>
        <w:tab/>
        <w:t>p. č. 67/10</w:t>
      </w:r>
    </w:p>
    <w:p w14:paraId="769DACDB" w14:textId="40BCE38B" w:rsidR="00502FD5" w:rsidRPr="00132513" w:rsidRDefault="00760FE9" w:rsidP="00760FE9">
      <w:pPr>
        <w:pStyle w:val="Nadpis2"/>
        <w:numPr>
          <w:ilvl w:val="0"/>
          <w:numId w:val="0"/>
        </w:numPr>
        <w:ind w:left="709"/>
      </w:pPr>
      <w:r>
        <w:t>Adresa místa plnění:</w:t>
      </w:r>
      <w:r>
        <w:tab/>
        <w:t>areál ELA Chanovice</w:t>
      </w:r>
    </w:p>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342A0ED0" w14:textId="677CA8DD" w:rsidR="00C9193E" w:rsidRDefault="008833BC" w:rsidP="001A1665">
      <w:pPr>
        <w:ind w:left="3402" w:hanging="2693"/>
        <w:jc w:val="both"/>
        <w:rPr>
          <w:b/>
        </w:rPr>
      </w:pPr>
      <w:r w:rsidRPr="00FE2A43">
        <w:rPr>
          <w:b/>
          <w:u w:val="single"/>
        </w:rPr>
        <w:t>Zahájení stavebních prací</w:t>
      </w:r>
      <w:r w:rsidRPr="00FE2A43">
        <w:rPr>
          <w:b/>
        </w:rPr>
        <w:t>:</w:t>
      </w:r>
      <w:r w:rsidRPr="00FE2A43">
        <w:rPr>
          <w:b/>
        </w:rPr>
        <w:tab/>
      </w:r>
      <w:r w:rsidR="001A1665" w:rsidRPr="00C2650A">
        <w:rPr>
          <w:b/>
        </w:rPr>
        <w:t xml:space="preserve">Staveniště </w:t>
      </w:r>
      <w:r w:rsidR="00C9193E" w:rsidRPr="00C9193E">
        <w:rPr>
          <w:b/>
        </w:rPr>
        <w:t>bude zhotoviteli předáno do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30C67CCE" w14:textId="77777777" w:rsidR="00C9193E" w:rsidRPr="00C9193E" w:rsidRDefault="008833BC" w:rsidP="00C9193E">
      <w:pPr>
        <w:ind w:left="3402" w:hanging="2693"/>
        <w:rPr>
          <w:b/>
          <w:u w:val="single"/>
        </w:rPr>
      </w:pPr>
      <w:r w:rsidRPr="00FE2A43">
        <w:rPr>
          <w:b/>
          <w:u w:val="single"/>
        </w:rPr>
        <w:t>Dokončení stavebních prací</w:t>
      </w:r>
      <w:r w:rsidRPr="00FE2A43">
        <w:rPr>
          <w:b/>
        </w:rPr>
        <w:t>:</w:t>
      </w:r>
      <w:r w:rsidRPr="00FE2A43">
        <w:rPr>
          <w:b/>
        </w:rPr>
        <w:tab/>
      </w:r>
      <w:r w:rsidR="00C9193E" w:rsidRPr="00C9193E">
        <w:rPr>
          <w:b/>
          <w:u w:val="single"/>
        </w:rPr>
        <w:t xml:space="preserve">nejpozději do 60 kalendářních dní od předání staveniště, </w:t>
      </w:r>
    </w:p>
    <w:p w14:paraId="3F55A1CD" w14:textId="3CE0AC91" w:rsidR="00C9193E" w:rsidRDefault="00C9193E" w:rsidP="00C9193E">
      <w:pPr>
        <w:ind w:left="3402" w:hanging="2693"/>
        <w:rPr>
          <w:b/>
        </w:rPr>
      </w:pPr>
      <w:r w:rsidRPr="00C9193E">
        <w:rPr>
          <w:b/>
        </w:rPr>
        <w:t>nejpozději však s ohledem na čerpání dotace do 30. 11. 2023</w:t>
      </w:r>
      <w:r>
        <w:rPr>
          <w:b/>
        </w:rPr>
        <w:t>.</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 xml:space="preserve">vlastního provádění díla zhotovitelem. Dokončením stavebních prací se rozumí úplné a funkční provedení všech stavebních prací a činností </w:t>
      </w:r>
      <w:r w:rsidR="00502FD5" w:rsidRPr="00132513">
        <w:lastRenderedPageBreak/>
        <w:t>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219C8C7D" w:rsidR="008833BC" w:rsidRPr="00132513" w:rsidRDefault="00502FD5" w:rsidP="00C9193E">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r w:rsidR="00C9193E">
        <w:t xml:space="preserve"> </w:t>
      </w:r>
      <w:r w:rsidR="00C9193E" w:rsidRPr="00C9193E">
        <w:t>Objednatel je povinen k předání a převzetí díla přizvat osoby vykonávající funkci technického dozoru stavebníka, případně také autorského dozoru projektanta.</w:t>
      </w:r>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3474792"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7630C7">
        <w:rPr>
          <w:b/>
        </w:rPr>
        <w:t>jedno</w:t>
      </w:r>
      <w:r w:rsidRPr="004C6515">
        <w:rPr>
          <w:b/>
        </w:rPr>
        <w:t xml:space="preserve"> </w:t>
      </w:r>
      <w:r w:rsidR="007630C7">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lastRenderedPageBreak/>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17FFFC21" w14:textId="7E87DB6A" w:rsidR="00FD7710" w:rsidRPr="005136E3" w:rsidRDefault="00FD7710" w:rsidP="00190269">
      <w:pPr>
        <w:ind w:left="1389" w:hanging="709"/>
        <w:rPr>
          <w:b/>
        </w:rPr>
      </w:pPr>
      <w:r w:rsidRPr="00190269">
        <w:rPr>
          <w:b/>
        </w:rPr>
        <w:t>Celkem cena za dílo bez DPH činí</w:t>
      </w:r>
      <w:r w:rsidR="00B63D42">
        <w:tab/>
      </w:r>
      <w:r w:rsidR="000D2AAE">
        <w:tab/>
      </w:r>
      <w:r w:rsidR="000D2AAE">
        <w:tab/>
      </w:r>
      <w:r w:rsidR="000D2AAE">
        <w:tab/>
      </w:r>
      <w:r w:rsidR="00815CB9" w:rsidRPr="005136E3">
        <w:rPr>
          <w:b/>
        </w:rPr>
        <w:t>1 199 412</w:t>
      </w:r>
      <w:r w:rsidRPr="005136E3">
        <w:rPr>
          <w:b/>
        </w:rPr>
        <w:t>,- Kč</w:t>
      </w:r>
    </w:p>
    <w:p w14:paraId="52782F71" w14:textId="1E99D9F9" w:rsidR="00FD7710" w:rsidRPr="00FE2A43" w:rsidRDefault="00FD7710" w:rsidP="00190269">
      <w:pPr>
        <w:ind w:left="1389" w:hanging="709"/>
      </w:pPr>
      <w:r w:rsidRPr="00FE2A43">
        <w:t xml:space="preserve">(slovy: </w:t>
      </w:r>
      <w:r w:rsidR="00E52E5D">
        <w:t xml:space="preserve">jeden milion jedno sto devadesát devět tisíc čtyři sta dvanáct korun </w:t>
      </w:r>
      <w:r w:rsidRPr="00FE2A43">
        <w:t>českých)</w:t>
      </w:r>
    </w:p>
    <w:p w14:paraId="67C0D764" w14:textId="3E084A7E" w:rsidR="00FD7710" w:rsidRPr="005136E3" w:rsidRDefault="00FD7710" w:rsidP="00190269">
      <w:pPr>
        <w:ind w:left="1389" w:hanging="709"/>
        <w:rPr>
          <w:b/>
        </w:rPr>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815CB9" w:rsidRPr="005136E3">
        <w:rPr>
          <w:b/>
        </w:rPr>
        <w:t>251 876</w:t>
      </w:r>
      <w:r w:rsidRPr="005136E3">
        <w:rPr>
          <w:b/>
        </w:rPr>
        <w:t>,- Kč</w:t>
      </w:r>
    </w:p>
    <w:p w14:paraId="6C141342" w14:textId="01D4C95F" w:rsidR="00FD7710" w:rsidRPr="00FE2A43" w:rsidRDefault="00FD7710" w:rsidP="00190269">
      <w:pPr>
        <w:ind w:left="1389" w:hanging="709"/>
      </w:pPr>
      <w:r w:rsidRPr="00FE2A43">
        <w:t xml:space="preserve">(slovy: </w:t>
      </w:r>
      <w:r w:rsidR="005136E3">
        <w:t xml:space="preserve">dvě stě padesát jedna tisíc osm set sedmdesát šest </w:t>
      </w:r>
      <w:r w:rsidRPr="00FE2A43">
        <w:t>korun českých)</w:t>
      </w:r>
    </w:p>
    <w:p w14:paraId="5933B573" w14:textId="282CF603" w:rsidR="00FD7710" w:rsidRPr="005136E3" w:rsidRDefault="00FD7710" w:rsidP="00190269">
      <w:pPr>
        <w:ind w:left="1389" w:hanging="709"/>
        <w:rPr>
          <w:b/>
        </w:rPr>
      </w:pPr>
      <w:r w:rsidRPr="000D2AAE">
        <w:rPr>
          <w:b/>
        </w:rPr>
        <w:t>Celkem cena za dílo včetně 21% DPH činí</w:t>
      </w:r>
      <w:r w:rsidR="00B63D42">
        <w:tab/>
      </w:r>
      <w:r w:rsidR="000D2AAE">
        <w:tab/>
      </w:r>
      <w:r w:rsidR="000D2AAE">
        <w:tab/>
      </w:r>
      <w:r w:rsidR="00815CB9" w:rsidRPr="005136E3">
        <w:rPr>
          <w:b/>
        </w:rPr>
        <w:t>1 451 288</w:t>
      </w:r>
      <w:r w:rsidR="000B6844" w:rsidRPr="005136E3">
        <w:rPr>
          <w:b/>
          <w:szCs w:val="22"/>
        </w:rPr>
        <w:t xml:space="preserve">,- </w:t>
      </w:r>
      <w:r w:rsidRPr="005136E3">
        <w:rPr>
          <w:b/>
        </w:rPr>
        <w:t>Kč</w:t>
      </w:r>
    </w:p>
    <w:p w14:paraId="2FC4DAF7" w14:textId="35A510CF" w:rsidR="00FD7710" w:rsidRPr="00FE2A43" w:rsidRDefault="00FD7710" w:rsidP="006D083E">
      <w:pPr>
        <w:spacing w:after="360"/>
        <w:ind w:left="1389" w:hanging="709"/>
      </w:pPr>
      <w:r w:rsidRPr="00FE2A43">
        <w:t xml:space="preserve">(slovy: </w:t>
      </w:r>
      <w:r w:rsidR="005136E3">
        <w:t xml:space="preserve">jeden milion čtyři sta padesát jedna tisíc dvě stě osmdesát osm </w:t>
      </w:r>
      <w:r w:rsidRPr="00FE2A43">
        <w:t>korun českých)</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E72DE3">
        <w:fldChar w:fldCharType="begin"/>
      </w:r>
      <w:r w:rsidR="00E72DE3">
        <w:instrText xml:space="preserve"> REF _Ref97718147 \r \h </w:instrText>
      </w:r>
      <w:r w:rsidR="00E72DE3">
        <w:fldChar w:fldCharType="separate"/>
      </w:r>
      <w:r w:rsidR="000A3D63">
        <w:t>6.1</w:t>
      </w:r>
      <w:r w:rsidR="00E72DE3">
        <w:fldChar w:fldCharType="end"/>
      </w:r>
      <w:r w:rsidR="0050711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4DB0243A" w:rsidR="00FD7710" w:rsidRPr="000D2AAE" w:rsidRDefault="00612D4D" w:rsidP="00F21009">
      <w:pPr>
        <w:pStyle w:val="Nadpis2"/>
      </w:pPr>
      <w:bookmarkStart w:id="12" w:name="_Ref97725732"/>
      <w:r w:rsidRPr="000D2AAE">
        <w:lastRenderedPageBreak/>
        <w:t>Každá faktura musí být označena názvem</w:t>
      </w:r>
      <w:r w:rsidR="00D50C25" w:rsidRPr="000D2AAE">
        <w:t xml:space="preserve"> veřejné</w:t>
      </w:r>
      <w:r w:rsidR="0019753B" w:rsidRPr="000D2AAE">
        <w:t xml:space="preserve"> </w:t>
      </w:r>
      <w:r w:rsidRPr="000D2AAE">
        <w:t>zakázky</w:t>
      </w:r>
      <w:r w:rsidR="00F21009">
        <w:t xml:space="preserve"> </w:t>
      </w:r>
      <w:r w:rsidR="00F21009" w:rsidRPr="00F21009">
        <w:t>i číslem projektu</w:t>
      </w:r>
      <w:r w:rsidR="00F21009">
        <w:t xml:space="preserve"> dotačního programu.</w:t>
      </w:r>
      <w:r w:rsidRPr="000D2AAE">
        <w:t xml:space="preserve">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0A3D63">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0A3D63">
        <w:t>7.1</w:t>
      </w:r>
      <w:r w:rsidR="00E72DE3">
        <w:fldChar w:fldCharType="end"/>
      </w:r>
      <w:r w:rsidR="0050711C">
        <w:t>.</w:t>
      </w:r>
      <w:proofErr w:type="gramEnd"/>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proofErr w:type="gramStart"/>
      <w:r w:rsidR="000A3D63">
        <w:t>10.3</w:t>
      </w:r>
      <w:r w:rsidR="00E72DE3">
        <w:fldChar w:fldCharType="end"/>
      </w:r>
      <w:r w:rsidR="0050711C">
        <w:t>.</w:t>
      </w:r>
      <w:proofErr w:type="gramEnd"/>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lastRenderedPageBreak/>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6ECD421A" w14:textId="146C319D" w:rsidR="007630C7" w:rsidRPr="00421111" w:rsidRDefault="002530EC" w:rsidP="007630C7">
      <w:pPr>
        <w:jc w:val="both"/>
      </w:pPr>
      <w:r w:rsidRPr="00DA0ED3">
        <w:rPr>
          <w:b/>
        </w:rPr>
        <w:t>Záruky za řádné plnění:</w:t>
      </w:r>
    </w:p>
    <w:p w14:paraId="74C582E6" w14:textId="2126DE94"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2476A366" w:rsidR="002530EC" w:rsidRPr="00DA0ED3" w:rsidRDefault="002530EC" w:rsidP="002530EC">
      <w:pPr>
        <w:spacing w:before="240" w:after="0"/>
        <w:ind w:left="708"/>
        <w:jc w:val="both"/>
      </w:pPr>
      <w:r w:rsidRPr="00DA0ED3">
        <w:t>Objednatel má právo zadržet v souladu s </w:t>
      </w:r>
      <w:proofErr w:type="gramStart"/>
      <w:r w:rsidRPr="00DA0ED3">
        <w:t xml:space="preserve">čl. </w:t>
      </w:r>
      <w:r w:rsidR="00E72DE3">
        <w:fldChar w:fldCharType="begin"/>
      </w:r>
      <w:r w:rsidR="00E72DE3">
        <w:instrText xml:space="preserve"> REF _Ref97718675 \r \h </w:instrText>
      </w:r>
      <w:r w:rsidR="00E72DE3">
        <w:fldChar w:fldCharType="separate"/>
      </w:r>
      <w:r w:rsidR="000A3D63">
        <w:t>6.10</w:t>
      </w:r>
      <w:proofErr w:type="gramEnd"/>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7630C7">
      <w:pPr>
        <w:pStyle w:val="Odstavecseseznamem"/>
        <w:numPr>
          <w:ilvl w:val="0"/>
          <w:numId w:val="4"/>
        </w:numPr>
        <w:jc w:val="both"/>
      </w:pPr>
      <w:r w:rsidRPr="00DA0ED3">
        <w:t>zhotovitel nevyklidil staveniště ve stanoveném termínu a včas neuhradil sankce za nedodržení stanoveného termínu pro vyklizení staveniště.</w:t>
      </w:r>
    </w:p>
    <w:p w14:paraId="0ECA6E4B" w14:textId="15B80D35" w:rsidR="002530EC" w:rsidRPr="002530EC" w:rsidRDefault="002530EC" w:rsidP="002530EC">
      <w:pPr>
        <w:rPr>
          <w:b/>
        </w:rPr>
      </w:pPr>
      <w:r w:rsidRPr="002530EC">
        <w:rPr>
          <w:b/>
        </w:rPr>
        <w:t>Záruční doba</w:t>
      </w:r>
      <w:r w:rsidR="00F21009">
        <w:rPr>
          <w:b/>
        </w:rPr>
        <w:t>:</w:t>
      </w:r>
    </w:p>
    <w:p w14:paraId="3B749542" w14:textId="22207105" w:rsidR="00FD7710" w:rsidRPr="00B31F52" w:rsidRDefault="00B31F52" w:rsidP="00B31F52">
      <w:pPr>
        <w:pStyle w:val="Nadpis2"/>
      </w:pPr>
      <w:r>
        <w:t xml:space="preserve">Záruční doba na </w:t>
      </w:r>
      <w:r w:rsidR="00612D4D" w:rsidRPr="00310A5C">
        <w:t>dílo</w:t>
      </w:r>
      <w:r>
        <w:t xml:space="preserve">, </w:t>
      </w:r>
      <w:r w:rsidRPr="00B31F52">
        <w:t>dodání a provedení systému</w:t>
      </w:r>
      <w:r>
        <w:t xml:space="preserve"> </w:t>
      </w:r>
      <w:r w:rsidR="005F1EA6" w:rsidRPr="00132513">
        <w:t>dle této S</w:t>
      </w:r>
      <w:r w:rsidR="00612D4D" w:rsidRPr="00132513">
        <w:t xml:space="preserve">mlouvy činí </w:t>
      </w:r>
      <w:r w:rsidR="00612D4D" w:rsidRPr="00B31F52">
        <w:rPr>
          <w:b/>
        </w:rPr>
        <w:t>pět (5) roků (tj. šedesát (60) měsíců).</w:t>
      </w:r>
      <w:r>
        <w:rPr>
          <w:b/>
        </w:rPr>
        <w:t xml:space="preserve"> </w:t>
      </w:r>
      <w:r w:rsidRPr="00B31F52">
        <w:t>Záruční doba díla je sjednána v délce 60 měsíců od řádného dokončení a předání díla. Záruční doba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w:t>
      </w:r>
      <w:r w:rsidRPr="008833BC">
        <w:lastRenderedPageBreak/>
        <w:t xml:space="preserve">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0A3D63">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0AFA35A8" w14:textId="6BC2A928" w:rsidR="003D1941" w:rsidRPr="003D1941" w:rsidRDefault="005E5A4A" w:rsidP="003C7370">
      <w:pPr>
        <w:pStyle w:val="Nadpis2"/>
      </w:pPr>
      <w:r>
        <w:t xml:space="preserve">Zhotovitel </w:t>
      </w:r>
      <w:r w:rsidR="003D1941">
        <w:t xml:space="preserve">je povinen po celou dobu plnění veřejné zakázky dle Smlouvy o dílo (do doby úplného dokončení díla bez vad a nedodělků) mít sjednáno a udržovat obecné pojištění odpovědnosti za škodu </w:t>
      </w:r>
      <w:r w:rsidR="003D1941">
        <w:lastRenderedPageBreak/>
        <w:t>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1 000 000,- Kč (jeden milion Kč). Dále je vybraný dodavatel povinen sjednat stavební a montážní pojištění na stavební a montážní aktivity (práce) vztahující se konkrétně k této veřejné zakázce a zároveň odpovědnost za újmu způsobenou jinému subjektu v souvislosti s výše uvedeným, přičemž limit pojistného plnění je ve výši min. 1 000 000,- Kč (jeden milion Kč).</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2"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w:t>
      </w:r>
      <w:proofErr w:type="gramStart"/>
      <w:r w:rsidRPr="008833BC">
        <w:t xml:space="preserve">odst. </w:t>
      </w:r>
      <w:r w:rsidR="00E72DE3">
        <w:fldChar w:fldCharType="begin"/>
      </w:r>
      <w:r w:rsidR="00E72DE3">
        <w:instrText xml:space="preserve"> REF _Ref97718521 \r \h </w:instrText>
      </w:r>
      <w:r w:rsidR="00E72DE3">
        <w:fldChar w:fldCharType="separate"/>
      </w:r>
      <w:r w:rsidR="000A3D63">
        <w:t>6.13</w:t>
      </w:r>
      <w:proofErr w:type="gramEnd"/>
      <w:r w:rsidR="00E72DE3">
        <w:fldChar w:fldCharType="end"/>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bookmarkEnd w:id="22"/>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54B73E9" w:rsidR="00551CE3" w:rsidRDefault="00551CE3" w:rsidP="00C81227">
      <w:pPr>
        <w:pStyle w:val="Nadpis2"/>
      </w:pPr>
      <w:r w:rsidRPr="0097006F">
        <w:t xml:space="preserve">Zhotovitel je povinen po celou dobu  realizace díla poskytovat objednateli potřebnou součinnost v souvislosti s probíhajícím provozem </w:t>
      </w:r>
      <w:r w:rsidR="00522FF4">
        <w:t>v areálu</w:t>
      </w:r>
      <w:r w:rsidRPr="0097006F">
        <w:t xml:space="preserve"> a současně probíhajícími pracemi, které jsou nezb</w:t>
      </w:r>
      <w:r>
        <w:t xml:space="preserve">ytné k řádnému dokončení díla. </w:t>
      </w:r>
      <w:r w:rsidR="00522FF4">
        <w:t>Dodávka a stavební práce mohou</w:t>
      </w:r>
      <w:r>
        <w:t xml:space="preserve"> probíhat i o víkendech</w:t>
      </w:r>
      <w:r w:rsidR="00522FF4">
        <w:t>.</w:t>
      </w:r>
    </w:p>
    <w:p w14:paraId="3709139A" w14:textId="4898E746" w:rsidR="000737D7" w:rsidRDefault="000737D7" w:rsidP="00C81227">
      <w:pPr>
        <w:pStyle w:val="Nadpis2"/>
      </w:pPr>
      <w:r w:rsidRPr="008833BC">
        <w:t>Zhotovitel bude plně respektovat provoz v</w:t>
      </w:r>
      <w:r w:rsidR="00522FF4">
        <w:t> </w:t>
      </w:r>
      <w:r w:rsidRPr="008833BC">
        <w:t>objektu</w:t>
      </w:r>
      <w:r w:rsidR="00522FF4">
        <w:t xml:space="preserve"> a areálu</w:t>
      </w:r>
      <w:r w:rsidRPr="008833BC">
        <w:t xml:space="preserve"> výstavby </w:t>
      </w:r>
      <w:r w:rsidRPr="00310A5C">
        <w:t>a s dostatečným předstihem bude s objednatelem sjednávat případná nezbytně nutná omezení.</w:t>
      </w:r>
    </w:p>
    <w:p w14:paraId="6466AD1E" w14:textId="424FE09F"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973E28">
        <w:rPr>
          <w:b/>
          <w:u w:val="single"/>
        </w:rPr>
        <w:t xml:space="preserve">1 </w:t>
      </w:r>
      <w:r w:rsidR="00303134" w:rsidRPr="00E651A9">
        <w:rPr>
          <w:b/>
          <w:u w:val="single"/>
        </w:rPr>
        <w:t>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lastRenderedPageBreak/>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2A3CCD9E" w14:textId="06CF0449" w:rsidR="003D1941" w:rsidRDefault="004843B3" w:rsidP="00E651A9">
      <w:pPr>
        <w:pStyle w:val="Nadpis2"/>
      </w:pPr>
      <w:r w:rsidRPr="004843B3">
        <w:t xml:space="preserve">Zhotovitel </w:t>
      </w:r>
      <w:r w:rsidR="003D1941" w:rsidRPr="003D1941">
        <w:t>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w:t>
      </w:r>
      <w:r w:rsidR="003D1941">
        <w:t>na.</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72739618" w14:textId="4EE40710" w:rsidR="00FF7384" w:rsidRPr="00E651A9" w:rsidRDefault="00D17091" w:rsidP="00D17091">
      <w:pPr>
        <w:pStyle w:val="Nadpis2"/>
      </w:pPr>
      <w:r>
        <w:t>Objednatel i zhotovitel je povinen uchovávat veškerou dokumentaci související s realizací projektu včetně účetních dokladů minimálně po dobu minimálně do 31. 12. 2035 a způsobem uvedeným v obecných pravidlech poskytovatele dotace. Pokud je v českých právních předpisech stanovena lhůta delší, musí ji objednatel i zhotovitel použít. Zhotovitel bude dle ustanovení § 2 písm. e) zák. č. 320/2001 Sb., o finanční kontrole ve veřejné správě, v platném znění, osobou povinnou spolupůsobit při výkonu finanční kontroly. Zhotovitel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Del="00D17091">
        <w:t xml:space="preserve"> </w:t>
      </w:r>
    </w:p>
    <w:p w14:paraId="68661331" w14:textId="0BFF6A2B" w:rsidR="00612D4D" w:rsidRDefault="00612D4D" w:rsidP="00E651A9">
      <w:pPr>
        <w:pStyle w:val="Nadpis2"/>
      </w:pPr>
      <w:r w:rsidRPr="00E651A9">
        <w:t xml:space="preserve">Po ukončení díla </w:t>
      </w:r>
      <w:r w:rsidR="00C10A4C" w:rsidRPr="00E651A9">
        <w:t xml:space="preserve">objednatel </w:t>
      </w:r>
      <w:r w:rsidRPr="00E651A9">
        <w:t xml:space="preserve">zajistí označení díla pamětní deskou z odolného materiálu, na níž bude uveden název projektu a hlavní cíl projektu. </w:t>
      </w:r>
    </w:p>
    <w:p w14:paraId="64F3A2B3" w14:textId="69C8028C" w:rsidR="00D05892" w:rsidRPr="008D379B" w:rsidRDefault="0084504A" w:rsidP="003C7370">
      <w:pPr>
        <w:pStyle w:val="Nadpis2"/>
        <w:contextualSpacing/>
      </w:pPr>
      <w:r w:rsidRPr="008D379B">
        <w:t>Objednatel si vyhradil v zadávacích podmínkách veřejné zakázky, konkrétně v čl. 2.4 Výzvy k podání nabídek, změnu závazku ze smlouvy. Případná změna závazku se bude řídit tímto ustanovením Zadávací dokumentace nebo § 222 ZZVZ.</w:t>
      </w:r>
    </w:p>
    <w:p w14:paraId="2A3BDD75" w14:textId="5B7CE0BF" w:rsidR="00B976A8" w:rsidRPr="00132513" w:rsidRDefault="00B976A8" w:rsidP="00AE5CB6">
      <w:pPr>
        <w:pStyle w:val="Nadpis1"/>
      </w:pPr>
      <w:bookmarkStart w:id="23" w:name="_Toc97796498"/>
      <w:r w:rsidRPr="00132513">
        <w:t>VEDENÍ STAVEBNÍHO DENÍKU</w:t>
      </w:r>
      <w:bookmarkEnd w:id="23"/>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w:t>
      </w:r>
      <w:r w:rsidRPr="00646856">
        <w:lastRenderedPageBreak/>
        <w:t xml:space="preserve">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4" w:name="_Toc97796499"/>
      <w:r w:rsidRPr="008833BC">
        <w:t>PŘERUŠENÍ PRACÍ NA DÍLE</w:t>
      </w:r>
      <w:bookmarkEnd w:id="24"/>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5" w:name="_Toc97796500"/>
      <w:r w:rsidRPr="008833BC">
        <w:t>PROVÁDĚNÍ KONTROL</w:t>
      </w:r>
      <w:bookmarkEnd w:id="25"/>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6" w:name="_Toc97796501"/>
      <w:r w:rsidRPr="008833BC">
        <w:t>VLASTNICTVÍ DÍLA</w:t>
      </w:r>
      <w:bookmarkEnd w:id="26"/>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7" w:name="_Toc97796502"/>
      <w:r w:rsidRPr="008833BC">
        <w:t>SANKCE</w:t>
      </w:r>
      <w:bookmarkEnd w:id="27"/>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0A3D63">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w:t>
      </w:r>
      <w:r w:rsidRPr="002426F2">
        <w:lastRenderedPageBreak/>
        <w:t xml:space="preserve">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0A3D63">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8D379B">
        <w:t>díla 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0A3D63">
        <w:t>8.6</w:t>
      </w:r>
      <w:r w:rsidR="00A21A3E">
        <w:fldChar w:fldCharType="end"/>
      </w:r>
      <w:r w:rsidR="0050711C">
        <w:t>.</w:t>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0EA314BA" w14:textId="6C8374D8" w:rsidR="008D379B" w:rsidRDefault="004843B3" w:rsidP="008D379B">
      <w:pPr>
        <w:pStyle w:val="Nadpis2"/>
      </w:pPr>
      <w:r w:rsidRPr="004843B3">
        <w:t xml:space="preserve">Při </w:t>
      </w:r>
      <w:r w:rsidR="008D379B" w:rsidRPr="008D379B">
        <w:t>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náhradu</w:t>
      </w:r>
      <w:r w:rsidR="008D379B">
        <w:t>.</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lastRenderedPageBreak/>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8" w:name="_Ref97718829"/>
      <w:bookmarkStart w:id="29" w:name="_Toc97796503"/>
      <w:r w:rsidRPr="00646856">
        <w:t>UKONČENÍ</w:t>
      </w:r>
      <w:r w:rsidR="00612D4D" w:rsidRPr="008833BC">
        <w:t xml:space="preserve"> SMLOUVY</w:t>
      </w:r>
      <w:bookmarkEnd w:id="28"/>
      <w:bookmarkEnd w:id="29"/>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0A3D63">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2" w:name="_Ref97721842"/>
      <w:r w:rsidRPr="004C6515">
        <w:lastRenderedPageBreak/>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14:paraId="7FA9A966" w14:textId="6569AE78"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0A3D63">
        <w:t>5</w:t>
      </w:r>
      <w:r w:rsidR="00C25A0B">
        <w:fldChar w:fldCharType="end"/>
      </w:r>
      <w:r w:rsidR="00F9414C" w:rsidRPr="004C6515">
        <w:t xml:space="preserve"> </w:t>
      </w:r>
      <w:r w:rsidR="005F1EA6" w:rsidRPr="004C6515">
        <w:t>této S</w:t>
      </w:r>
      <w:r w:rsidRPr="004C6515">
        <w:t>mlouvy;</w:t>
      </w:r>
      <w:bookmarkEnd w:id="33"/>
    </w:p>
    <w:p w14:paraId="10A9EB91" w14:textId="1A6F5FBE" w:rsidR="00FD19D3" w:rsidRDefault="00612D4D" w:rsidP="00DD52A4">
      <w:pPr>
        <w:pStyle w:val="Nadpis3"/>
      </w:pPr>
      <w:bookmarkStart w:id="34"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4"/>
    </w:p>
    <w:p w14:paraId="7F01401A" w14:textId="6F712803" w:rsidR="00FD19D3" w:rsidRDefault="00612D4D" w:rsidP="00DD52A4">
      <w:pPr>
        <w:pStyle w:val="Nadpis3"/>
      </w:pPr>
      <w:bookmarkStart w:id="35"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5"/>
    </w:p>
    <w:p w14:paraId="68575E88" w14:textId="77777777" w:rsidR="00FD19D3" w:rsidRDefault="00612D4D" w:rsidP="00DD52A4">
      <w:pPr>
        <w:pStyle w:val="Nadpis3"/>
      </w:pPr>
      <w:bookmarkStart w:id="36" w:name="_Ref97721864"/>
      <w:proofErr w:type="gramStart"/>
      <w:r w:rsidRPr="004C6515">
        <w:t>ze</w:t>
      </w:r>
      <w:proofErr w:type="gramEnd"/>
      <w:r w:rsidRPr="004C6515">
        <w:t xml:space="preserve"> zákonem stanovených důvodů.</w:t>
      </w:r>
      <w:bookmarkEnd w:id="36"/>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C7DC957"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proofErr w:type="gramStart"/>
      <w:r w:rsidR="000A3D63">
        <w:t>16.2</w:t>
      </w:r>
      <w:r w:rsidR="00C25A0B">
        <w:fldChar w:fldCharType="end"/>
      </w:r>
      <w:r w:rsidR="00D576B1">
        <w:t>.</w:t>
      </w:r>
      <w:proofErr w:type="gramEnd"/>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proofErr w:type="gramStart"/>
      <w:r w:rsidR="000A3D63">
        <w:t>16.3</w:t>
      </w:r>
      <w:r w:rsidR="00C25A0B">
        <w:fldChar w:fldCharType="end"/>
      </w:r>
      <w:r w:rsidR="00D576B1">
        <w:t>.</w:t>
      </w:r>
      <w:r w:rsidRPr="008833BC">
        <w:t xml:space="preserve"> písm.</w:t>
      </w:r>
      <w:proofErr w:type="gramEnd"/>
      <w:r w:rsidRPr="008833BC">
        <w:t xml:space="preserve"> </w:t>
      </w:r>
      <w:r w:rsidR="00C25A0B">
        <w:fldChar w:fldCharType="begin"/>
      </w:r>
      <w:r w:rsidR="00C25A0B">
        <w:instrText xml:space="preserve"> REF _Ref97721854 \r \h </w:instrText>
      </w:r>
      <w:r w:rsidR="00C25A0B">
        <w:fldChar w:fldCharType="separate"/>
      </w:r>
      <w:r w:rsidR="000A3D63">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0A3D63">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0A3D63">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0A3D63">
        <w:t>i</w:t>
      </w:r>
      <w:r w:rsidR="00C25A0B">
        <w:fldChar w:fldCharType="end"/>
      </w:r>
      <w:r w:rsidR="00D72B27">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0A3D63">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0A3D63">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7" w:name="_Toc97796504"/>
      <w:r w:rsidRPr="008833BC">
        <w:t>KOMUNIKACE MEZI SMLUVNÍMI STRANAMI</w:t>
      </w:r>
      <w:bookmarkEnd w:id="37"/>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30E68E8E" w:rsidR="00FD19D3" w:rsidRPr="009527D3" w:rsidRDefault="002E501B" w:rsidP="004C6515">
            <w:pPr>
              <w:rPr>
                <w:sz w:val="22"/>
                <w:szCs w:val="22"/>
              </w:rPr>
            </w:pPr>
            <w:r w:rsidRPr="002E501B">
              <w:rPr>
                <w:sz w:val="22"/>
                <w:szCs w:val="22"/>
              </w:rPr>
              <w:t>Mgr. Luboš Smolík, ředitel muzea</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204A2CBB" w:rsidR="00FD19D3" w:rsidRPr="009527D3" w:rsidRDefault="00F94424" w:rsidP="004C6515">
            <w:pPr>
              <w:rPr>
                <w:sz w:val="22"/>
                <w:szCs w:val="22"/>
              </w:rPr>
            </w:pPr>
            <w:r>
              <w:rPr>
                <w:sz w:val="22"/>
                <w:szCs w:val="22"/>
              </w:rPr>
              <w:t>………………..</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276F9381" w:rsidR="00FD19D3" w:rsidRPr="005639AB" w:rsidRDefault="00F94424" w:rsidP="00F94424">
            <w:pPr>
              <w:rPr>
                <w:sz w:val="22"/>
                <w:szCs w:val="22"/>
              </w:rPr>
            </w:pPr>
            <w:hyperlink r:id="rId8" w:history="1">
              <w:r>
                <w:rPr>
                  <w:rStyle w:val="Hypertextovodkaz"/>
                  <w:sz w:val="22"/>
                  <w:szCs w:val="22"/>
                </w:rPr>
                <w:t>………………….</w:t>
              </w:r>
            </w:hyperlink>
            <w:r w:rsidR="002E501B" w:rsidRPr="005639AB">
              <w:rPr>
                <w:sz w:val="22"/>
                <w:szCs w:val="22"/>
              </w:rPr>
              <w:t xml:space="preserve"> </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5D37829D" w:rsidR="00FD19D3" w:rsidRPr="009527D3" w:rsidRDefault="005136E3" w:rsidP="004C6515">
            <w:pPr>
              <w:rPr>
                <w:sz w:val="22"/>
                <w:szCs w:val="22"/>
              </w:rPr>
            </w:pPr>
            <w:r>
              <w:rPr>
                <w:sz w:val="22"/>
                <w:szCs w:val="22"/>
              </w:rPr>
              <w:t>Mgr. Martin Peřina</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307E057F" w:rsidR="00FD19D3" w:rsidRPr="009527D3" w:rsidRDefault="00F94424" w:rsidP="004C6515">
            <w:pPr>
              <w:rPr>
                <w:sz w:val="22"/>
                <w:szCs w:val="22"/>
              </w:rPr>
            </w:pPr>
            <w:r>
              <w:rPr>
                <w:sz w:val="22"/>
                <w:szCs w:val="22"/>
              </w:rPr>
              <w:t>……………….</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377F24C9" w:rsidR="00FD19D3" w:rsidRPr="005639AB" w:rsidRDefault="00F94424" w:rsidP="00F94424">
            <w:pPr>
              <w:rPr>
                <w:sz w:val="22"/>
                <w:szCs w:val="22"/>
              </w:rPr>
            </w:pPr>
            <w:hyperlink r:id="rId9" w:history="1">
              <w:r>
                <w:rPr>
                  <w:rStyle w:val="Hypertextovodkaz"/>
                  <w:sz w:val="22"/>
                  <w:szCs w:val="22"/>
                </w:rPr>
                <w:t>…………………….</w:t>
              </w:r>
            </w:hyperlink>
            <w:r w:rsidR="005136E3" w:rsidRPr="005639AB">
              <w:rPr>
                <w:sz w:val="22"/>
                <w:szCs w:val="22"/>
              </w:rPr>
              <w:t xml:space="preserve"> </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6AD0A278" w:rsidR="00FD19D3" w:rsidRPr="009527D3" w:rsidRDefault="002E501B" w:rsidP="004C6515">
            <w:pPr>
              <w:rPr>
                <w:sz w:val="22"/>
                <w:szCs w:val="22"/>
              </w:rPr>
            </w:pPr>
            <w:r w:rsidRPr="002E501B">
              <w:rPr>
                <w:sz w:val="22"/>
                <w:szCs w:val="22"/>
              </w:rPr>
              <w:t>Libor Kodýdek, správce nemovitých památek v Chanovicích</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lastRenderedPageBreak/>
              <w:t>Tel.:</w:t>
            </w:r>
          </w:p>
        </w:tc>
        <w:tc>
          <w:tcPr>
            <w:tcW w:w="4275" w:type="dxa"/>
            <w:shd w:val="clear" w:color="auto" w:fill="auto"/>
          </w:tcPr>
          <w:p w14:paraId="2F8A7808" w14:textId="48598728" w:rsidR="00FD19D3" w:rsidRPr="009527D3" w:rsidRDefault="00F94424" w:rsidP="004C6515">
            <w:pPr>
              <w:rPr>
                <w:sz w:val="22"/>
                <w:szCs w:val="22"/>
              </w:rPr>
            </w:pPr>
            <w:r>
              <w:rPr>
                <w:sz w:val="22"/>
                <w:szCs w:val="22"/>
              </w:rPr>
              <w:t>………………….</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59E97294" w:rsidR="00FD19D3" w:rsidRPr="005639AB" w:rsidRDefault="00F94424" w:rsidP="00F94424">
            <w:pPr>
              <w:rPr>
                <w:sz w:val="22"/>
                <w:szCs w:val="22"/>
              </w:rPr>
            </w:pPr>
            <w:hyperlink r:id="rId10" w:history="1">
              <w:r>
                <w:rPr>
                  <w:rStyle w:val="Hypertextovodkaz"/>
                  <w:sz w:val="22"/>
                  <w:szCs w:val="22"/>
                </w:rPr>
                <w:t>…………………..</w:t>
              </w:r>
            </w:hyperlink>
            <w:r w:rsidR="002E501B" w:rsidRPr="005639AB">
              <w:rPr>
                <w:sz w:val="22"/>
                <w:szCs w:val="22"/>
              </w:rPr>
              <w:t xml:space="preserve"> </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68A7B866" w:rsidR="00FD19D3" w:rsidRPr="009527D3" w:rsidRDefault="005136E3" w:rsidP="004C6515">
            <w:pPr>
              <w:rPr>
                <w:sz w:val="22"/>
                <w:szCs w:val="22"/>
              </w:rPr>
            </w:pPr>
            <w:r>
              <w:rPr>
                <w:sz w:val="22"/>
                <w:szCs w:val="22"/>
              </w:rPr>
              <w:t>Daniel Svoboda</w:t>
            </w:r>
          </w:p>
        </w:tc>
      </w:tr>
      <w:tr w:rsidR="00FD19D3" w:rsidRPr="009527D3" w14:paraId="150FE9E6" w14:textId="77777777" w:rsidTr="00E676F8">
        <w:tc>
          <w:tcPr>
            <w:tcW w:w="1668" w:type="dxa"/>
          </w:tcPr>
          <w:p w14:paraId="4F50FCCF" w14:textId="77777777" w:rsidR="00FD19D3" w:rsidRPr="005136E3" w:rsidRDefault="00FD19D3" w:rsidP="004C6515">
            <w:pPr>
              <w:rPr>
                <w:sz w:val="22"/>
                <w:szCs w:val="22"/>
              </w:rPr>
            </w:pPr>
            <w:r w:rsidRPr="005136E3">
              <w:rPr>
                <w:sz w:val="22"/>
                <w:szCs w:val="22"/>
              </w:rPr>
              <w:t>Tel.:</w:t>
            </w:r>
          </w:p>
        </w:tc>
        <w:tc>
          <w:tcPr>
            <w:tcW w:w="4275" w:type="dxa"/>
          </w:tcPr>
          <w:p w14:paraId="70FF814A" w14:textId="113723A7" w:rsidR="00FD19D3" w:rsidRPr="005136E3" w:rsidRDefault="00F94424" w:rsidP="004C6515">
            <w:pPr>
              <w:rPr>
                <w:sz w:val="22"/>
                <w:szCs w:val="22"/>
              </w:rPr>
            </w:pPr>
            <w:r>
              <w:rPr>
                <w:sz w:val="22"/>
                <w:szCs w:val="22"/>
              </w:rPr>
              <w:t>…………………</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1CBEFA81" w:rsidR="00FD19D3" w:rsidRPr="005639AB" w:rsidRDefault="00F94424" w:rsidP="00F94424">
            <w:pPr>
              <w:rPr>
                <w:sz w:val="22"/>
                <w:szCs w:val="22"/>
              </w:rPr>
            </w:pPr>
            <w:hyperlink r:id="rId11" w:history="1">
              <w:r>
                <w:rPr>
                  <w:rStyle w:val="Hypertextovodkaz"/>
                  <w:sz w:val="22"/>
                  <w:szCs w:val="22"/>
                </w:rPr>
                <w:t>…………………..</w:t>
              </w:r>
            </w:hyperlink>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221ABC8F" w:rsidR="00FD19D3" w:rsidRPr="009527D3" w:rsidRDefault="002E501B" w:rsidP="004C6515">
            <w:pPr>
              <w:rPr>
                <w:sz w:val="22"/>
                <w:szCs w:val="22"/>
              </w:rPr>
            </w:pPr>
            <w:r w:rsidRPr="002E501B">
              <w:rPr>
                <w:sz w:val="22"/>
                <w:szCs w:val="22"/>
              </w:rPr>
              <w:t>Libor Kodýdek, správce nemovitých památek v Chanovicích</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649111A" w:rsidR="00FD19D3" w:rsidRPr="009527D3" w:rsidRDefault="00F94424" w:rsidP="004C6515">
            <w:pPr>
              <w:rPr>
                <w:sz w:val="22"/>
                <w:szCs w:val="22"/>
              </w:rPr>
            </w:pPr>
            <w:r>
              <w:rPr>
                <w:sz w:val="22"/>
                <w:szCs w:val="22"/>
              </w:rPr>
              <w:t>…………………………..</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4B4FA08B" w:rsidR="00FD19D3" w:rsidRPr="005639AB" w:rsidRDefault="00F94424" w:rsidP="004C6515">
            <w:pPr>
              <w:rPr>
                <w:sz w:val="22"/>
                <w:szCs w:val="22"/>
              </w:rPr>
            </w:pPr>
            <w:r>
              <w:t>…………………………….</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34EE262A" w:rsidR="00FD19D3" w:rsidRPr="009527D3" w:rsidRDefault="005136E3" w:rsidP="004C6515">
            <w:pPr>
              <w:rPr>
                <w:sz w:val="22"/>
                <w:szCs w:val="22"/>
              </w:rPr>
            </w:pPr>
            <w:r>
              <w:rPr>
                <w:sz w:val="22"/>
                <w:szCs w:val="22"/>
              </w:rPr>
              <w:t xml:space="preserve">Jiří </w:t>
            </w:r>
            <w:proofErr w:type="spellStart"/>
            <w:r>
              <w:rPr>
                <w:sz w:val="22"/>
                <w:szCs w:val="22"/>
              </w:rPr>
              <w:t>Krejzar</w:t>
            </w:r>
            <w:proofErr w:type="spellEnd"/>
          </w:p>
        </w:tc>
      </w:tr>
      <w:tr w:rsidR="00FD19D3" w:rsidRPr="009527D3" w14:paraId="11DAA4CE" w14:textId="77777777" w:rsidTr="00E676F8">
        <w:tc>
          <w:tcPr>
            <w:tcW w:w="1668" w:type="dxa"/>
          </w:tcPr>
          <w:p w14:paraId="19E551A4" w14:textId="77777777" w:rsidR="00FD19D3" w:rsidRPr="005136E3" w:rsidRDefault="00FD19D3" w:rsidP="004C6515">
            <w:pPr>
              <w:rPr>
                <w:sz w:val="22"/>
                <w:szCs w:val="22"/>
              </w:rPr>
            </w:pPr>
            <w:r w:rsidRPr="005136E3">
              <w:rPr>
                <w:sz w:val="22"/>
                <w:szCs w:val="22"/>
              </w:rPr>
              <w:t>Tel.:</w:t>
            </w:r>
          </w:p>
        </w:tc>
        <w:tc>
          <w:tcPr>
            <w:tcW w:w="4275" w:type="dxa"/>
          </w:tcPr>
          <w:p w14:paraId="0D79B9D4" w14:textId="607F21FF" w:rsidR="00FD19D3" w:rsidRPr="005136E3" w:rsidRDefault="00F94424" w:rsidP="004C6515">
            <w:pPr>
              <w:rPr>
                <w:sz w:val="22"/>
                <w:szCs w:val="22"/>
              </w:rPr>
            </w:pPr>
            <w:r>
              <w:rPr>
                <w:sz w:val="22"/>
                <w:szCs w:val="22"/>
              </w:rPr>
              <w:t>…………………………</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0E15961A" w:rsidR="00FD19D3" w:rsidRPr="005639AB" w:rsidRDefault="00F94424" w:rsidP="00F94424">
            <w:pPr>
              <w:rPr>
                <w:sz w:val="22"/>
                <w:szCs w:val="22"/>
              </w:rPr>
            </w:pPr>
            <w:r>
              <w:fldChar w:fldCharType="begin"/>
            </w:r>
            <w:r>
              <w:instrText xml:space="preserve"> HYPERLINK "mailto:krejzar@kbelektro.cz" </w:instrText>
            </w:r>
            <w:r>
              <w:fldChar w:fldCharType="separate"/>
            </w:r>
            <w:r>
              <w:rPr>
                <w:rStyle w:val="Hypertextovodkaz"/>
                <w:sz w:val="22"/>
                <w:szCs w:val="22"/>
              </w:rPr>
              <w:t>………………………..</w:t>
            </w:r>
            <w:bookmarkStart w:id="38" w:name="_GoBack"/>
            <w:bookmarkEnd w:id="38"/>
            <w:r>
              <w:rPr>
                <w:rStyle w:val="Hypertextovodkaz"/>
                <w:szCs w:val="22"/>
              </w:rPr>
              <w:fldChar w:fldCharType="end"/>
            </w:r>
            <w:r w:rsidR="005136E3" w:rsidRPr="005639AB">
              <w:rPr>
                <w:sz w:val="22"/>
                <w:szCs w:val="22"/>
              </w:rPr>
              <w:t xml:space="preserve"> </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9" w:name="_Toc97796505"/>
      <w:r w:rsidRPr="008833BC">
        <w:t>ZÁVĚREČNÁ UJEDNÁNÍ</w:t>
      </w:r>
      <w:bookmarkEnd w:id="39"/>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w:t>
      </w:r>
      <w:r w:rsidRPr="00FE3C75">
        <w:lastRenderedPageBreak/>
        <w:t>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w:t>
      </w:r>
      <w:proofErr w:type="gramStart"/>
      <w:r w:rsidR="00C21D1D">
        <w:t xml:space="preserve">čl. </w:t>
      </w:r>
      <w:r w:rsidR="0096334D">
        <w:fldChar w:fldCharType="begin"/>
      </w:r>
      <w:r w:rsidR="0096334D">
        <w:instrText xml:space="preserve"> REF _Ref109742446 \r \h </w:instrText>
      </w:r>
      <w:r w:rsidR="0096334D">
        <w:fldChar w:fldCharType="separate"/>
      </w:r>
      <w:r w:rsidR="000A3D63">
        <w:t>6.14</w:t>
      </w:r>
      <w:proofErr w:type="gramEnd"/>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8D379B" w:rsidRDefault="005F1EA6" w:rsidP="004C6515">
      <w:pPr>
        <w:rPr>
          <w:b/>
        </w:rPr>
      </w:pPr>
      <w:r w:rsidRPr="008D379B">
        <w:rPr>
          <w:b/>
        </w:rPr>
        <w:t>Přílohy ke S</w:t>
      </w:r>
      <w:r w:rsidR="00612D4D" w:rsidRPr="008D379B">
        <w:rPr>
          <w:b/>
        </w:rPr>
        <w:t>mlouvě:</w:t>
      </w:r>
    </w:p>
    <w:p w14:paraId="15A6EBEE" w14:textId="77777777" w:rsidR="008D379B" w:rsidRDefault="008D379B" w:rsidP="008D379B">
      <w:r>
        <w:t>Příloha č. 1 -  harmonogram prací</w:t>
      </w:r>
    </w:p>
    <w:p w14:paraId="3FB5B3F2" w14:textId="7E5FD3F4" w:rsidR="008D379B" w:rsidRDefault="008D379B" w:rsidP="008D379B">
      <w:r>
        <w:t xml:space="preserve">Příloha č. 2 - rozpočet v souladu s nabídkou dodavatele (krycí list rozpočtu a rekapitulace objektů) </w:t>
      </w:r>
    </w:p>
    <w:p w14:paraId="3C41FB11" w14:textId="0E79CEC7" w:rsidR="00612D4D" w:rsidRPr="00F131DE" w:rsidRDefault="008D379B" w:rsidP="00F131DE">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02FAD6BC" w14:textId="275A2372" w:rsidR="00612D4D" w:rsidRDefault="008D379B" w:rsidP="004C6515">
            <w:pPr>
              <w:rPr>
                <w:sz w:val="22"/>
                <w:szCs w:val="22"/>
              </w:rPr>
            </w:pPr>
            <w:r>
              <w:rPr>
                <w:sz w:val="22"/>
                <w:szCs w:val="22"/>
              </w:rPr>
              <w:t>v Klatovech</w:t>
            </w:r>
          </w:p>
          <w:p w14:paraId="2DF1AFD4" w14:textId="77777777" w:rsidR="008D379B" w:rsidRDefault="008D379B" w:rsidP="004C6515">
            <w:pPr>
              <w:rPr>
                <w:sz w:val="22"/>
                <w:szCs w:val="22"/>
              </w:rPr>
            </w:pPr>
          </w:p>
          <w:p w14:paraId="2F74EFB4" w14:textId="77777777" w:rsidR="008D379B" w:rsidRDefault="008D379B" w:rsidP="004C6515">
            <w:pPr>
              <w:rPr>
                <w:sz w:val="22"/>
                <w:szCs w:val="22"/>
              </w:rPr>
            </w:pPr>
          </w:p>
          <w:p w14:paraId="480E941F" w14:textId="77777777" w:rsidR="008D379B" w:rsidRPr="009527D3" w:rsidRDefault="008D379B" w:rsidP="004C6515">
            <w:pPr>
              <w:rPr>
                <w:sz w:val="22"/>
                <w:szCs w:val="22"/>
              </w:rPr>
            </w:pPr>
          </w:p>
          <w:p w14:paraId="6C0C95FA" w14:textId="06174A7A" w:rsidR="00612D4D" w:rsidRPr="009527D3" w:rsidRDefault="008D379B" w:rsidP="004C6515">
            <w:pPr>
              <w:rPr>
                <w:sz w:val="22"/>
                <w:szCs w:val="22"/>
              </w:rPr>
            </w:pPr>
            <w:r>
              <w:rPr>
                <w:sz w:val="22"/>
                <w:szCs w:val="22"/>
              </w:rPr>
              <w:t>…………………………………</w:t>
            </w:r>
          </w:p>
          <w:p w14:paraId="39E2940E" w14:textId="185E7E99" w:rsidR="00612D4D" w:rsidRPr="008D379B" w:rsidRDefault="008D379B" w:rsidP="004C6515">
            <w:pPr>
              <w:rPr>
                <w:b/>
                <w:sz w:val="22"/>
                <w:szCs w:val="22"/>
              </w:rPr>
            </w:pPr>
            <w:r w:rsidRPr="008D379B">
              <w:rPr>
                <w:b/>
                <w:sz w:val="22"/>
                <w:szCs w:val="22"/>
              </w:rPr>
              <w:t>Mgr. Luboš Smolík</w:t>
            </w:r>
          </w:p>
          <w:p w14:paraId="4456ADC9" w14:textId="15C57957" w:rsidR="00612D4D" w:rsidRPr="009527D3" w:rsidRDefault="008D379B"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3857E080" w:rsidR="00612D4D" w:rsidRPr="009527D3" w:rsidRDefault="008D379B" w:rsidP="004C6515">
            <w:pPr>
              <w:rPr>
                <w:sz w:val="22"/>
                <w:szCs w:val="22"/>
              </w:rPr>
            </w:pPr>
            <w:r w:rsidRPr="008D379B">
              <w:rPr>
                <w:sz w:val="22"/>
                <w:szCs w:val="22"/>
              </w:rPr>
              <w:t>Vlastivědné muzeum Dr. Hostaše v Klatovech, příspěvková organizace</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5D87E93A" w14:textId="1FFC4239" w:rsidR="00612D4D" w:rsidRDefault="00612D4D" w:rsidP="00DD52A4">
            <w:pPr>
              <w:ind w:right="-260"/>
              <w:rPr>
                <w:sz w:val="22"/>
                <w:szCs w:val="22"/>
              </w:rPr>
            </w:pPr>
            <w:r w:rsidRPr="009527D3">
              <w:rPr>
                <w:sz w:val="22"/>
                <w:szCs w:val="22"/>
              </w:rPr>
              <w:t xml:space="preserve">v </w:t>
            </w:r>
            <w:r w:rsidR="00F131DE">
              <w:rPr>
                <w:sz w:val="22"/>
                <w:szCs w:val="22"/>
              </w:rPr>
              <w:t>Plzni</w:t>
            </w:r>
          </w:p>
          <w:p w14:paraId="72553C94" w14:textId="77777777" w:rsidR="008D379B" w:rsidRDefault="008D379B" w:rsidP="00DD52A4">
            <w:pPr>
              <w:ind w:right="-260"/>
              <w:rPr>
                <w:sz w:val="22"/>
                <w:szCs w:val="22"/>
              </w:rPr>
            </w:pPr>
          </w:p>
          <w:p w14:paraId="341C870F" w14:textId="77777777" w:rsidR="008D379B" w:rsidRDefault="008D379B" w:rsidP="00DD52A4">
            <w:pPr>
              <w:ind w:right="-260"/>
              <w:rPr>
                <w:sz w:val="22"/>
                <w:szCs w:val="22"/>
              </w:rPr>
            </w:pPr>
          </w:p>
          <w:p w14:paraId="4B01F95E" w14:textId="77777777" w:rsidR="008D379B" w:rsidRPr="009527D3" w:rsidRDefault="008D379B" w:rsidP="00DD52A4">
            <w:pPr>
              <w:ind w:right="-260"/>
              <w:rPr>
                <w:sz w:val="22"/>
                <w:szCs w:val="22"/>
              </w:rPr>
            </w:pPr>
          </w:p>
          <w:p w14:paraId="7243D5FB" w14:textId="77777777" w:rsidR="008D379B" w:rsidRPr="009527D3" w:rsidRDefault="008D379B" w:rsidP="008D379B">
            <w:pPr>
              <w:rPr>
                <w:sz w:val="22"/>
                <w:szCs w:val="22"/>
              </w:rPr>
            </w:pPr>
            <w:r w:rsidRPr="00F131DE">
              <w:rPr>
                <w:sz w:val="22"/>
                <w:szCs w:val="22"/>
              </w:rPr>
              <w:t>…………………………………</w:t>
            </w:r>
          </w:p>
          <w:p w14:paraId="4541EC66" w14:textId="71FE521A" w:rsidR="00612D4D" w:rsidRPr="00F131DE" w:rsidRDefault="00F131DE" w:rsidP="00F131DE">
            <w:pPr>
              <w:tabs>
                <w:tab w:val="center" w:pos="2443"/>
              </w:tabs>
              <w:rPr>
                <w:b/>
                <w:sz w:val="22"/>
                <w:szCs w:val="22"/>
              </w:rPr>
            </w:pPr>
            <w:r w:rsidRPr="00F131DE">
              <w:rPr>
                <w:b/>
                <w:sz w:val="22"/>
                <w:szCs w:val="22"/>
              </w:rPr>
              <w:t>Mgr. Martin Peřina</w:t>
            </w:r>
            <w:r w:rsidRPr="00F131DE">
              <w:rPr>
                <w:b/>
                <w:sz w:val="22"/>
                <w:szCs w:val="22"/>
              </w:rPr>
              <w:tab/>
            </w:r>
          </w:p>
          <w:p w14:paraId="0D16DE4C" w14:textId="741211F4" w:rsidR="00612D4D" w:rsidRPr="009527D3" w:rsidRDefault="00F131DE" w:rsidP="004C6515">
            <w:pPr>
              <w:rPr>
                <w:sz w:val="22"/>
                <w:szCs w:val="22"/>
              </w:rPr>
            </w:pPr>
            <w:r>
              <w:rPr>
                <w:sz w:val="22"/>
                <w:szCs w:val="22"/>
              </w:rPr>
              <w:t>Jednatel společnosti</w:t>
            </w:r>
          </w:p>
          <w:p w14:paraId="415AC9E6" w14:textId="77777777" w:rsidR="00612D4D" w:rsidRPr="009527D3" w:rsidRDefault="00612D4D" w:rsidP="004C6515">
            <w:pPr>
              <w:rPr>
                <w:sz w:val="22"/>
                <w:szCs w:val="22"/>
              </w:rPr>
            </w:pPr>
          </w:p>
          <w:p w14:paraId="75A14B4C" w14:textId="77777777" w:rsidR="00F131DE" w:rsidRDefault="00F131DE" w:rsidP="00F131DE">
            <w:pPr>
              <w:spacing w:after="0"/>
              <w:rPr>
                <w:sz w:val="22"/>
                <w:szCs w:val="22"/>
              </w:rPr>
            </w:pPr>
            <w:r w:rsidRPr="00F131DE">
              <w:rPr>
                <w:sz w:val="22"/>
                <w:szCs w:val="22"/>
              </w:rPr>
              <w:t xml:space="preserve">KAPPENBERGER + BRAUN, Elektro – Technik </w:t>
            </w:r>
          </w:p>
          <w:p w14:paraId="5300508C" w14:textId="47D2A3A3" w:rsidR="00612D4D" w:rsidRPr="009527D3" w:rsidRDefault="00F131DE" w:rsidP="004C6515">
            <w:pPr>
              <w:rPr>
                <w:sz w:val="22"/>
                <w:szCs w:val="22"/>
              </w:rPr>
            </w:pPr>
            <w:r w:rsidRPr="00F131DE">
              <w:rPr>
                <w:sz w:val="22"/>
                <w:szCs w:val="22"/>
              </w:rPr>
              <w:t>spol. s r.o.</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12"/>
      <w:footerReference w:type="default" r:id="rId13"/>
      <w:headerReference w:type="first" r:id="rId14"/>
      <w:footerReference w:type="first" r:id="rId15"/>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5929" w14:textId="77777777" w:rsidR="002F266C" w:rsidRDefault="002F266C" w:rsidP="005C54F7">
      <w:pPr>
        <w:spacing w:after="0"/>
      </w:pPr>
      <w:r>
        <w:separator/>
      </w:r>
    </w:p>
  </w:endnote>
  <w:endnote w:type="continuationSeparator" w:id="0">
    <w:p w14:paraId="61DDAAA8" w14:textId="77777777" w:rsidR="002F266C" w:rsidRDefault="002F266C"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Content>
      <w:sdt>
        <w:sdtPr>
          <w:id w:val="-1769616900"/>
          <w:docPartObj>
            <w:docPartGallery w:val="Page Numbers (Top of Page)"/>
            <w:docPartUnique/>
          </w:docPartObj>
        </w:sdtPr>
        <w:sdtContent>
          <w:p w14:paraId="05AF5F5F" w14:textId="12C62F1A" w:rsidR="00F94424" w:rsidRDefault="00F94424">
            <w:pPr>
              <w:pStyle w:val="Zpat"/>
              <w:jc w:val="right"/>
            </w:pPr>
            <w:r>
              <w:t xml:space="preserve">Stránka </w:t>
            </w:r>
            <w:r>
              <w:rPr>
                <w:b/>
                <w:bCs/>
                <w:sz w:val="24"/>
              </w:rPr>
              <w:fldChar w:fldCharType="begin"/>
            </w:r>
            <w:r>
              <w:rPr>
                <w:b/>
                <w:bCs/>
              </w:rPr>
              <w:instrText>PAGE</w:instrText>
            </w:r>
            <w:r>
              <w:rPr>
                <w:b/>
                <w:bCs/>
                <w:sz w:val="24"/>
              </w:rPr>
              <w:fldChar w:fldCharType="separate"/>
            </w:r>
            <w:r w:rsidR="00994C23">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94C23">
              <w:rPr>
                <w:b/>
                <w:bCs/>
                <w:noProof/>
              </w:rPr>
              <w:t>18</w:t>
            </w:r>
            <w:r>
              <w:rPr>
                <w:b/>
                <w:bCs/>
                <w:sz w:val="24"/>
              </w:rPr>
              <w:fldChar w:fldCharType="end"/>
            </w:r>
          </w:p>
        </w:sdtContent>
      </w:sdt>
    </w:sdtContent>
  </w:sdt>
  <w:p w14:paraId="33EA6A4C" w14:textId="77777777" w:rsidR="00F94424" w:rsidRDefault="00F9442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E50A" w14:textId="75C2E774" w:rsidR="00F94424" w:rsidRDefault="00F94424" w:rsidP="0057231A">
    <w:pPr>
      <w:pStyle w:val="Zhlav"/>
      <w:spacing w:after="120"/>
    </w:pPr>
    <w:r>
      <w:rPr>
        <w:i/>
      </w:rPr>
      <w:t>Verze platná od 28. 4. 2023</w:t>
    </w:r>
  </w:p>
  <w:p w14:paraId="6E82AFA7" w14:textId="77777777" w:rsidR="00F94424" w:rsidRDefault="00F94424" w:rsidP="0057231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BD21" w14:textId="77777777" w:rsidR="002F266C" w:rsidRDefault="002F266C" w:rsidP="005C54F7">
      <w:pPr>
        <w:spacing w:after="0"/>
      </w:pPr>
      <w:r>
        <w:separator/>
      </w:r>
    </w:p>
  </w:footnote>
  <w:footnote w:type="continuationSeparator" w:id="0">
    <w:p w14:paraId="621215D8" w14:textId="77777777" w:rsidR="002F266C" w:rsidRDefault="002F266C"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291" w14:textId="191F659A" w:rsidR="00F94424" w:rsidRPr="009C33CC" w:rsidRDefault="00F94424"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7B32" w14:textId="0F4F4659" w:rsidR="00F94424" w:rsidRDefault="00F94424" w:rsidP="00FB106C">
    <w:pPr>
      <w:pStyle w:val="Zhlav"/>
    </w:pPr>
    <w:r>
      <w:rPr>
        <w:noProof/>
      </w:rPr>
      <w:drawing>
        <wp:inline distT="0" distB="0" distL="0" distR="0" wp14:anchorId="4F39EFDB" wp14:editId="7CB38DAE">
          <wp:extent cx="5759450" cy="947420"/>
          <wp:effectExtent l="0" t="0" r="0" b="5080"/>
          <wp:docPr id="1" name="Obrázek 1" descr="C:\Users\MOULIS~1\AppData\Local\Temp\$$_530A\Logo IROP a MMR v JPG\IROP_CZ_RO_C_C RGB.jpg"/>
          <wp:cNvGraphicFramePr/>
          <a:graphic xmlns:a="http://schemas.openxmlformats.org/drawingml/2006/main">
            <a:graphicData uri="http://schemas.openxmlformats.org/drawingml/2006/picture">
              <pic:pic xmlns:pic="http://schemas.openxmlformats.org/drawingml/2006/picture">
                <pic:nvPicPr>
                  <pic:cNvPr id="1" name="Obrázek 1" descr="C:\Users\MOULIS~1\AppData\Local\Temp\$$_530A\Logo IROP a MMR v JPG\IROP_CZ_RO_C_C 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7420"/>
                  </a:xfrm>
                  <a:prstGeom prst="rect">
                    <a:avLst/>
                  </a:prstGeom>
                  <a:noFill/>
                  <a:ln>
                    <a:noFill/>
                  </a:ln>
                </pic:spPr>
              </pic:pic>
            </a:graphicData>
          </a:graphic>
        </wp:inline>
      </w:drawing>
    </w:r>
  </w:p>
  <w:p w14:paraId="5C69BFF0" w14:textId="4D23D12D" w:rsidR="00F94424" w:rsidRPr="00AF2333" w:rsidRDefault="00F94424" w:rsidP="00AF2333">
    <w:pPr>
      <w:pStyle w:val="Zhlav"/>
      <w:jc w:val="right"/>
    </w:pPr>
  </w:p>
  <w:p w14:paraId="00C7AE72" w14:textId="721C99B7" w:rsidR="00F94424" w:rsidRPr="00FB106C" w:rsidRDefault="00F94424" w:rsidP="0057231A">
    <w:pPr>
      <w:pStyle w:val="Zhlav"/>
      <w:spacing w:after="120"/>
      <w:jc w:val="right"/>
      <w:rPr>
        <w:color w:val="D9D9D9" w:themeColor="background1" w:themeShade="D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2E36"/>
    <w:rsid w:val="000737D7"/>
    <w:rsid w:val="000900B7"/>
    <w:rsid w:val="00091425"/>
    <w:rsid w:val="0009167E"/>
    <w:rsid w:val="00095050"/>
    <w:rsid w:val="000A3D63"/>
    <w:rsid w:val="000A5E45"/>
    <w:rsid w:val="000B2D5E"/>
    <w:rsid w:val="000B5F5B"/>
    <w:rsid w:val="000B6844"/>
    <w:rsid w:val="000C3861"/>
    <w:rsid w:val="000C3CF6"/>
    <w:rsid w:val="000D2AAE"/>
    <w:rsid w:val="000E08FD"/>
    <w:rsid w:val="000E13E2"/>
    <w:rsid w:val="000F0E9F"/>
    <w:rsid w:val="000F271E"/>
    <w:rsid w:val="000F4285"/>
    <w:rsid w:val="001023DD"/>
    <w:rsid w:val="001079BA"/>
    <w:rsid w:val="001204AB"/>
    <w:rsid w:val="001276F5"/>
    <w:rsid w:val="00132513"/>
    <w:rsid w:val="0014233B"/>
    <w:rsid w:val="00183BBC"/>
    <w:rsid w:val="00186DCE"/>
    <w:rsid w:val="00190269"/>
    <w:rsid w:val="0019224C"/>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513F1"/>
    <w:rsid w:val="002530EC"/>
    <w:rsid w:val="0025360B"/>
    <w:rsid w:val="00254060"/>
    <w:rsid w:val="002543B5"/>
    <w:rsid w:val="00255322"/>
    <w:rsid w:val="002559C7"/>
    <w:rsid w:val="00255D2E"/>
    <w:rsid w:val="00261484"/>
    <w:rsid w:val="00262A1B"/>
    <w:rsid w:val="00264202"/>
    <w:rsid w:val="002710BC"/>
    <w:rsid w:val="00285669"/>
    <w:rsid w:val="00290FA0"/>
    <w:rsid w:val="002A17E7"/>
    <w:rsid w:val="002A23E4"/>
    <w:rsid w:val="002A77C4"/>
    <w:rsid w:val="002B6375"/>
    <w:rsid w:val="002C5450"/>
    <w:rsid w:val="002C73A6"/>
    <w:rsid w:val="002E501B"/>
    <w:rsid w:val="002F266C"/>
    <w:rsid w:val="00303134"/>
    <w:rsid w:val="00310A5C"/>
    <w:rsid w:val="00321E12"/>
    <w:rsid w:val="003422C1"/>
    <w:rsid w:val="00356D67"/>
    <w:rsid w:val="0036551B"/>
    <w:rsid w:val="00375EE5"/>
    <w:rsid w:val="003767B5"/>
    <w:rsid w:val="00380962"/>
    <w:rsid w:val="00381D99"/>
    <w:rsid w:val="00382673"/>
    <w:rsid w:val="00383D4C"/>
    <w:rsid w:val="003A5BB0"/>
    <w:rsid w:val="003B4D7B"/>
    <w:rsid w:val="003C7370"/>
    <w:rsid w:val="003D1941"/>
    <w:rsid w:val="003D382A"/>
    <w:rsid w:val="003D58CA"/>
    <w:rsid w:val="003E6F5D"/>
    <w:rsid w:val="00402F7C"/>
    <w:rsid w:val="004042DE"/>
    <w:rsid w:val="00410D36"/>
    <w:rsid w:val="00417D19"/>
    <w:rsid w:val="00422A68"/>
    <w:rsid w:val="00423180"/>
    <w:rsid w:val="004231D2"/>
    <w:rsid w:val="00424414"/>
    <w:rsid w:val="004329EB"/>
    <w:rsid w:val="00436BCC"/>
    <w:rsid w:val="00440F4D"/>
    <w:rsid w:val="004434EB"/>
    <w:rsid w:val="00444C94"/>
    <w:rsid w:val="0044653C"/>
    <w:rsid w:val="004466E2"/>
    <w:rsid w:val="00454345"/>
    <w:rsid w:val="00463742"/>
    <w:rsid w:val="0046590D"/>
    <w:rsid w:val="00474E27"/>
    <w:rsid w:val="004843B3"/>
    <w:rsid w:val="00486CF6"/>
    <w:rsid w:val="00493F8E"/>
    <w:rsid w:val="00497F82"/>
    <w:rsid w:val="004A6D62"/>
    <w:rsid w:val="004B7B43"/>
    <w:rsid w:val="004C16CC"/>
    <w:rsid w:val="004C231F"/>
    <w:rsid w:val="004C6515"/>
    <w:rsid w:val="004C7205"/>
    <w:rsid w:val="004E102E"/>
    <w:rsid w:val="004F74AE"/>
    <w:rsid w:val="00502FD5"/>
    <w:rsid w:val="00504316"/>
    <w:rsid w:val="0050711C"/>
    <w:rsid w:val="00512B4E"/>
    <w:rsid w:val="005136E3"/>
    <w:rsid w:val="00514301"/>
    <w:rsid w:val="00521765"/>
    <w:rsid w:val="00522DE7"/>
    <w:rsid w:val="00522FF4"/>
    <w:rsid w:val="00532ADA"/>
    <w:rsid w:val="00540C57"/>
    <w:rsid w:val="00551CE3"/>
    <w:rsid w:val="00556CEC"/>
    <w:rsid w:val="00557A89"/>
    <w:rsid w:val="005639AB"/>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2698D"/>
    <w:rsid w:val="0063461C"/>
    <w:rsid w:val="00634B2A"/>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2D87"/>
    <w:rsid w:val="0070642B"/>
    <w:rsid w:val="00742A09"/>
    <w:rsid w:val="00745A52"/>
    <w:rsid w:val="00760FE9"/>
    <w:rsid w:val="00762113"/>
    <w:rsid w:val="007630C7"/>
    <w:rsid w:val="00771AF7"/>
    <w:rsid w:val="007A6275"/>
    <w:rsid w:val="007C611D"/>
    <w:rsid w:val="007D2262"/>
    <w:rsid w:val="007D259B"/>
    <w:rsid w:val="007D3576"/>
    <w:rsid w:val="007D3BB6"/>
    <w:rsid w:val="007E32A6"/>
    <w:rsid w:val="007F7C36"/>
    <w:rsid w:val="00800CEB"/>
    <w:rsid w:val="008056AE"/>
    <w:rsid w:val="00807964"/>
    <w:rsid w:val="00815C93"/>
    <w:rsid w:val="00815CB9"/>
    <w:rsid w:val="00815FD1"/>
    <w:rsid w:val="00820EA8"/>
    <w:rsid w:val="00821CF1"/>
    <w:rsid w:val="00825BF2"/>
    <w:rsid w:val="0084504A"/>
    <w:rsid w:val="008577F0"/>
    <w:rsid w:val="00862A35"/>
    <w:rsid w:val="00862BFF"/>
    <w:rsid w:val="00871866"/>
    <w:rsid w:val="00882B91"/>
    <w:rsid w:val="008833BC"/>
    <w:rsid w:val="00891C8A"/>
    <w:rsid w:val="00893FF2"/>
    <w:rsid w:val="00894D66"/>
    <w:rsid w:val="0089534A"/>
    <w:rsid w:val="008A3BAB"/>
    <w:rsid w:val="008A40FF"/>
    <w:rsid w:val="008B1349"/>
    <w:rsid w:val="008C2BEA"/>
    <w:rsid w:val="008C371A"/>
    <w:rsid w:val="008D379B"/>
    <w:rsid w:val="008D6066"/>
    <w:rsid w:val="008F719B"/>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73660"/>
    <w:rsid w:val="00973E28"/>
    <w:rsid w:val="00992E91"/>
    <w:rsid w:val="00994C23"/>
    <w:rsid w:val="009A212B"/>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AF7CEF"/>
    <w:rsid w:val="00B04A0E"/>
    <w:rsid w:val="00B31F52"/>
    <w:rsid w:val="00B6188F"/>
    <w:rsid w:val="00B63D42"/>
    <w:rsid w:val="00B67A2B"/>
    <w:rsid w:val="00B82BDE"/>
    <w:rsid w:val="00B9086C"/>
    <w:rsid w:val="00B94889"/>
    <w:rsid w:val="00B96284"/>
    <w:rsid w:val="00B976A8"/>
    <w:rsid w:val="00BA01F2"/>
    <w:rsid w:val="00BA0C00"/>
    <w:rsid w:val="00BA5590"/>
    <w:rsid w:val="00BB1C6E"/>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749E8"/>
    <w:rsid w:val="00C81227"/>
    <w:rsid w:val="00C82758"/>
    <w:rsid w:val="00C9193E"/>
    <w:rsid w:val="00C95A2B"/>
    <w:rsid w:val="00C97D15"/>
    <w:rsid w:val="00CC563A"/>
    <w:rsid w:val="00CC7AF5"/>
    <w:rsid w:val="00CD1385"/>
    <w:rsid w:val="00CD453B"/>
    <w:rsid w:val="00CE42C2"/>
    <w:rsid w:val="00D02218"/>
    <w:rsid w:val="00D05892"/>
    <w:rsid w:val="00D17091"/>
    <w:rsid w:val="00D171A1"/>
    <w:rsid w:val="00D2156F"/>
    <w:rsid w:val="00D23BA9"/>
    <w:rsid w:val="00D33984"/>
    <w:rsid w:val="00D4244B"/>
    <w:rsid w:val="00D44E76"/>
    <w:rsid w:val="00D50C25"/>
    <w:rsid w:val="00D51492"/>
    <w:rsid w:val="00D576B1"/>
    <w:rsid w:val="00D62245"/>
    <w:rsid w:val="00D666A1"/>
    <w:rsid w:val="00D712C3"/>
    <w:rsid w:val="00D72B27"/>
    <w:rsid w:val="00D752E3"/>
    <w:rsid w:val="00D801A4"/>
    <w:rsid w:val="00DA67B3"/>
    <w:rsid w:val="00DC1E88"/>
    <w:rsid w:val="00DC52D5"/>
    <w:rsid w:val="00DD1AD7"/>
    <w:rsid w:val="00DD52A4"/>
    <w:rsid w:val="00DF15FA"/>
    <w:rsid w:val="00DF2D96"/>
    <w:rsid w:val="00E0193D"/>
    <w:rsid w:val="00E05271"/>
    <w:rsid w:val="00E1662D"/>
    <w:rsid w:val="00E2266C"/>
    <w:rsid w:val="00E27F61"/>
    <w:rsid w:val="00E374B0"/>
    <w:rsid w:val="00E52E5D"/>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12E91"/>
    <w:rsid w:val="00F131DE"/>
    <w:rsid w:val="00F14D03"/>
    <w:rsid w:val="00F165B9"/>
    <w:rsid w:val="00F20A94"/>
    <w:rsid w:val="00F21009"/>
    <w:rsid w:val="00F340C2"/>
    <w:rsid w:val="00F55014"/>
    <w:rsid w:val="00F621BD"/>
    <w:rsid w:val="00F63EC1"/>
    <w:rsid w:val="00F717D8"/>
    <w:rsid w:val="00F849E9"/>
    <w:rsid w:val="00F91363"/>
    <w:rsid w:val="00F9414C"/>
    <w:rsid w:val="00F94424"/>
    <w:rsid w:val="00FA01F1"/>
    <w:rsid w:val="00FA54DB"/>
    <w:rsid w:val="00FA60FA"/>
    <w:rsid w:val="00FB106C"/>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79B"/>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44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klatov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oboda@kbelektr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dydek@atlas.cz" TargetMode="External"/><Relationship Id="rId4" Type="http://schemas.openxmlformats.org/officeDocument/2006/relationships/settings" Target="settings.xml"/><Relationship Id="rId9" Type="http://schemas.openxmlformats.org/officeDocument/2006/relationships/hyperlink" Target="mailto:mperina@kbelektro.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3AAB-9891-4297-9B5F-698BFEA3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8545</Words>
  <Characters>50421</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CF</cp:lastModifiedBy>
  <cp:revision>55</cp:revision>
  <cp:lastPrinted>2023-10-31T12:02:00Z</cp:lastPrinted>
  <dcterms:created xsi:type="dcterms:W3CDTF">2022-07-26T13:29:00Z</dcterms:created>
  <dcterms:modified xsi:type="dcterms:W3CDTF">2023-11-03T07:44:00Z</dcterms:modified>
</cp:coreProperties>
</file>