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12700</wp:posOffset>
                </wp:positionV>
                <wp:extent cx="1560830" cy="64325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0830" cy="643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Illllllllllllllllllllllll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2023008275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650000000000006pt;margin-top:1.pt;width:122.90000000000001pt;height:50.6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Illllllllllllllllllllllll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rStyle w:val="CharStyle5"/>
                        </w:rPr>
                        <w:t>2023008275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22"/>
        </w:rPr>
        <w:t>MDTCZ/T/2023/194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28"/>
          <w:b/>
          <w:bCs/>
        </w:rPr>
        <w:t>RÁMCOVÁ KUPNÍ SMLOUVA</w:t>
      </w:r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66" w:lineRule="auto"/>
        <w:ind w:left="2100" w:right="0" w:hanging="1340"/>
        <w:jc w:val="both"/>
      </w:pPr>
      <w:r>
        <w:rPr>
          <w:rStyle w:val="CharStyle7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46"/>
        <w:gridCol w:w="6370"/>
      </w:tblGrid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Kamenice 798/1 d, 625 00 Brno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MUDr. Hana Albrechtová, ředitelka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  <w:spacing w:val="1"/>
                <w:shd w:val="clear" w:color="auto" w:fill="000000"/>
              </w:rPr>
              <w:t>...</w:t>
            </w:r>
            <w:r>
              <w:rPr>
                <w:rStyle w:val="CharStyle34"/>
                <w:spacing w:val="2"/>
                <w:shd w:val="clear" w:color="auto" w:fill="000000"/>
              </w:rPr>
              <w:t>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5"/>
                <w:shd w:val="clear" w:color="auto" w:fill="000000"/>
              </w:rPr>
              <w:t>.......</w:t>
            </w:r>
            <w:r>
              <w:rPr>
                <w:rStyle w:val="CharStyle34"/>
                <w:spacing w:val="6"/>
                <w:shd w:val="clear" w:color="auto" w:fill="000000"/>
              </w:rPr>
              <w:t>.</w:t>
            </w:r>
            <w:r>
              <w:rPr>
                <w:rStyle w:val="CharStyle34"/>
                <w:shd w:val="clear" w:color="auto" w:fill="000000"/>
              </w:rPr>
              <w:t>​........</w:t>
            </w:r>
            <w:r>
              <w:rPr>
                <w:rStyle w:val="CharStyle34"/>
                <w:spacing w:val="1"/>
                <w:shd w:val="clear" w:color="auto" w:fill="000000"/>
              </w:rPr>
              <w:t>.............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3"/>
                <w:shd w:val="clear" w:color="auto" w:fill="000000"/>
              </w:rPr>
              <w:t>..</w:t>
            </w:r>
            <w:r>
              <w:rPr>
                <w:rStyle w:val="CharStyle34"/>
                <w:spacing w:val="4"/>
                <w:shd w:val="clear" w:color="auto" w:fill="000000"/>
              </w:rPr>
              <w:t>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3"/>
                <w:shd w:val="clear" w:color="auto" w:fill="000000"/>
              </w:rPr>
              <w:t>..</w:t>
            </w:r>
            <w:r>
              <w:rPr>
                <w:rStyle w:val="CharStyle34"/>
                <w:spacing w:val="4"/>
                <w:shd w:val="clear" w:color="auto" w:fill="000000"/>
              </w:rPr>
              <w:t>......</w:t>
            </w:r>
            <w:r>
              <w:rPr>
                <w:rStyle w:val="CharStyle34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4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34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CharStyle34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4"/>
                <w:color w:val="2B5E98"/>
                <w:lang w:val="en-US" w:eastAsia="en-US" w:bidi="en-US"/>
              </w:rPr>
              <w:t xml:space="preserve"> 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7"/>
                <w:shd w:val="clear" w:color="auto" w:fill="000000"/>
              </w:rPr>
              <w:t>.....</w:t>
            </w:r>
            <w:r>
              <w:rPr>
                <w:rStyle w:val="CharStyle34"/>
                <w:spacing w:val="8"/>
                <w:shd w:val="clear" w:color="auto" w:fill="000000"/>
              </w:rPr>
              <w:t>.</w:t>
            </w:r>
            <w:r>
              <w:rPr>
                <w:rStyle w:val="CharStyle34"/>
                <w:shd w:val="clear" w:color="auto" w:fill="000000"/>
              </w:rPr>
              <w:t>​.......</w:t>
            </w:r>
            <w:r>
              <w:rPr>
                <w:rStyle w:val="CharStyle34"/>
                <w:spacing w:val="1"/>
                <w:shd w:val="clear" w:color="auto" w:fill="000000"/>
              </w:rPr>
              <w:t>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8"/>
                <w:shd w:val="clear" w:color="auto" w:fill="000000"/>
              </w:rPr>
              <w:t>.</w:t>
            </w:r>
            <w:r>
              <w:rPr>
                <w:rStyle w:val="CharStyle34"/>
                <w:spacing w:val="9"/>
                <w:shd w:val="clear" w:color="auto" w:fill="000000"/>
              </w:rPr>
              <w:t>.....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6"/>
                <w:shd w:val="clear" w:color="auto" w:fill="000000"/>
              </w:rPr>
              <w:t>....</w:t>
            </w:r>
            <w:r>
              <w:rPr>
                <w:rStyle w:val="CharStyle34"/>
                <w:spacing w:val="7"/>
                <w:shd w:val="clear" w:color="auto" w:fill="000000"/>
              </w:rPr>
              <w:t>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10"/>
                <w:shd w:val="clear" w:color="auto" w:fill="000000"/>
              </w:rPr>
              <w:t>..</w:t>
            </w:r>
            <w:r>
              <w:rPr>
                <w:rStyle w:val="CharStyle34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71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IČO: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DIČ: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00346292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CZ00346292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Krajský soud v Brně sp. zn. Pr 1245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MONETA Money Bank, a.s., č. ú. 117203514/0600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1"/>
        </w:rPr>
        <w:t xml:space="preserve">(dále jen </w:t>
      </w:r>
      <w:r>
        <w:rPr>
          <w:rStyle w:val="CharStyle31"/>
          <w:b/>
          <w:bCs/>
          <w:i/>
          <w:iCs/>
        </w:rPr>
        <w:t>„kupující'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6"/>
        <w:gridCol w:w="6365"/>
      </w:tblGrid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Cl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  <w:b/>
                <w:bCs/>
              </w:rPr>
              <w:t>Medtronic Czechia, s.r.o.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Prosecká 852/66, 190 00 Praha 9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Mgr. Michal Vondraš MBA, jednatel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  <w:spacing w:val="9"/>
                <w:shd w:val="clear" w:color="auto" w:fill="000000"/>
              </w:rPr>
              <w:t>......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4"/>
                <w:shd w:val="clear" w:color="auto" w:fill="000000"/>
              </w:rPr>
              <w:t>..........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2"/>
                <w:shd w:val="clear" w:color="auto" w:fill="000000"/>
              </w:rPr>
              <w:t>..</w:t>
            </w:r>
            <w:r>
              <w:rPr>
                <w:rStyle w:val="CharStyle34"/>
                <w:spacing w:val="3"/>
                <w:shd w:val="clear" w:color="auto" w:fill="000000"/>
              </w:rPr>
              <w:t>...............</w:t>
            </w:r>
            <w:r>
              <w:rPr>
                <w:rStyle w:val="CharStyle34"/>
                <w:u w:val="single"/>
                <w:shd w:val="clear" w:color="auto" w:fill="000000"/>
                <w:lang w:val="en-US" w:eastAsia="en-US" w:bidi="en-US"/>
              </w:rPr>
              <w:t>​...</w:t>
            </w:r>
            <w:r>
              <w:rPr>
                <w:rStyle w:val="CharStyle34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.........................................</w:t>
            </w:r>
            <w:r>
              <w:rPr>
                <w:rStyle w:val="CharStyle34"/>
                <w:color w:val="2B5E98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8"/>
                <w:shd w:val="clear" w:color="auto" w:fill="000000"/>
              </w:rPr>
              <w:t>..</w:t>
            </w:r>
            <w:r>
              <w:rPr>
                <w:rStyle w:val="CharStyle34"/>
                <w:spacing w:val="9"/>
                <w:shd w:val="clear" w:color="auto" w:fill="000000"/>
              </w:rPr>
              <w:t>...</w:t>
            </w:r>
            <w:r>
              <w:rPr>
                <w:rStyle w:val="CharStyle34"/>
                <w:shd w:val="clear" w:color="auto" w:fill="000000"/>
              </w:rPr>
              <w:t>​.......</w:t>
            </w:r>
            <w:r>
              <w:rPr>
                <w:rStyle w:val="CharStyle34"/>
                <w:spacing w:val="1"/>
                <w:shd w:val="clear" w:color="auto" w:fill="000000"/>
              </w:rPr>
              <w:t>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8"/>
                <w:shd w:val="clear" w:color="auto" w:fill="000000"/>
              </w:rPr>
              <w:t>.</w:t>
            </w:r>
            <w:r>
              <w:rPr>
                <w:rStyle w:val="CharStyle34"/>
                <w:spacing w:val="9"/>
                <w:shd w:val="clear" w:color="auto" w:fill="000000"/>
              </w:rPr>
              <w:t>.....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8"/>
                <w:shd w:val="clear" w:color="auto" w:fill="000000"/>
              </w:rPr>
              <w:t>.</w:t>
            </w:r>
            <w:r>
              <w:rPr>
                <w:rStyle w:val="CharStyle34"/>
                <w:spacing w:val="9"/>
                <w:shd w:val="clear" w:color="auto" w:fill="000000"/>
              </w:rPr>
              <w:t>.....</w:t>
            </w:r>
            <w:r>
              <w:rPr>
                <w:rStyle w:val="CharStyle34"/>
                <w:shd w:val="clear" w:color="auto" w:fill="000000"/>
              </w:rPr>
              <w:t>​</w:t>
            </w:r>
            <w:r>
              <w:rPr>
                <w:rStyle w:val="CharStyle34"/>
                <w:spacing w:val="10"/>
                <w:shd w:val="clear" w:color="auto" w:fill="000000"/>
              </w:rPr>
              <w:t>..</w:t>
            </w:r>
            <w:r>
              <w:rPr>
                <w:rStyle w:val="CharStyle34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IČO: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DIČ: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64583562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CZ699005618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Městský soud v Praze, oddíl C, vložka 41171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4"/>
              </w:rPr>
              <w:t>81880264/2700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1"/>
        </w:rPr>
        <w:t xml:space="preserve">(dále jen </w:t>
      </w:r>
      <w:r>
        <w:rPr>
          <w:rStyle w:val="CharStyle31"/>
          <w:b/>
          <w:bCs/>
          <w:i/>
          <w:iCs/>
        </w:rPr>
        <w:t>„prodávající')</w:t>
      </w:r>
    </w:p>
    <w:p>
      <w:pPr>
        <w:widowControl w:val="0"/>
        <w:spacing w:after="75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60"/>
        <w:ind w:left="420" w:right="0" w:hanging="420"/>
        <w:jc w:val="both"/>
      </w:pPr>
      <w:r>
        <w:rPr>
          <w:rStyle w:val="CharStyle7"/>
        </w:rPr>
        <w:t xml:space="preserve">Prodávající je oprávněn na základě svého vlastnického práva nakládat s tímto zbožím: příslušenství k defibrilátorům Lifepak ve formě tzv. </w:t>
      </w:r>
      <w:r>
        <w:rPr>
          <w:rStyle w:val="CharStyle7"/>
          <w:b/>
          <w:bCs/>
        </w:rPr>
        <w:t xml:space="preserve">Capno setů Microsteam, </w:t>
      </w:r>
      <w:r>
        <w:rPr>
          <w:rStyle w:val="CharStyle7"/>
        </w:rPr>
        <w:t>jejichž bližší specifikace je uvedena v příloze č. 1, která je nedílnou součástí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kupujícího prodávajícímu,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60" w:line="266" w:lineRule="auto"/>
        <w:ind w:left="420" w:right="0" w:hanging="420"/>
        <w:jc w:val="both"/>
      </w:pPr>
      <w:r>
        <w:rPr>
          <w:rStyle w:val="CharStyle7"/>
        </w:rPr>
        <w:t>Součástí dodávky zboží podle článku 1 a článku 2 této smlouvy jsou vždy veškeré písemné doklady, které jsou potřebné k používání zboží.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80"/>
        <w:ind w:left="420" w:right="0" w:hanging="420"/>
        <w:jc w:val="both"/>
      </w:pPr>
      <w:r>
        <w:rPr>
          <w:rStyle w:val="CharStyle7"/>
        </w:rPr>
        <w:t xml:space="preserve">Prodávající se zavazuje plnit svůj závazek k dodání zboží podle čl. 1 této smlouvy vždy nejpozději do </w:t>
      </w:r>
      <w:r>
        <w:rPr>
          <w:rStyle w:val="CharStyle7"/>
          <w:b/>
          <w:bCs/>
        </w:rPr>
        <w:t xml:space="preserve">5-ti pracovních dní </w:t>
      </w:r>
      <w:r>
        <w:rPr>
          <w:rStyle w:val="CharStyle7"/>
        </w:rPr>
        <w:t>ode dne účinnosti příslušné dílčí kupní smlouvy. Tento závazek se bude považovat za splněný dnem předání a převzetí příslušného zboží formou písemného předávacího protokolu, podepsaného oběma stranami. Místem splnění závazku prodávajícího k dodání zboží je centrální sklad v sídle zadavatele.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Kupující se zavazuje zaplatit prodávajícímu za předmět koupě a prodeje podle čl. 1 této smlouvy kupní cenu. Kupní cena za jednotlivé dílčí kupní smlouvy dle č. 2 této smlouvy se stanoví jako součin odebraného množství a jednotkových cen příslušného zboží. Jednotkové ceny zboží jsou uvedeny v příloze č. 1 této smlouvy. Součástí těchto cen jsou veškeré náklady prodávajícího na splnění jeho závazku k dodání zboží v místě plnění podle této smlouvy. Změna ceny je možná pouze v případě zákonné změny sazby DPH.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</w:t>
      </w:r>
      <w:r>
        <w:rPr>
          <w:rStyle w:val="CharStyle7"/>
          <w:shd w:val="clear" w:color="auto" w:fill="000000"/>
        </w:rPr>
        <w:t>.</w:t>
      </w:r>
      <w:r>
        <w:rPr>
          <w:rStyle w:val="CharStyle7"/>
          <w:u w:val="single"/>
          <w:shd w:val="clear" w:color="auto" w:fill="000000"/>
        </w:rPr>
        <w:t>​..</w:t>
      </w:r>
      <w:r>
        <w:rPr>
          <w:rStyle w:val="CharStyle7"/>
          <w:spacing w:val="1"/>
          <w:u w:val="single"/>
          <w:shd w:val="clear" w:color="auto" w:fill="000000"/>
        </w:rPr>
        <w:t>................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7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7"/>
          <w:shd w:val="clear" w:color="auto" w:fill="000000"/>
          <w:lang w:val="en-US" w:eastAsia="en-US" w:bidi="en-US"/>
        </w:rPr>
        <w:t>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27"/>
          <w:shd w:val="clear" w:color="auto" w:fill="000000"/>
        </w:rPr>
        <w:t>.</w:t>
      </w:r>
      <w:r>
        <w:rPr>
          <w:rStyle w:val="CharStyle7"/>
          <w:spacing w:val="28"/>
          <w:shd w:val="clear" w:color="auto" w:fill="000000"/>
        </w:rPr>
        <w:t>.</w:t>
      </w:r>
      <w:r>
        <w:rPr>
          <w:rStyle w:val="CharStyle7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CharStyle7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7"/>
          <w:color w:val="2B5E98"/>
          <w:lang w:val="en-US" w:eastAsia="en-US" w:bidi="en-US"/>
        </w:rPr>
        <w:t xml:space="preserve">. </w:t>
      </w:r>
      <w:r>
        <w:rPr>
          <w:rStyle w:val="CharStyle7"/>
        </w:rPr>
        <w:t xml:space="preserve">Na faktuře musí být mimo jiné vždy uvedeno toto číslo veřejné zakázky, ke které se faktura vztahuje: </w:t>
      </w:r>
      <w:r>
        <w:rPr>
          <w:rStyle w:val="CharStyle7"/>
          <w:b/>
          <w:bCs/>
        </w:rPr>
        <w:t xml:space="preserve">P23V00003198. </w:t>
      </w:r>
      <w:r>
        <w:rPr>
          <w:rStyle w:val="CharStyle7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S převodem zboží je podle čl. 1 této smlouvy spojena záruka za jeho jakost v trvání 12-ti měsíců ode dne splnění závazku prodávajícího k dodání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5-ti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Neodstraní-li prodávající vady zboží ve lhůtě podle čl. 10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Pro případ prodlení se splněním závazku prodávajícího k dodání zboží ve lhůtě podle čl. 4 této smlouvy se prodávající zavazuje platit kupujícímu smluvní pokutu ve výši 0,1 % z kupní ceny podle čl. 7 této smlouvy bez DPH za každý započatý den tohoto prodlení. Pro případ prodlení s odstraněním vady ve lhůtě podle čl. 10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40" w:right="0" w:hanging="440"/>
        <w:jc w:val="both"/>
      </w:pPr>
      <w:r>
        <w:rPr>
          <w:rStyle w:val="CharStyle7"/>
        </w:rPr>
        <w:t>Pro případ prodlení se splněním jeho závazku k dodání zboží ve lhůtě podle čl. 4 této smlouvy o více, než 1 týden nebo pro případ výskytu neodstranitelné vady resp. výskytu 3 a více vad na</w:t>
        <w:br w:type="page"/>
      </w:r>
      <w:r>
        <w:rPr>
          <w:rStyle w:val="CharStyle7"/>
        </w:rPr>
        <w:t>jednom kusu zboží, a to i postupně, je kupující oprávněn odstoupit od této smlouvy s účinky ex tunc.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Tato smlouva se uzavírá na základě návrhu na její uzavření ze strany kupujícího. Předpokladem uzavření této smlouvy je její písemná forma a dohoda o celém jejím obsahu jak je obsažen v jejích článcích 1 až 23. Kupující přitom předem vylučuje přijetí tohoto návrhu s dodatkem nebo odchylkou ve smyslu § 1740 odst. 3 občanského zákoníku.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 Prodávající přitom potvrzuje, že žádné ujednání této smlouvy není součástí obchodního tajemství.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7"/>
        </w:rPr>
        <w:t>Tato smlouva nabývá platnosti dnem jejího uzavření po jejím podpisu oběma smluvními stranami a účinnosti dnem jejího uveřejnění v Registru smluv, nejdříve však 1.1. 2024.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0" w:right="0" w:firstLine="0"/>
        <w:jc w:val="both"/>
      </w:pPr>
      <w:r>
        <w:rPr>
          <w:rStyle w:val="CharStyle7"/>
        </w:rPr>
        <w:t xml:space="preserve">Tato smlouva se uzavírá na dobu určitou do </w:t>
      </w:r>
      <w:r>
        <w:rPr>
          <w:rStyle w:val="CharStyle7"/>
          <w:b/>
          <w:bCs/>
        </w:rPr>
        <w:t>31.12. 2025.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120"/>
        <w:ind w:left="420" w:right="0" w:hanging="420"/>
        <w:jc w:val="both"/>
      </w:pPr>
      <w:r>
        <w:rPr>
          <w:rStyle w:val="CharStyle7"/>
        </w:rPr>
        <w:t>Dáno ve dvou originálních písemných vyhotoveních, z nichž každá ze smluvních stran obdrží po jednom.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460"/>
        <w:ind w:left="420" w:right="0" w:hanging="420"/>
        <w:jc w:val="both"/>
      </w:pPr>
      <w:r>
        <w:rPr>
          <w:rStyle w:val="CharStyle7"/>
        </w:rPr>
        <w:t>Prodávající je povinen po celou dobu trvání smluvního vztahu naplňovat podmínky dle Nařízení Rady (EU) 2022/576 ze dne 8. dubna 2022, kterým se mění nařízení (EU) č. 833/2014 o omezujících opatřeních vzhledem k činnostem Ruska destabilizujícím situaci na Ukrajině.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76200</wp:posOffset>
                </wp:positionV>
                <wp:extent cx="731520" cy="1587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80000000000001pt;margin-top:6.pt;width:57.600000000000001pt;height:12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237490" distB="0" distL="114300" distR="3034665" simplePos="0" relativeHeight="125829382" behindDoc="0" locked="0" layoutInCell="1" allowOverlap="1">
            <wp:simplePos x="0" y="0"/>
            <wp:positionH relativeFrom="page">
              <wp:posOffset>918210</wp:posOffset>
            </wp:positionH>
            <wp:positionV relativeFrom="margin">
              <wp:posOffset>7769860</wp:posOffset>
            </wp:positionV>
            <wp:extent cx="2084705" cy="65214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8470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3500" distB="97790" distL="3412490" distR="1113790" simplePos="0" relativeHeight="125829383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margin">
                  <wp:posOffset>7595870</wp:posOffset>
                </wp:positionV>
                <wp:extent cx="704215" cy="7283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9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bookmarkStart w:id="0" w:name="bookmark0"/>
                            <w:bookmarkEnd w:id="0"/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9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9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2.pt;margin-top:598.10000000000002pt;width:55.450000000000003pt;height:57.350000000000001pt;z-index:-125829370;mso-wrap-distance-left:268.69999999999999pt;mso-wrap-distance-top:5.pt;mso-wrap-distance-right:87.700000000000003pt;mso-wrap-distance-bottom:7.7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9"/>
                          <w:spacing w:val="3"/>
                          <w:shd w:val="clear" w:color="auto" w:fill="000000"/>
                        </w:rPr>
                        <w:t>.......</w:t>
                      </w:r>
                      <w:bookmarkStart w:id="0" w:name="bookmark0"/>
                      <w:bookmarkEnd w:id="0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9"/>
                          <w:spacing w:val="2"/>
                          <w:shd w:val="clear" w:color="auto" w:fill="000000"/>
                        </w:rPr>
                        <w:t>..........</w:t>
                      </w:r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9"/>
                          <w:spacing w:val="2"/>
                          <w:shd w:val="clear" w:color="auto" w:fill="000000"/>
                        </w:rPr>
                        <w:t>.........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7155" distB="94615" distL="4320540" distR="114300" simplePos="0" relativeHeight="125829385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margin">
                  <wp:posOffset>7629525</wp:posOffset>
                </wp:positionV>
                <wp:extent cx="795655" cy="6978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697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3.5pt;margin-top:600.75pt;width:62.649999999999999pt;height:54.950000000000003pt;z-index:-125829368;mso-wrap-distance-left:340.19999999999999pt;mso-wrap-distance-top:7.6500000000000004pt;mso-wrap-distance-right:9.pt;mso-wrap-distance-bottom:7.4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</w:rPr>
                        <w:t xml:space="preserve"> 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6350" distL="114300" distR="3507105" simplePos="0" relativeHeight="125829387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margin">
                  <wp:posOffset>8503920</wp:posOffset>
                </wp:positionV>
                <wp:extent cx="1426210" cy="51816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0.850000000000009pt;margin-top:669.60000000000002pt;width:112.3pt;height:40.800000000000004pt;z-index:-125829366;mso-wrap-distance-left:9.pt;mso-wrap-distance-top:11.pt;mso-wrap-distance-right:276.15000000000003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MUDr. Hana Albrechtová ředitelka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2875" distB="0" distL="3402965" distR="114300" simplePos="0" relativeHeight="125829389" behindDoc="0" locked="0" layoutInCell="1" allowOverlap="1">
                <wp:simplePos x="0" y="0"/>
                <wp:positionH relativeFrom="page">
                  <wp:posOffset>4188460</wp:posOffset>
                </wp:positionH>
                <wp:positionV relativeFrom="margin">
                  <wp:posOffset>8507095</wp:posOffset>
                </wp:positionV>
                <wp:extent cx="1530350" cy="5213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521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Mgr. Michal Vondraš MBA jednatel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9.80000000000001pt;margin-top:669.85000000000002pt;width:120.5pt;height:41.050000000000004pt;z-index:-125829364;mso-wrap-distance-left:267.94999999999999pt;mso-wrap-distance-top:11.2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Mgr. Michal Vondraš MBA jednatel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7"/>
        </w:rPr>
        <w:t xml:space="preserve">V Brně dne </w:t>
      </w:r>
      <w:r>
        <w:rPr>
          <w:rStyle w:val="CharStyle7"/>
          <w:b/>
          <w:bCs/>
          <w:i/>
          <w:iCs/>
        </w:rPr>
        <w:t>...... ii.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203" w:right="1350" w:bottom="1219" w:left="1400" w:header="775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  <w:b/>
          <w:bCs/>
        </w:rPr>
        <w:t>Příloha č. 1: Specifikace, Ceník</w:t>
      </w: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21" w:right="0" w:bottom="15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Název zboží: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Popis zboží: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Interní číslo kupujícího: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Požadavek na originální příslušenství výrobce: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Označení/název zboží: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Jednotka: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Jednotková cena bez DPH: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Jednotková cena vč. DPH: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  <w:b/>
          <w:bCs/>
        </w:rPr>
        <w:t>Capno set Microsteam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ETCO2 čidlo k Lifepak 15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24052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>ANO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  <w:sz w:val="20"/>
          <w:szCs w:val="20"/>
        </w:rPr>
        <w:t xml:space="preserve">Microstream </w:t>
      </w:r>
      <w:r>
        <w:rPr>
          <w:rStyle w:val="CharStyle7"/>
          <w:b/>
          <w:bCs/>
        </w:rPr>
        <w:t xml:space="preserve">FilterLine set adult/pediatric </w:t>
      </w:r>
      <w:r>
        <w:rPr>
          <w:rStyle w:val="CharStyle7"/>
          <w:sz w:val="20"/>
          <w:szCs w:val="20"/>
        </w:rPr>
        <w:t>ks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  <w:b/>
          <w:bCs/>
        </w:rPr>
        <w:t>130.00 Kč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21" w:right="1640" w:bottom="1521" w:left="1477" w:header="0" w:footer="3" w:gutter="0"/>
          <w:cols w:num="2" w:space="720" w:equalWidth="0">
            <w:col w:w="4469" w:space="446"/>
            <w:col w:w="3869"/>
          </w:cols>
          <w:noEndnote/>
          <w:rtlGutter w:val="0"/>
          <w:docGrid w:linePitch="360"/>
        </w:sectPr>
      </w:pPr>
      <w:r>
        <w:rPr>
          <w:rStyle w:val="CharStyle7"/>
          <w:b/>
          <w:bCs/>
        </w:rPr>
        <w:t>157.30 Kč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21" w:right="1640" w:bottom="1521" w:left="1477" w:header="0" w:footer="3" w:gutter="0"/>
      <w:cols w:num="2" w:space="720" w:equalWidth="0">
        <w:col w:w="4469" w:space="446"/>
        <w:col w:w="3869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10481310</wp:posOffset>
              </wp:positionV>
              <wp:extent cx="2511425" cy="113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114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4"/>
                              <w:rFonts w:ascii="Arial Narrow" w:eastAsia="Arial Narrow" w:hAnsi="Arial Narrow" w:cs="Arial Narrow"/>
                              <w:i/>
                              <w:iCs/>
                              <w:w w:val="100"/>
                              <w:sz w:val="18"/>
                              <w:szCs w:val="18"/>
                            </w:rPr>
                            <w:t>Veřejná zakázka</w:t>
                          </w:r>
                          <w:r>
                            <w:rPr>
                              <w:rStyle w:val="CharStyle24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33-23: </w:t>
                          </w:r>
                          <w:r>
                            <w:rPr>
                              <w:rStyle w:val="CharStyle24"/>
                              <w:rFonts w:ascii="Arial Narrow" w:eastAsia="Arial Narrow" w:hAnsi="Arial Narrow" w:cs="Arial Narrow"/>
                              <w:i/>
                              <w:iCs/>
                              <w:w w:val="100"/>
                              <w:sz w:val="18"/>
                              <w:szCs w:val="18"/>
                            </w:rPr>
                            <w:t>Capno sety Microsteam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1.950000000000003pt;margin-top:825.30000000000007pt;width:197.7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4"/>
                        <w:rFonts w:ascii="Arial Narrow" w:eastAsia="Arial Narrow" w:hAnsi="Arial Narrow" w:cs="Arial Narrow"/>
                        <w:i/>
                        <w:iCs/>
                        <w:w w:val="100"/>
                        <w:sz w:val="18"/>
                        <w:szCs w:val="18"/>
                      </w:rPr>
                      <w:t>Veřejná zakázka</w:t>
                    </w:r>
                    <w:r>
                      <w:rPr>
                        <w:rStyle w:val="CharStyle24"/>
                        <w:rFonts w:ascii="Arial" w:eastAsia="Arial" w:hAnsi="Arial" w:cs="Arial"/>
                        <w:sz w:val="18"/>
                        <w:szCs w:val="18"/>
                      </w:rPr>
                      <w:t xml:space="preserve"> 33-23: </w:t>
                    </w:r>
                    <w:r>
                      <w:rPr>
                        <w:rStyle w:val="CharStyle24"/>
                        <w:rFonts w:ascii="Arial Narrow" w:eastAsia="Arial Narrow" w:hAnsi="Arial Narrow" w:cs="Arial Narrow"/>
                        <w:i/>
                        <w:iCs/>
                        <w:w w:val="100"/>
                        <w:sz w:val="18"/>
                        <w:szCs w:val="18"/>
                      </w:rPr>
                      <w:t>Capno sety Microsteam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Záhlaví nebo zápatí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Nadpis #2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31">
    <w:name w:val="Titulek tabulky_"/>
    <w:basedOn w:val="DefaultParagraphFont"/>
    <w:link w:val="Style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34">
    <w:name w:val="Jiné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auto"/>
      <w:spacing w:after="4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3">
    <w:name w:val="Záhlaví nebo zápatí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Nadpis #2"/>
    <w:basedOn w:val="Normal"/>
    <w:link w:val="CharStyle28"/>
    <w:pPr>
      <w:widowControl w:val="0"/>
      <w:shd w:val="clear" w:color="auto" w:fill="auto"/>
      <w:spacing w:after="3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30">
    <w:name w:val="Titulek tabulky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33">
    <w:name w:val="Jiné"/>
    <w:basedOn w:val="Normal"/>
    <w:link w:val="CharStyle34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