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36B6DD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číslo</w:t>
      </w:r>
      <w:r w:rsidR="00A124C3">
        <w:rPr>
          <w:rFonts w:ascii="Arial" w:hAnsi="Arial"/>
          <w:szCs w:val="22"/>
        </w:rPr>
        <w:t xml:space="preserve"> </w:t>
      </w:r>
      <w:r w:rsidR="00772962">
        <w:rPr>
          <w:rFonts w:ascii="Arial" w:hAnsi="Arial"/>
          <w:szCs w:val="22"/>
        </w:rPr>
        <w:t>2</w:t>
      </w:r>
    </w:p>
    <w:p w14:paraId="5C838DA6" w14:textId="77777777" w:rsidR="00916F6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16F64">
        <w:rPr>
          <w:rFonts w:cs="Arial"/>
          <w:sz w:val="22"/>
        </w:rPr>
        <w:t>1024</w:t>
      </w:r>
      <w:r w:rsidR="004F7B83">
        <w:rPr>
          <w:rFonts w:cs="Arial"/>
          <w:sz w:val="22"/>
        </w:rPr>
        <w:t>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</w:t>
      </w:r>
      <w:r w:rsidR="00916F64">
        <w:rPr>
          <w:rFonts w:cs="Arial"/>
          <w:sz w:val="22"/>
        </w:rPr>
        <w:t>9</w:t>
      </w:r>
      <w:r w:rsidR="004F7B83">
        <w:rPr>
          <w:rFonts w:cs="Arial"/>
          <w:sz w:val="22"/>
        </w:rPr>
        <w:t xml:space="preserve">. </w:t>
      </w:r>
      <w:r w:rsidR="00916F64">
        <w:rPr>
          <w:rFonts w:cs="Arial"/>
          <w:sz w:val="22"/>
        </w:rPr>
        <w:t>10</w:t>
      </w:r>
      <w:r w:rsidR="004F7B83">
        <w:rPr>
          <w:rFonts w:cs="Arial"/>
          <w:sz w:val="22"/>
        </w:rPr>
        <w:t>. 2022</w:t>
      </w:r>
      <w:r w:rsidR="007571B3">
        <w:rPr>
          <w:rFonts w:cs="Arial"/>
          <w:sz w:val="22"/>
        </w:rPr>
        <w:t xml:space="preserve"> </w:t>
      </w:r>
    </w:p>
    <w:p w14:paraId="2B871BEE" w14:textId="18610182" w:rsidR="00E0086F" w:rsidRDefault="007571B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</w:t>
      </w:r>
      <w:r w:rsidR="00894BB1">
        <w:rPr>
          <w:rFonts w:cs="Arial"/>
          <w:sz w:val="22"/>
        </w:rPr>
        <w:t xml:space="preserve">pomocná evidence KPÚ: </w:t>
      </w:r>
      <w:r w:rsidR="00916F64">
        <w:rPr>
          <w:rFonts w:cs="Arial"/>
          <w:sz w:val="22"/>
        </w:rPr>
        <w:t>17</w:t>
      </w:r>
      <w:r w:rsidR="00894BB1">
        <w:rPr>
          <w:rFonts w:cs="Arial"/>
          <w:sz w:val="22"/>
        </w:rPr>
        <w:t>/2022-537100)</w:t>
      </w:r>
    </w:p>
    <w:p w14:paraId="3AC5A635" w14:textId="79AC8E77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</w:t>
      </w:r>
      <w:r w:rsidR="00916F64">
        <w:rPr>
          <w:rFonts w:cs="Arial"/>
          <w:sz w:val="22"/>
        </w:rPr>
        <w:t>Sedlec u Mšena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77777777" w:rsidR="009967F2" w:rsidRPr="009967F2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V technických záležitostech zastoupená: Ing. Oldřich Smolík, Pobočka Mělník</w:t>
      </w:r>
    </w:p>
    <w:p w14:paraId="74979517" w14:textId="73CB4327" w:rsidR="009967F2" w:rsidRPr="009967F2" w:rsidRDefault="0061757B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387AAB">
        <w:rPr>
          <w:rFonts w:ascii="ArialMT" w:hAnsi="ArialMT" w:cs="ArialMT"/>
        </w:rPr>
        <w:t>Gabriela Poláková</w:t>
      </w:r>
      <w:r w:rsidR="009967F2" w:rsidRPr="009967F2">
        <w:rPr>
          <w:rFonts w:ascii="ArialMT" w:hAnsi="ArialMT" w:cs="ArialMT"/>
        </w:rPr>
        <w:t>, Pobočka Mělník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D93556E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+420 602 287 360, +420 725 950 </w:t>
      </w:r>
      <w:r w:rsidR="00387AAB">
        <w:rPr>
          <w:rFonts w:ascii="ArialMT" w:hAnsi="ArialMT" w:cs="ArialMT"/>
        </w:rPr>
        <w:t>114</w:t>
      </w:r>
    </w:p>
    <w:p w14:paraId="76E166C6" w14:textId="689DC218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 w:rsidR="003553BC"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 xml:space="preserve">smolik1@spucr.cz, </w:t>
      </w:r>
      <w:r w:rsidR="00387AAB">
        <w:rPr>
          <w:rFonts w:ascii="ArialMT" w:hAnsi="ArialMT" w:cs="ArialMT"/>
        </w:rPr>
        <w:t>g.polakova</w:t>
      </w:r>
      <w:r w:rsidRPr="009967F2">
        <w:rPr>
          <w:rFonts w:ascii="ArialMT" w:hAnsi="ArialMT" w:cs="ArialMT"/>
        </w:rPr>
        <w:t>@spucr.cz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2CEBD9E0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A40606">
        <w:rPr>
          <w:rFonts w:ascii="Arial-BoldMT" w:eastAsia="Calibri" w:hAnsi="Arial-BoldMT" w:cs="Arial-BoldMT"/>
          <w:b/>
          <w:bCs/>
          <w:lang w:eastAsia="cs-CZ"/>
        </w:rPr>
        <w:t>POZEMKOVÉ ÚPRAVY K+V s.r.o.</w:t>
      </w:r>
    </w:p>
    <w:p w14:paraId="0B990DE1" w14:textId="344107B0" w:rsidR="002C4C5D" w:rsidRDefault="002C4C5D" w:rsidP="0049598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společnost založená a existující podle právního řádu České republiky, se sídlem </w:t>
      </w:r>
      <w:r w:rsidR="00A40606">
        <w:rPr>
          <w:rFonts w:ascii="ArialMT" w:eastAsia="Calibri" w:hAnsi="ArialMT" w:cs="ArialMT"/>
          <w:lang w:eastAsia="cs-CZ"/>
        </w:rPr>
        <w:t>Plachého 40</w:t>
      </w:r>
      <w:r w:rsidR="007C6EBC">
        <w:rPr>
          <w:rFonts w:ascii="ArialMT" w:eastAsia="Calibri" w:hAnsi="ArialMT" w:cs="ArialMT"/>
          <w:lang w:eastAsia="cs-CZ"/>
        </w:rPr>
        <w:t xml:space="preserve">, 301 00 Plzeň, </w:t>
      </w:r>
      <w:r>
        <w:rPr>
          <w:rFonts w:ascii="ArialMT" w:eastAsia="Calibri" w:hAnsi="ArialMT" w:cs="ArialMT"/>
          <w:lang w:eastAsia="cs-CZ"/>
        </w:rPr>
        <w:t xml:space="preserve">IČO: </w:t>
      </w:r>
      <w:r w:rsidR="007C6EBC">
        <w:rPr>
          <w:rFonts w:ascii="ArialMT" w:eastAsia="Calibri" w:hAnsi="ArialMT" w:cs="ArialMT"/>
          <w:lang w:eastAsia="cs-CZ"/>
        </w:rPr>
        <w:t>29099323</w:t>
      </w:r>
      <w:r>
        <w:rPr>
          <w:rFonts w:ascii="ArialMT" w:eastAsia="Calibri" w:hAnsi="ArialMT" w:cs="ArialMT"/>
          <w:lang w:eastAsia="cs-CZ"/>
        </w:rPr>
        <w:t xml:space="preserve">, zapsaná v obchodním rejstříku vedeném u </w:t>
      </w:r>
      <w:r w:rsidR="007C6EBC">
        <w:rPr>
          <w:rFonts w:ascii="ArialMT" w:eastAsia="Calibri" w:hAnsi="ArialMT" w:cs="ArialMT"/>
          <w:lang w:eastAsia="cs-CZ"/>
        </w:rPr>
        <w:t>Krajského</w:t>
      </w:r>
      <w:r>
        <w:rPr>
          <w:rFonts w:ascii="ArialMT" w:eastAsia="Calibri" w:hAnsi="ArialMT" w:cs="ArialMT"/>
          <w:lang w:eastAsia="cs-CZ"/>
        </w:rPr>
        <w:t xml:space="preserve"> soudu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v </w:t>
      </w:r>
      <w:r w:rsidR="007C6EBC">
        <w:rPr>
          <w:rFonts w:ascii="ArialMT" w:eastAsia="Calibri" w:hAnsi="ArialMT" w:cs="ArialMT"/>
          <w:lang w:eastAsia="cs-CZ"/>
        </w:rPr>
        <w:t>Plzni</w:t>
      </w:r>
      <w:r>
        <w:rPr>
          <w:rFonts w:ascii="ArialMT" w:eastAsia="Calibri" w:hAnsi="ArialMT" w:cs="ArialMT"/>
          <w:lang w:eastAsia="cs-CZ"/>
        </w:rPr>
        <w:t xml:space="preserve">, oddíl C, vložka </w:t>
      </w:r>
      <w:r w:rsidR="007C6EBC">
        <w:rPr>
          <w:rFonts w:ascii="ArialMT" w:eastAsia="Calibri" w:hAnsi="ArialMT" w:cs="ArialMT"/>
          <w:lang w:eastAsia="cs-CZ"/>
        </w:rPr>
        <w:t>24674</w:t>
      </w:r>
      <w:r>
        <w:rPr>
          <w:rFonts w:ascii="ArialMT" w:eastAsia="Calibri" w:hAnsi="ArialMT" w:cs="ArialMT"/>
          <w:lang w:eastAsia="cs-CZ"/>
        </w:rPr>
        <w:t>.</w:t>
      </w:r>
    </w:p>
    <w:p w14:paraId="7A7225D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09B62A5D" w14:textId="0B4675D9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Zastoupená: </w:t>
      </w:r>
      <w:r w:rsidR="000E7937">
        <w:rPr>
          <w:rFonts w:ascii="ArialMT" w:eastAsia="Calibri" w:hAnsi="ArialMT" w:cs="ArialMT"/>
          <w:lang w:eastAsia="cs-CZ"/>
        </w:rPr>
        <w:t>Mgr. Barbora Salátová</w:t>
      </w:r>
    </w:p>
    <w:p w14:paraId="4EECC02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2C83D90D" w14:textId="72EA88FD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 smluvních záležitostech zastoupená: </w:t>
      </w:r>
      <w:r w:rsidR="000E7937">
        <w:rPr>
          <w:rFonts w:ascii="ArialMT" w:eastAsia="Calibri" w:hAnsi="ArialMT" w:cs="ArialMT"/>
          <w:lang w:eastAsia="cs-CZ"/>
        </w:rPr>
        <w:t>Mgr. Barbora Salátová, Ing. Helena Krausová</w:t>
      </w:r>
    </w:p>
    <w:p w14:paraId="5482EA63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4ECD994D" w14:textId="27962121" w:rsidR="002C4C5D" w:rsidRDefault="002C4C5D" w:rsidP="00262D44">
      <w:pPr>
        <w:autoSpaceDE w:val="0"/>
        <w:autoSpaceDN w:val="0"/>
        <w:adjustRightInd w:val="0"/>
        <w:spacing w:after="0" w:line="240" w:lineRule="auto"/>
        <w:ind w:left="3969" w:hanging="3969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262D44">
        <w:rPr>
          <w:rFonts w:ascii="ArialMT" w:eastAsia="Calibri" w:hAnsi="ArialMT" w:cs="ArialMT"/>
          <w:lang w:eastAsia="cs-CZ"/>
        </w:rPr>
        <w:t>XXXXX</w:t>
      </w:r>
      <w:r w:rsidR="000E7937">
        <w:rPr>
          <w:rFonts w:ascii="ArialMT" w:eastAsia="Calibri" w:hAnsi="ArialMT" w:cs="ArialMT"/>
          <w:lang w:eastAsia="cs-CZ"/>
        </w:rPr>
        <w:t xml:space="preserve">, </w:t>
      </w:r>
      <w:r w:rsidR="00262D44">
        <w:rPr>
          <w:rFonts w:ascii="ArialMT" w:eastAsia="Calibri" w:hAnsi="ArialMT" w:cs="ArialMT"/>
          <w:lang w:eastAsia="cs-CZ"/>
        </w:rPr>
        <w:t>XXXXX</w:t>
      </w:r>
      <w:r w:rsidR="000E7937">
        <w:rPr>
          <w:rFonts w:ascii="ArialMT" w:eastAsia="Calibri" w:hAnsi="ArialMT" w:cs="ArialMT"/>
          <w:lang w:eastAsia="cs-CZ"/>
        </w:rPr>
        <w:t xml:space="preserve">, </w:t>
      </w:r>
      <w:r w:rsidR="00262D44">
        <w:rPr>
          <w:rFonts w:ascii="ArialMT" w:eastAsia="Calibri" w:hAnsi="ArialMT" w:cs="ArialMT"/>
          <w:lang w:eastAsia="cs-CZ"/>
        </w:rPr>
        <w:br/>
        <w:t>XXXXX</w:t>
      </w:r>
      <w:r w:rsidR="000E7937">
        <w:rPr>
          <w:rFonts w:ascii="ArialMT" w:eastAsia="Calibri" w:hAnsi="ArialMT" w:cs="ArialMT"/>
          <w:lang w:eastAsia="cs-CZ"/>
        </w:rPr>
        <w:t xml:space="preserve">, </w:t>
      </w:r>
      <w:r w:rsidR="00262D44">
        <w:rPr>
          <w:rFonts w:ascii="ArialMT" w:eastAsia="Calibri" w:hAnsi="ArialMT" w:cs="ArialMT"/>
          <w:lang w:eastAsia="cs-CZ"/>
        </w:rPr>
        <w:t>XXXXX</w:t>
      </w:r>
    </w:p>
    <w:p w14:paraId="65CA2FDC" w14:textId="77777777" w:rsidR="00CD1CD4" w:rsidRDefault="00CD1CD4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62B74E40" w14:textId="0C4FA099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262D44">
        <w:rPr>
          <w:rFonts w:ascii="ArialMT" w:eastAsia="Calibri" w:hAnsi="ArialMT" w:cs="ArialMT"/>
          <w:lang w:eastAsia="cs-CZ"/>
        </w:rPr>
        <w:t>XXXXX</w:t>
      </w:r>
    </w:p>
    <w:p w14:paraId="2D41CE49" w14:textId="528A8827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262D44">
        <w:rPr>
          <w:rFonts w:ascii="ArialMT" w:eastAsia="Calibri" w:hAnsi="ArialMT" w:cs="ArialMT"/>
          <w:lang w:eastAsia="cs-CZ"/>
        </w:rPr>
        <w:t>XXXXX</w:t>
      </w:r>
    </w:p>
    <w:p w14:paraId="5093829D" w14:textId="353B92B3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ID datové schránky: </w:t>
      </w:r>
      <w:r w:rsidR="004D0CE2">
        <w:rPr>
          <w:rFonts w:ascii="ArialMT" w:eastAsia="Calibri" w:hAnsi="ArialMT" w:cs="ArialMT"/>
          <w:lang w:eastAsia="cs-CZ"/>
        </w:rPr>
        <w:t>qzhp5bf</w:t>
      </w:r>
    </w:p>
    <w:p w14:paraId="7C2FAC74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6068E70" w14:textId="10489EB2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 w:rsidR="004D0CE2">
        <w:rPr>
          <w:rFonts w:ascii="ArialMT" w:eastAsia="Calibri" w:hAnsi="ArialMT" w:cs="ArialMT"/>
          <w:lang w:eastAsia="cs-CZ"/>
        </w:rPr>
        <w:t>Raiffeisenbank</w:t>
      </w:r>
      <w:r w:rsidR="00324670">
        <w:rPr>
          <w:rFonts w:ascii="ArialMT" w:eastAsia="Calibri" w:hAnsi="ArialMT" w:cs="ArialMT"/>
          <w:lang w:eastAsia="cs-CZ"/>
        </w:rPr>
        <w:t xml:space="preserve"> a.s.</w:t>
      </w:r>
    </w:p>
    <w:p w14:paraId="04932A85" w14:textId="462DEEDE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 w:rsidR="004517C7">
        <w:rPr>
          <w:rFonts w:ascii="ArialMT" w:eastAsia="Calibri" w:hAnsi="ArialMT" w:cs="ArialMT"/>
          <w:lang w:eastAsia="cs-CZ"/>
        </w:rPr>
        <w:t>5279999001/5500</w:t>
      </w:r>
    </w:p>
    <w:p w14:paraId="7D6D5B0E" w14:textId="47159B45" w:rsidR="00BE1F23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</w:t>
      </w:r>
      <w:r w:rsidR="004517C7">
        <w:rPr>
          <w:rFonts w:ascii="ArialMT" w:eastAsia="Calibri" w:hAnsi="ArialMT" w:cs="ArialMT"/>
          <w:lang w:eastAsia="cs-CZ"/>
        </w:rPr>
        <w:t>2909</w:t>
      </w:r>
      <w:r w:rsidR="003C37E4">
        <w:rPr>
          <w:rFonts w:ascii="ArialMT" w:eastAsia="Calibri" w:hAnsi="ArialMT" w:cs="ArialMT"/>
          <w:lang w:eastAsia="cs-CZ"/>
        </w:rPr>
        <w:t>9323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4F25BBD7" w14:textId="652590F3" w:rsidR="009E578E" w:rsidRDefault="00B4569F" w:rsidP="009E578E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4D3FB2">
        <w:rPr>
          <w:rFonts w:ascii="Arial" w:hAnsi="Arial" w:cs="Arial"/>
        </w:rPr>
        <w:t xml:space="preserve">dodatku č. </w:t>
      </w:r>
      <w:r w:rsidR="00772962">
        <w:rPr>
          <w:rFonts w:ascii="Arial" w:hAnsi="Arial" w:cs="Arial"/>
        </w:rPr>
        <w:t>2</w:t>
      </w:r>
      <w:r w:rsidR="004D3FB2">
        <w:rPr>
          <w:rFonts w:ascii="Arial" w:hAnsi="Arial" w:cs="Arial"/>
        </w:rPr>
        <w:t xml:space="preserve"> </w:t>
      </w:r>
      <w:r w:rsidR="006400F5">
        <w:rPr>
          <w:rFonts w:ascii="Arial" w:hAnsi="Arial" w:cs="Arial"/>
        </w:rPr>
        <w:t xml:space="preserve">ke Smlouvě </w:t>
      </w:r>
      <w:r w:rsidR="00E95BEF" w:rsidRPr="00E95BEF">
        <w:rPr>
          <w:rFonts w:ascii="Arial" w:hAnsi="Arial" w:cs="Arial"/>
          <w:b w:val="0"/>
          <w:bCs w:val="0"/>
          <w:caps w:val="0"/>
        </w:rPr>
        <w:t>je</w:t>
      </w:r>
      <w:r w:rsidR="00E95BEF">
        <w:rPr>
          <w:rFonts w:ascii="Arial" w:hAnsi="Arial" w:cs="Arial"/>
          <w:caps w:val="0"/>
        </w:rPr>
        <w:t xml:space="preserve"> </w:t>
      </w:r>
      <w:r w:rsidR="000D482E">
        <w:rPr>
          <w:rFonts w:ascii="Arial" w:hAnsi="Arial" w:cs="Arial"/>
          <w:b w:val="0"/>
          <w:bCs w:val="0"/>
          <w:caps w:val="0"/>
          <w:szCs w:val="22"/>
        </w:rPr>
        <w:t xml:space="preserve">„aktivace“ inflační doložky – viz. </w:t>
      </w:r>
      <w:r w:rsidR="007F2CBC">
        <w:rPr>
          <w:rFonts w:ascii="Arial" w:hAnsi="Arial" w:cs="Arial"/>
          <w:b w:val="0"/>
          <w:bCs w:val="0"/>
          <w:caps w:val="0"/>
        </w:rPr>
        <w:t>čl.</w:t>
      </w:r>
      <w:r w:rsidR="00E95BEF" w:rsidRPr="00A40350">
        <w:rPr>
          <w:rFonts w:ascii="Arial" w:hAnsi="Arial" w:cs="Arial"/>
          <w:b w:val="0"/>
          <w:bCs w:val="0"/>
          <w:caps w:val="0"/>
        </w:rPr>
        <w:t xml:space="preserve"> číslo</w:t>
      </w:r>
      <w:r w:rsidR="00E95BEF">
        <w:rPr>
          <w:rFonts w:ascii="Arial" w:hAnsi="Arial" w:cs="Arial"/>
          <w:caps w:val="0"/>
        </w:rPr>
        <w:t xml:space="preserve"> </w:t>
      </w:r>
      <w:r w:rsidR="000D482E">
        <w:rPr>
          <w:rFonts w:ascii="Arial" w:hAnsi="Arial" w:cs="Arial"/>
          <w:b w:val="0"/>
          <w:bCs w:val="0"/>
          <w:caps w:val="0"/>
          <w:szCs w:val="22"/>
        </w:rPr>
        <w:t>3 CENA DÍLA, článek 3.6</w:t>
      </w:r>
      <w:r w:rsidR="00E17327">
        <w:rPr>
          <w:rFonts w:ascii="Arial" w:hAnsi="Arial" w:cs="Arial"/>
        </w:rPr>
        <w:t xml:space="preserve">,  </w:t>
      </w:r>
      <w:r w:rsidR="009E578E">
        <w:rPr>
          <w:rFonts w:ascii="Arial" w:hAnsi="Arial" w:cs="Arial"/>
          <w:b w:val="0"/>
          <w:bCs w:val="0"/>
          <w:caps w:val="0"/>
          <w:szCs w:val="22"/>
        </w:rPr>
        <w:t xml:space="preserve">kdy zhotovitel je oprávněn písemně 1x za kalendářní rok požádat o navýšení jednotkových položkových cen (Měrných jednotek) pro ty části Díla, které doposud nebyly provedeny (ve smyslu čl. 10 Smlouvy) a s jejichž provedením Zhotovitel není v prodlení, a to za použití ročního indexu průměrné meziroční  míry inflace vyjádřené přírůstkem průměrného ročního indexu spotřebitelských cen uveřejňovaného Českým statistickým úřadem pro uplynulý kalendářní rok („Průměrná roční inflace“, společně Žádost“), a to vždy s účinností ode dne následujícího po doručení Žádosti Objednateli, nejdříve však od prvního (1.) dne měsíce následujícího po měsíci, v němž bude vyhlášení Průměrné roční míry inflace učiněno.  Zhotovitel je oprávněn požádat o navýšení jednotkových položkových cen (Měrných jednotek) nejdříve po uplynutí jednoho (1) roku od účinnosti Smlouvy. </w:t>
      </w:r>
    </w:p>
    <w:p w14:paraId="2CF30E1C" w14:textId="77777777" w:rsidR="00BB15D4" w:rsidRDefault="00BB15D4" w:rsidP="003C37E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67A2B576" w14:textId="6089A915" w:rsidR="004D3FB2" w:rsidRPr="007A3381" w:rsidRDefault="003C37E4" w:rsidP="00BB1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eastAsia="cs-CZ"/>
        </w:rPr>
      </w:pPr>
      <w:r w:rsidRPr="007A3381">
        <w:rPr>
          <w:rFonts w:ascii="Arial" w:eastAsia="Calibri" w:hAnsi="Arial" w:cs="Arial"/>
          <w:lang w:eastAsia="cs-CZ"/>
        </w:rPr>
        <w:t>V důsledku této změny se mění</w:t>
      </w:r>
      <w:r w:rsidR="00BB15D4" w:rsidRPr="007A3381">
        <w:rPr>
          <w:rFonts w:ascii="Arial" w:eastAsia="Calibri" w:hAnsi="Arial" w:cs="Arial"/>
          <w:lang w:eastAsia="cs-CZ"/>
        </w:rPr>
        <w:t xml:space="preserve"> </w:t>
      </w:r>
      <w:r w:rsidR="007F2CBC">
        <w:rPr>
          <w:rFonts w:ascii="Arial" w:eastAsia="Calibri" w:hAnsi="Arial" w:cs="Arial"/>
          <w:b/>
          <w:bCs/>
          <w:lang w:eastAsia="cs-CZ"/>
        </w:rPr>
        <w:t>čl.</w:t>
      </w:r>
      <w:r w:rsidRPr="007A3381">
        <w:rPr>
          <w:rFonts w:ascii="Arial" w:eastAsia="Calibri" w:hAnsi="Arial" w:cs="Arial"/>
          <w:b/>
          <w:bCs/>
          <w:lang w:eastAsia="cs-CZ"/>
        </w:rPr>
        <w:t xml:space="preserve"> 3. CENA DÍLA a příloha ke smlouvě – položkový výkaz činností.</w:t>
      </w:r>
    </w:p>
    <w:p w14:paraId="087FA308" w14:textId="77777777" w:rsidR="004D3FB2" w:rsidRPr="007A3381" w:rsidRDefault="004D3FB2" w:rsidP="003C37E4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eastAsia="Calibri" w:hAnsi="Arial" w:cs="Arial"/>
          <w:b w:val="0"/>
          <w:bCs w:val="0"/>
          <w:lang w:eastAsia="cs-CZ"/>
        </w:rPr>
      </w:pPr>
    </w:p>
    <w:p w14:paraId="0D00A0B4" w14:textId="5DA75C2F" w:rsidR="00FD22C1" w:rsidRPr="007A3381" w:rsidRDefault="00FD22C1" w:rsidP="0005768A">
      <w:pPr>
        <w:jc w:val="both"/>
        <w:rPr>
          <w:rFonts w:ascii="Arial" w:hAnsi="Arial" w:cs="Arial"/>
          <w:lang w:eastAsia="cs-CZ"/>
        </w:rPr>
      </w:pPr>
      <w:r w:rsidRPr="007A3381">
        <w:rPr>
          <w:rFonts w:ascii="Arial" w:hAnsi="Arial" w:cs="Arial"/>
          <w:lang w:eastAsia="cs-CZ"/>
        </w:rPr>
        <w:t>Další změna se týká o</w:t>
      </w:r>
      <w:r w:rsidR="00857850">
        <w:rPr>
          <w:rFonts w:ascii="Arial" w:hAnsi="Arial" w:cs="Arial"/>
          <w:lang w:eastAsia="cs-CZ"/>
        </w:rPr>
        <w:t>pravy označení čl. 3.6 v</w:t>
      </w:r>
      <w:r w:rsidR="00437147">
        <w:rPr>
          <w:rFonts w:ascii="Arial" w:hAnsi="Arial" w:cs="Arial"/>
          <w:lang w:eastAsia="cs-CZ"/>
        </w:rPr>
        <w:t> </w:t>
      </w:r>
      <w:r w:rsidR="00857850">
        <w:rPr>
          <w:rFonts w:ascii="Arial" w:hAnsi="Arial" w:cs="Arial"/>
          <w:lang w:eastAsia="cs-CZ"/>
        </w:rPr>
        <w:t>čl</w:t>
      </w:r>
      <w:r w:rsidR="00437147">
        <w:rPr>
          <w:rFonts w:ascii="Arial" w:hAnsi="Arial" w:cs="Arial"/>
          <w:lang w:eastAsia="cs-CZ"/>
        </w:rPr>
        <w:t xml:space="preserve">áncích </w:t>
      </w:r>
      <w:r w:rsidR="00437147" w:rsidRPr="0005768A">
        <w:rPr>
          <w:rFonts w:ascii="Arial" w:hAnsi="Arial" w:cs="Arial"/>
          <w:b/>
          <w:bCs/>
          <w:lang w:eastAsia="cs-CZ"/>
        </w:rPr>
        <w:t>3.3, 3.4, 17.1 a 17.4.</w:t>
      </w:r>
      <w:r w:rsidR="00437147">
        <w:rPr>
          <w:rFonts w:ascii="Arial" w:hAnsi="Arial" w:cs="Arial"/>
          <w:lang w:eastAsia="cs-CZ"/>
        </w:rPr>
        <w:t>, kdy</w:t>
      </w:r>
      <w:r w:rsidR="00857850">
        <w:rPr>
          <w:rFonts w:ascii="Arial" w:hAnsi="Arial" w:cs="Arial"/>
          <w:lang w:eastAsia="cs-CZ"/>
        </w:rPr>
        <w:t xml:space="preserve"> </w:t>
      </w:r>
      <w:r w:rsidR="00857850" w:rsidRPr="00857850">
        <w:rPr>
          <w:rFonts w:ascii="Arial" w:hAnsi="Arial" w:cs="Arial"/>
          <w:lang w:eastAsia="cs-CZ"/>
        </w:rPr>
        <w:t xml:space="preserve">při převodu do formátu </w:t>
      </w:r>
      <w:proofErr w:type="spellStart"/>
      <w:r w:rsidR="00857850" w:rsidRPr="00857850">
        <w:rPr>
          <w:rFonts w:ascii="Arial" w:hAnsi="Arial" w:cs="Arial"/>
          <w:lang w:eastAsia="cs-CZ"/>
        </w:rPr>
        <w:t>pdf</w:t>
      </w:r>
      <w:proofErr w:type="spellEnd"/>
      <w:r w:rsidR="00857850" w:rsidRPr="00857850">
        <w:rPr>
          <w:rFonts w:ascii="Arial" w:hAnsi="Arial" w:cs="Arial"/>
          <w:lang w:eastAsia="cs-CZ"/>
        </w:rPr>
        <w:t xml:space="preserve"> </w:t>
      </w:r>
      <w:r w:rsidR="00437147">
        <w:rPr>
          <w:rFonts w:ascii="Arial" w:hAnsi="Arial" w:cs="Arial"/>
          <w:lang w:eastAsia="cs-CZ"/>
        </w:rPr>
        <w:t>došlo</w:t>
      </w:r>
      <w:r w:rsidR="00857850" w:rsidRPr="00857850">
        <w:rPr>
          <w:rFonts w:ascii="Arial" w:hAnsi="Arial" w:cs="Arial"/>
          <w:lang w:eastAsia="cs-CZ"/>
        </w:rPr>
        <w:t xml:space="preserve"> k automatickému přečíslování čl. 3.6 na čl. 3.5.  </w:t>
      </w:r>
      <w:r w:rsidR="00857850" w:rsidRPr="00857850">
        <w:rPr>
          <w:rFonts w:ascii="Arial" w:hAnsi="Arial" w:cs="Arial"/>
          <w:lang w:eastAsia="cs-CZ"/>
        </w:rPr>
        <w:cr/>
      </w:r>
    </w:p>
    <w:p w14:paraId="40E32E7B" w14:textId="77777777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837CE9B" w14:textId="77777777" w:rsidR="009208A9" w:rsidRDefault="00C22C54" w:rsidP="009208A9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r w:rsidRPr="00C22C54">
        <w:rPr>
          <w:rFonts w:ascii="Arial" w:hAnsi="Arial" w:cs="Arial"/>
          <w:b/>
          <w:bCs/>
          <w:szCs w:val="22"/>
        </w:rPr>
        <w:t>Uplatnění inflační doložky</w:t>
      </w:r>
      <w:r w:rsidR="00D15C87">
        <w:rPr>
          <w:rFonts w:ascii="Arial" w:hAnsi="Arial" w:cs="Arial"/>
          <w:b/>
          <w:bCs/>
          <w:szCs w:val="22"/>
        </w:rPr>
        <w:t xml:space="preserve"> </w:t>
      </w:r>
    </w:p>
    <w:p w14:paraId="6F491A69" w14:textId="281BC197" w:rsidR="009208A9" w:rsidRDefault="009208A9" w:rsidP="004F316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Zhotovitel požádal dopisem ze dne 20. 10. 2023 v souladu s </w:t>
      </w:r>
      <w:r w:rsidR="00743BC6">
        <w:rPr>
          <w:rFonts w:ascii="ArialMT" w:eastAsia="Calibri" w:hAnsi="ArialMT" w:cs="ArialMT"/>
          <w:lang w:eastAsia="cs-CZ"/>
        </w:rPr>
        <w:t>oddílem</w:t>
      </w:r>
      <w:r>
        <w:rPr>
          <w:rFonts w:ascii="ArialMT" w:eastAsia="Calibri" w:hAnsi="ArialMT" w:cs="ArialMT"/>
          <w:lang w:eastAsia="cs-CZ"/>
        </w:rPr>
        <w:t xml:space="preserve"> 3 </w:t>
      </w:r>
      <w:r w:rsidR="00743BC6">
        <w:rPr>
          <w:rFonts w:ascii="ArialMT" w:eastAsia="Calibri" w:hAnsi="ArialMT" w:cs="ArialMT"/>
          <w:lang w:eastAsia="cs-CZ"/>
        </w:rPr>
        <w:t xml:space="preserve">čl. </w:t>
      </w:r>
      <w:r>
        <w:rPr>
          <w:rFonts w:ascii="ArialMT" w:eastAsia="Calibri" w:hAnsi="ArialMT" w:cs="ArialMT"/>
          <w:lang w:eastAsia="cs-CZ"/>
        </w:rPr>
        <w:t>3.6 Smlouvy o navýšení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jednotkových položkových cen (měrných jednotek) za použití ročního indexu průměrné meziroční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míry inflace vyjádřené přírůstkem průměrného ročního indexu spotřebitelských cen uveřejňovaného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Českým statistickým úřadem pro části díla, které dosud nebyly provedeny a s jejichž provedením není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Zhotovitel v prodlení. Zhotovitel je oprávněn požádat o navýšení jednotkových položkových cen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(měrných jednotek), pokud průměrná roční míra inflace přesáhne 3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% za předchozí rok. Navýšení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jednotkových položkových cen (měrných jednotek) provedené dle čl. 3.6 Smlouvy může v</w:t>
      </w:r>
      <w:r w:rsidR="00302933">
        <w:rPr>
          <w:rFonts w:ascii="ArialMT" w:eastAsia="Calibri" w:hAnsi="ArialMT" w:cs="ArialMT"/>
          <w:lang w:eastAsia="cs-CZ"/>
        </w:rPr>
        <w:t> </w:t>
      </w:r>
      <w:r>
        <w:rPr>
          <w:rFonts w:ascii="ArialMT" w:eastAsia="Calibri" w:hAnsi="ArialMT" w:cs="ArialMT"/>
          <w:lang w:eastAsia="cs-CZ"/>
        </w:rPr>
        <w:t>každém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kalendářním roce činit až 10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%. Průměrná meziroční inflace vyjádřená přírůstkem průměrného ročního</w:t>
      </w:r>
      <w:r w:rsidR="00302933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indexu spotřebitelských cen, která vyjadřuje procentní změnu průměrné cenové hladiny za 12</w:t>
      </w:r>
      <w:r w:rsidR="001B5866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posledních měsíců proti průměru 12 předchozích měsíců, je 15</w:t>
      </w:r>
      <w:r w:rsidR="004F3161">
        <w:rPr>
          <w:rFonts w:ascii="ArialMT" w:eastAsia="Calibri" w:hAnsi="ArialMT" w:cs="ArialMT"/>
          <w:lang w:eastAsia="cs-CZ"/>
        </w:rPr>
        <w:t>,</w:t>
      </w:r>
      <w:r>
        <w:rPr>
          <w:rFonts w:ascii="ArialMT" w:eastAsia="Calibri" w:hAnsi="ArialMT" w:cs="ArialMT"/>
          <w:lang w:eastAsia="cs-CZ"/>
        </w:rPr>
        <w:t>1 %. V souladu se smluvním</w:t>
      </w:r>
      <w:r w:rsidR="001B5866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ujednáním dojde k navýšení jednotkových položkových cen (měrných jednotek) o 10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%. Objednatel</w:t>
      </w:r>
      <w:r w:rsidR="001B5866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žádost schválil a s navýšením jednotkových položkových cen (měrných jednotek) u dílčích částí 6.2.1,</w:t>
      </w:r>
      <w:r w:rsidR="001B5866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6.2.2, 6.2.4, 6.2.7, 6.2.8, 6.3.1, 6.3.1 i) a), 6.3.1 i) b), 6.3.1 i) c), 6.3.2 h), 6.3.2 h) i), 6.3.2</w:t>
      </w:r>
      <w:r w:rsidR="000E3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h) </w:t>
      </w:r>
      <w:proofErr w:type="spellStart"/>
      <w:r>
        <w:rPr>
          <w:rFonts w:ascii="ArialMT" w:eastAsia="Calibri" w:hAnsi="ArialMT" w:cs="ArialMT"/>
          <w:lang w:eastAsia="cs-CZ"/>
        </w:rPr>
        <w:t>ii</w:t>
      </w:r>
      <w:proofErr w:type="spellEnd"/>
      <w:r>
        <w:rPr>
          <w:rFonts w:ascii="ArialMT" w:eastAsia="Calibri" w:hAnsi="ArialMT" w:cs="ArialMT"/>
          <w:lang w:eastAsia="cs-CZ"/>
        </w:rPr>
        <w:t xml:space="preserve">), 6.3.2 h) </w:t>
      </w:r>
      <w:proofErr w:type="spellStart"/>
      <w:r>
        <w:rPr>
          <w:rFonts w:ascii="ArialMT" w:eastAsia="Calibri" w:hAnsi="ArialMT" w:cs="ArialMT"/>
          <w:lang w:eastAsia="cs-CZ"/>
        </w:rPr>
        <w:t>iii</w:t>
      </w:r>
      <w:proofErr w:type="spellEnd"/>
      <w:r>
        <w:rPr>
          <w:rFonts w:ascii="ArialMT" w:eastAsia="Calibri" w:hAnsi="ArialMT" w:cs="ArialMT"/>
          <w:lang w:eastAsia="cs-CZ"/>
        </w:rPr>
        <w:t xml:space="preserve">), 6.3.2, 6.3.3, 6.3.4, 6.3.5, 6.3.5 i), 6.3.5 </w:t>
      </w:r>
      <w:proofErr w:type="spellStart"/>
      <w:r>
        <w:rPr>
          <w:rFonts w:ascii="ArialMT" w:eastAsia="Calibri" w:hAnsi="ArialMT" w:cs="ArialMT"/>
          <w:lang w:eastAsia="cs-CZ"/>
        </w:rPr>
        <w:t>ii</w:t>
      </w:r>
      <w:proofErr w:type="spellEnd"/>
      <w:r>
        <w:rPr>
          <w:rFonts w:ascii="ArialMT" w:eastAsia="Calibri" w:hAnsi="ArialMT" w:cs="ArialMT"/>
          <w:lang w:eastAsia="cs-CZ"/>
        </w:rPr>
        <w:t xml:space="preserve">), 6.3.5 </w:t>
      </w:r>
      <w:proofErr w:type="spellStart"/>
      <w:r>
        <w:rPr>
          <w:rFonts w:ascii="ArialMT" w:eastAsia="Calibri" w:hAnsi="ArialMT" w:cs="ArialMT"/>
          <w:lang w:eastAsia="cs-CZ"/>
        </w:rPr>
        <w:t>iii</w:t>
      </w:r>
      <w:proofErr w:type="spellEnd"/>
      <w:r>
        <w:rPr>
          <w:rFonts w:ascii="ArialMT" w:eastAsia="Calibri" w:hAnsi="ArialMT" w:cs="ArialMT"/>
          <w:lang w:eastAsia="cs-CZ"/>
        </w:rPr>
        <w:t>) a 6.4 souhlasí. Z výše uvedeného</w:t>
      </w:r>
      <w:r w:rsidR="000E3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důvodu se celková cena </w:t>
      </w:r>
      <w:r>
        <w:rPr>
          <w:rFonts w:ascii="Arial-BoldMT" w:eastAsia="Calibri" w:hAnsi="Arial-BoldMT" w:cs="Arial-BoldMT"/>
          <w:b/>
          <w:bCs/>
          <w:lang w:eastAsia="cs-CZ"/>
        </w:rPr>
        <w:t xml:space="preserve">navyšuje </w:t>
      </w:r>
      <w:r>
        <w:rPr>
          <w:rFonts w:ascii="ArialMT" w:eastAsia="Calibri" w:hAnsi="ArialMT" w:cs="ArialMT"/>
          <w:lang w:eastAsia="cs-CZ"/>
        </w:rPr>
        <w:t xml:space="preserve">o 241 </w:t>
      </w:r>
      <w:r w:rsidR="006025A4">
        <w:rPr>
          <w:rFonts w:ascii="ArialMT" w:eastAsia="Calibri" w:hAnsi="ArialMT" w:cs="ArialMT"/>
          <w:lang w:eastAsia="cs-CZ"/>
        </w:rPr>
        <w:t>890</w:t>
      </w:r>
      <w:r>
        <w:rPr>
          <w:rFonts w:ascii="ArialMT" w:eastAsia="Calibri" w:hAnsi="ArialMT" w:cs="ArialMT"/>
          <w:lang w:eastAsia="cs-CZ"/>
        </w:rPr>
        <w:t xml:space="preserve">,00 Kč bez DPH (292 </w:t>
      </w:r>
      <w:r w:rsidR="00FA2D47">
        <w:rPr>
          <w:rFonts w:ascii="ArialMT" w:eastAsia="Calibri" w:hAnsi="ArialMT" w:cs="ArialMT"/>
          <w:lang w:eastAsia="cs-CZ"/>
        </w:rPr>
        <w:t>686</w:t>
      </w:r>
      <w:r>
        <w:rPr>
          <w:rFonts w:ascii="ArialMT" w:eastAsia="Calibri" w:hAnsi="ArialMT" w:cs="ArialMT"/>
          <w:lang w:eastAsia="cs-CZ"/>
        </w:rPr>
        <w:t>,</w:t>
      </w:r>
      <w:r w:rsidR="00FA2D47">
        <w:rPr>
          <w:rFonts w:ascii="ArialMT" w:eastAsia="Calibri" w:hAnsi="ArialMT" w:cs="ArialMT"/>
          <w:lang w:eastAsia="cs-CZ"/>
        </w:rPr>
        <w:t>9</w:t>
      </w:r>
      <w:r>
        <w:rPr>
          <w:rFonts w:ascii="ArialMT" w:eastAsia="Calibri" w:hAnsi="ArialMT" w:cs="ArialMT"/>
          <w:lang w:eastAsia="cs-CZ"/>
        </w:rPr>
        <w:t>0 Kč včetně DPH). Jedná se</w:t>
      </w:r>
      <w:r w:rsidR="00DA3F3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o vyhrazenou změnu závazku ze smlouvy o dílo (dle § 100 zákona č. 134/2016 Sb., o zadávání</w:t>
      </w:r>
      <w:r w:rsidR="004F3161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>veřejných zakázek, ve znění pozdějších předpisů).</w:t>
      </w:r>
    </w:p>
    <w:p w14:paraId="35AF34C0" w14:textId="77777777" w:rsidR="004F3161" w:rsidRDefault="004F3161" w:rsidP="004F316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</w:p>
    <w:p w14:paraId="5F3A4A86" w14:textId="3F4ADF6A" w:rsidR="00A22322" w:rsidRPr="00B03225" w:rsidRDefault="001F3DF8" w:rsidP="00AE36A3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bookmarkStart w:id="1" w:name="_Hlk149205660"/>
      <w:r>
        <w:rPr>
          <w:rFonts w:ascii="Arial" w:hAnsi="Arial" w:cs="Arial"/>
          <w:b/>
          <w:bCs/>
          <w:szCs w:val="22"/>
        </w:rPr>
        <w:t>Čl.</w:t>
      </w:r>
      <w:r w:rsidR="00D72CC9" w:rsidRPr="00D72CC9">
        <w:rPr>
          <w:rFonts w:ascii="Arial" w:hAnsi="Arial" w:cs="Arial"/>
          <w:b/>
          <w:bCs/>
          <w:szCs w:val="22"/>
        </w:rPr>
        <w:t xml:space="preserve"> 3, </w:t>
      </w:r>
      <w:r w:rsidR="00743BC6">
        <w:rPr>
          <w:rFonts w:ascii="Arial" w:hAnsi="Arial" w:cs="Arial"/>
          <w:b/>
          <w:bCs/>
          <w:szCs w:val="22"/>
        </w:rPr>
        <w:t>čl.</w:t>
      </w:r>
      <w:r w:rsidR="00D72CC9" w:rsidRPr="00D72CC9">
        <w:rPr>
          <w:rFonts w:ascii="Arial" w:hAnsi="Arial" w:cs="Arial"/>
          <w:b/>
          <w:bCs/>
          <w:szCs w:val="22"/>
        </w:rPr>
        <w:t xml:space="preserve"> 3.1 se mění takto:</w:t>
      </w:r>
    </w:p>
    <w:bookmarkEnd w:id="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235"/>
      </w:tblGrid>
      <w:tr w:rsidR="00C120DC" w:rsidRPr="007630EC" w14:paraId="4807AF21" w14:textId="77777777" w:rsidTr="00C120DC">
        <w:tc>
          <w:tcPr>
            <w:tcW w:w="5240" w:type="dxa"/>
          </w:tcPr>
          <w:p w14:paraId="4500CCC4" w14:textId="77777777" w:rsidR="00C120DC" w:rsidRPr="007630EC" w:rsidRDefault="00C120DC" w:rsidP="0047390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ABC65C0" w14:textId="01D07698" w:rsidR="00C120DC" w:rsidRPr="007630EC" w:rsidRDefault="00C120DC" w:rsidP="00C120DC">
            <w:pPr>
              <w:jc w:val="center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Původní cena dle SM o dílo</w:t>
            </w:r>
          </w:p>
        </w:tc>
        <w:tc>
          <w:tcPr>
            <w:tcW w:w="2235" w:type="dxa"/>
            <w:vAlign w:val="center"/>
          </w:tcPr>
          <w:p w14:paraId="38985BD4" w14:textId="2FABB0A2" w:rsidR="00C120DC" w:rsidRPr="007630EC" w:rsidRDefault="00C120DC" w:rsidP="00C120DC">
            <w:pPr>
              <w:jc w:val="center"/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Cena po aktivaci inflační doložky</w:t>
            </w:r>
          </w:p>
        </w:tc>
      </w:tr>
      <w:tr w:rsidR="00907209" w:rsidRPr="007630EC" w14:paraId="4A338337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2D22D379" w14:textId="619C199F" w:rsidR="00907209" w:rsidRPr="007630EC" w:rsidRDefault="00907209" w:rsidP="00907209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9BD4" w14:textId="63D7693B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1 436 500,00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E9D0" w14:textId="1BAC4C1E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1 580 150,00</w:t>
            </w:r>
          </w:p>
        </w:tc>
      </w:tr>
      <w:tr w:rsidR="00907209" w:rsidRPr="007630EC" w14:paraId="1BD9DFCE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353DA6BA" w14:textId="6C917682" w:rsidR="00907209" w:rsidRPr="007630EC" w:rsidRDefault="00907209" w:rsidP="00907209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0DEE" w14:textId="736E2D57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803 900,00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2D91" w14:textId="1F5DF3BB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884 290,00</w:t>
            </w:r>
          </w:p>
        </w:tc>
      </w:tr>
      <w:tr w:rsidR="00907209" w:rsidRPr="007630EC" w14:paraId="21555EF0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106BAA4B" w14:textId="15CE33E2" w:rsidR="00907209" w:rsidRPr="007630EC" w:rsidRDefault="00907209" w:rsidP="00907209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CB87" w14:textId="5CDC8F14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178 500,00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AA13" w14:textId="52120514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196 350,00</w:t>
            </w:r>
          </w:p>
        </w:tc>
      </w:tr>
      <w:tr w:rsidR="00907209" w:rsidRPr="007630EC" w14:paraId="76FC3F6F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6327F454" w14:textId="4D68C25B" w:rsidR="00907209" w:rsidRPr="007630EC" w:rsidRDefault="00907209" w:rsidP="00907209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1DE0" w14:textId="3E096877" w:rsidR="00907209" w:rsidRPr="007630EC" w:rsidRDefault="00907209" w:rsidP="009072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2 418 900,00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C84F" w14:textId="43BFD565" w:rsidR="00907209" w:rsidRPr="007630EC" w:rsidRDefault="00907209" w:rsidP="009072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2 660 790,00</w:t>
            </w:r>
          </w:p>
        </w:tc>
      </w:tr>
      <w:tr w:rsidR="00907209" w:rsidRPr="007630EC" w14:paraId="5404B2A4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461A8321" w14:textId="44982C3F" w:rsidR="00907209" w:rsidRPr="007630EC" w:rsidRDefault="00907209" w:rsidP="00907209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t>DPH 21%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61EF" w14:textId="43EF0CFA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507 969,00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B23D" w14:textId="565415F1" w:rsidR="00907209" w:rsidRPr="007630EC" w:rsidRDefault="00907209" w:rsidP="009072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558 765,90</w:t>
            </w:r>
          </w:p>
        </w:tc>
      </w:tr>
      <w:tr w:rsidR="00907209" w:rsidRPr="007630EC" w14:paraId="39751B58" w14:textId="77777777" w:rsidTr="00760895"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53461E4F" w14:textId="2C508C1C" w:rsidR="00907209" w:rsidRPr="007630EC" w:rsidRDefault="00907209" w:rsidP="00907209">
            <w:pPr>
              <w:rPr>
                <w:rFonts w:ascii="Arial" w:hAnsi="Arial" w:cs="Arial"/>
              </w:rPr>
            </w:pPr>
            <w:r w:rsidRPr="007630EC">
              <w:rPr>
                <w:rFonts w:ascii="Arial" w:hAnsi="Arial" w:cs="Arial"/>
              </w:rPr>
              <w:lastRenderedPageBreak/>
              <w:t>Celková cena Díla včetně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A9A5" w14:textId="39F0CB8B" w:rsidR="00907209" w:rsidRPr="007630EC" w:rsidRDefault="00907209" w:rsidP="009072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2 926 869,00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FCD4" w14:textId="49CCA6B4" w:rsidR="00907209" w:rsidRPr="007630EC" w:rsidRDefault="00907209" w:rsidP="009072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3 219 555,90</w:t>
            </w:r>
          </w:p>
        </w:tc>
      </w:tr>
    </w:tbl>
    <w:p w14:paraId="0BEF7D51" w14:textId="77777777" w:rsidR="00620989" w:rsidRDefault="00620989" w:rsidP="00B03225">
      <w:pPr>
        <w:rPr>
          <w:rFonts w:ascii="Arial" w:hAnsi="Arial" w:cs="Arial"/>
        </w:rPr>
      </w:pPr>
    </w:p>
    <w:p w14:paraId="6CD2DE74" w14:textId="39572914" w:rsidR="003429B5" w:rsidRDefault="00222401" w:rsidP="00B03225">
      <w:pPr>
        <w:rPr>
          <w:rFonts w:ascii="Arial" w:hAnsi="Arial" w:cs="Arial"/>
        </w:rPr>
      </w:pPr>
      <w:r w:rsidRPr="007630EC">
        <w:rPr>
          <w:rFonts w:ascii="Arial" w:hAnsi="Arial" w:cs="Arial"/>
        </w:rPr>
        <w:t>Na základě výše uvedeného dochází k úpravě „Položkového výkazu činností</w:t>
      </w:r>
      <w:r w:rsidR="009F2ED3" w:rsidRPr="007630EC">
        <w:rPr>
          <w:rFonts w:ascii="Arial" w:hAnsi="Arial" w:cs="Arial"/>
        </w:rPr>
        <w:t xml:space="preserve"> – Příloha ke Smlouvě – Ko</w:t>
      </w:r>
      <w:r w:rsidR="00620989">
        <w:rPr>
          <w:rFonts w:ascii="Arial" w:hAnsi="Arial" w:cs="Arial"/>
        </w:rPr>
        <w:t>PÚ Sedlec u Mšena</w:t>
      </w:r>
      <w:r w:rsidR="001E6A3E">
        <w:rPr>
          <w:rFonts w:ascii="Arial" w:hAnsi="Arial" w:cs="Arial"/>
        </w:rPr>
        <w:t>“</w:t>
      </w:r>
      <w:r w:rsidR="007630EC" w:rsidRPr="007630EC">
        <w:rPr>
          <w:rFonts w:ascii="Arial" w:hAnsi="Arial" w:cs="Arial"/>
        </w:rPr>
        <w:t xml:space="preserve">, který je </w:t>
      </w:r>
      <w:r w:rsidR="007F546E">
        <w:rPr>
          <w:rFonts w:ascii="Arial" w:hAnsi="Arial" w:cs="Arial"/>
        </w:rPr>
        <w:t xml:space="preserve">nedílnou </w:t>
      </w:r>
      <w:r w:rsidR="007630EC" w:rsidRPr="007630EC">
        <w:rPr>
          <w:rFonts w:ascii="Arial" w:hAnsi="Arial" w:cs="Arial"/>
        </w:rPr>
        <w:t xml:space="preserve">součástí Dodatku číslo </w:t>
      </w:r>
      <w:r w:rsidR="00E0589F">
        <w:rPr>
          <w:rFonts w:ascii="Arial" w:hAnsi="Arial" w:cs="Arial"/>
        </w:rPr>
        <w:t>2</w:t>
      </w:r>
      <w:r w:rsidR="007630EC" w:rsidRPr="007630EC">
        <w:rPr>
          <w:rFonts w:ascii="Arial" w:hAnsi="Arial" w:cs="Arial"/>
        </w:rPr>
        <w:t xml:space="preserve">. </w:t>
      </w:r>
      <w:bookmarkStart w:id="2" w:name="_Ref50585481"/>
      <w:bookmarkEnd w:id="0"/>
    </w:p>
    <w:p w14:paraId="5F725709" w14:textId="77777777" w:rsidR="00D83061" w:rsidRDefault="00D83061" w:rsidP="00B03225">
      <w:pPr>
        <w:rPr>
          <w:rFonts w:ascii="Arial" w:hAnsi="Arial" w:cs="Arial"/>
        </w:rPr>
      </w:pPr>
    </w:p>
    <w:p w14:paraId="1EA39678" w14:textId="3E160E0D" w:rsidR="004D4225" w:rsidRDefault="001F3DF8" w:rsidP="004D4225">
      <w:pPr>
        <w:pStyle w:val="Level2"/>
        <w:tabs>
          <w:tab w:val="clear" w:pos="1248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Čl.</w:t>
      </w:r>
      <w:r w:rsidR="004D4225" w:rsidRPr="003E56DB">
        <w:rPr>
          <w:rFonts w:ascii="Arial" w:hAnsi="Arial" w:cs="Arial"/>
          <w:b/>
          <w:bCs/>
        </w:rPr>
        <w:t xml:space="preserve"> 3, </w:t>
      </w:r>
      <w:r w:rsidR="00743BC6">
        <w:rPr>
          <w:rFonts w:ascii="Arial" w:hAnsi="Arial" w:cs="Arial"/>
          <w:b/>
          <w:bCs/>
        </w:rPr>
        <w:t>čl.</w:t>
      </w:r>
      <w:r w:rsidR="004D4225" w:rsidRPr="003E56DB">
        <w:rPr>
          <w:rFonts w:ascii="Arial" w:hAnsi="Arial" w:cs="Arial"/>
          <w:b/>
          <w:bCs/>
        </w:rPr>
        <w:t xml:space="preserve"> 3.</w:t>
      </w:r>
      <w:r w:rsidR="00BC3352" w:rsidRPr="003E56DB">
        <w:rPr>
          <w:rFonts w:ascii="Arial" w:hAnsi="Arial" w:cs="Arial"/>
          <w:b/>
          <w:bCs/>
        </w:rPr>
        <w:t>3</w:t>
      </w:r>
      <w:r w:rsidR="004D4225" w:rsidRPr="003E56DB">
        <w:rPr>
          <w:rFonts w:ascii="Arial" w:hAnsi="Arial" w:cs="Arial"/>
          <w:b/>
          <w:bCs/>
        </w:rPr>
        <w:t xml:space="preserve"> se mění takto</w:t>
      </w:r>
      <w:r w:rsidR="004D4225" w:rsidRPr="004D4225">
        <w:rPr>
          <w:rFonts w:ascii="Arial" w:hAnsi="Arial" w:cs="Arial"/>
        </w:rPr>
        <w:t>:</w:t>
      </w:r>
    </w:p>
    <w:p w14:paraId="1FA2F8CC" w14:textId="71E4D752" w:rsidR="00BC3352" w:rsidRDefault="00BC3352" w:rsidP="00D83061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BC3352">
        <w:rPr>
          <w:rFonts w:ascii="Arial" w:hAnsi="Arial" w:cs="Arial"/>
        </w:rPr>
        <w:t xml:space="preserve">Cenu Díla lze změnit pouze v souladu s čl. 3.2, případně při naplnění podmínek dle čl. 17, v souladu s podmínkami stanovenými v příslušném dodatku ke Smlouvě a dále v případě, že v průběhu plnění této Smlouvy dojde ke změnám sazeb DPH a skutečnostem dle čl. 3.6. </w:t>
      </w:r>
    </w:p>
    <w:p w14:paraId="530B68F5" w14:textId="77777777" w:rsidR="00D83061" w:rsidRDefault="00D83061" w:rsidP="00BC3352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1386EC88" w14:textId="54956CF2" w:rsidR="00D0759B" w:rsidRDefault="001F3DF8" w:rsidP="00D0759B">
      <w:pPr>
        <w:pStyle w:val="Level2"/>
        <w:ind w:left="567" w:hanging="567"/>
        <w:rPr>
          <w:rFonts w:ascii="Arial" w:hAnsi="Arial" w:cs="Arial"/>
          <w:b/>
          <w:bCs/>
        </w:rPr>
      </w:pPr>
      <w:bookmarkStart w:id="3" w:name="_Hlk149205921"/>
      <w:r>
        <w:rPr>
          <w:rFonts w:ascii="Arial" w:hAnsi="Arial" w:cs="Arial"/>
          <w:b/>
          <w:bCs/>
        </w:rPr>
        <w:t>Čl.</w:t>
      </w:r>
      <w:r w:rsidR="00D0759B" w:rsidRPr="00D0759B">
        <w:rPr>
          <w:rFonts w:ascii="Arial" w:hAnsi="Arial" w:cs="Arial"/>
          <w:b/>
          <w:bCs/>
        </w:rPr>
        <w:t xml:space="preserve"> 3, </w:t>
      </w:r>
      <w:r w:rsidR="00743BC6">
        <w:rPr>
          <w:rFonts w:ascii="Arial" w:hAnsi="Arial" w:cs="Arial"/>
          <w:b/>
          <w:bCs/>
        </w:rPr>
        <w:t>čl.</w:t>
      </w:r>
      <w:r w:rsidR="00D0759B" w:rsidRPr="00D0759B">
        <w:rPr>
          <w:rFonts w:ascii="Arial" w:hAnsi="Arial" w:cs="Arial"/>
          <w:b/>
          <w:bCs/>
        </w:rPr>
        <w:t xml:space="preserve"> 3.4 se mění takto:</w:t>
      </w:r>
    </w:p>
    <w:bookmarkEnd w:id="3"/>
    <w:p w14:paraId="45E07DBD" w14:textId="2999EC12" w:rsidR="00D0759B" w:rsidRDefault="00D0759B" w:rsidP="00D83061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BC3352">
        <w:rPr>
          <w:rFonts w:ascii="Arial" w:hAnsi="Arial" w:cs="Arial"/>
        </w:rPr>
        <w:t>Cena Díla, s výjimkou upravenou v čl. 3.2, čl. 3.6 a čl. 17.2, jakož i jednotlivé jednotkové položkové ceny (Měrné jednotky), jsou mezi Smluvními stranami výslovně sjednány jako nejvyšší možné a nepřekročitelné. Zhotovitel prohlašuje, že Cena Díla zahrnuje veškeré jeho náklady spojené s plněním Smlouvy, zejména odměnu za poskytnutí oprávnění ve smyslu ustanovení čl. 11 a tisk veškerých mapových podkladů.</w:t>
      </w:r>
    </w:p>
    <w:p w14:paraId="0D7DD838" w14:textId="77777777" w:rsidR="00A87672" w:rsidRPr="00D0759B" w:rsidRDefault="00A87672" w:rsidP="00D83061">
      <w:pPr>
        <w:pStyle w:val="Level2"/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</w:p>
    <w:p w14:paraId="43775045" w14:textId="73E17B7B" w:rsidR="00D83061" w:rsidRDefault="001F3DF8" w:rsidP="00D83061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  <w:b/>
          <w:bCs/>
        </w:rPr>
      </w:pPr>
      <w:bookmarkStart w:id="4" w:name="_Hlk149206231"/>
      <w:r>
        <w:rPr>
          <w:rFonts w:ascii="Arial" w:hAnsi="Arial" w:cs="Arial"/>
          <w:b/>
          <w:bCs/>
        </w:rPr>
        <w:t>Čl.</w:t>
      </w:r>
      <w:r w:rsidR="00D83061" w:rsidRPr="00A87672">
        <w:rPr>
          <w:rFonts w:ascii="Arial" w:hAnsi="Arial" w:cs="Arial"/>
          <w:b/>
          <w:bCs/>
        </w:rPr>
        <w:t xml:space="preserve"> </w:t>
      </w:r>
      <w:r w:rsidR="0027556F" w:rsidRPr="00A87672">
        <w:rPr>
          <w:rFonts w:ascii="Arial" w:hAnsi="Arial" w:cs="Arial"/>
          <w:b/>
          <w:bCs/>
        </w:rPr>
        <w:t>17</w:t>
      </w:r>
      <w:r w:rsidR="00D83061" w:rsidRPr="00A87672">
        <w:rPr>
          <w:rFonts w:ascii="Arial" w:hAnsi="Arial" w:cs="Arial"/>
          <w:b/>
          <w:bCs/>
        </w:rPr>
        <w:t xml:space="preserve">, </w:t>
      </w:r>
      <w:r w:rsidR="00A87672" w:rsidRPr="00A87672">
        <w:rPr>
          <w:rFonts w:ascii="Arial" w:hAnsi="Arial" w:cs="Arial"/>
          <w:b/>
          <w:bCs/>
        </w:rPr>
        <w:t>čl.</w:t>
      </w:r>
      <w:r w:rsidR="00D83061" w:rsidRPr="00A87672">
        <w:rPr>
          <w:rFonts w:ascii="Arial" w:hAnsi="Arial" w:cs="Arial"/>
          <w:b/>
          <w:bCs/>
        </w:rPr>
        <w:t xml:space="preserve"> </w:t>
      </w:r>
      <w:r w:rsidR="00A87672" w:rsidRPr="00A87672">
        <w:rPr>
          <w:rFonts w:ascii="Arial" w:hAnsi="Arial" w:cs="Arial"/>
          <w:b/>
          <w:bCs/>
        </w:rPr>
        <w:t>17.1</w:t>
      </w:r>
      <w:r w:rsidR="00D83061" w:rsidRPr="00A87672">
        <w:rPr>
          <w:rFonts w:ascii="Arial" w:hAnsi="Arial" w:cs="Arial"/>
          <w:b/>
          <w:bCs/>
        </w:rPr>
        <w:t xml:space="preserve"> se mění takto:</w:t>
      </w:r>
    </w:p>
    <w:bookmarkEnd w:id="4"/>
    <w:p w14:paraId="5CCA7DAC" w14:textId="6D4121D2" w:rsidR="00A87672" w:rsidRDefault="00A87672" w:rsidP="00A87672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BC3352">
        <w:rPr>
          <w:rFonts w:ascii="Arial" w:hAnsi="Arial" w:cs="Arial"/>
        </w:rPr>
        <w:t>Pokud v průběhu zhotovování Díla dojde k novým skutečnostem, které nepředpokládala a rozumně nemohla předvídat v době uzavření Smlouvy žádná ze Smluvních stran a které mohou mít vliv na Cenu Díla a termíny dokončení uvedené v 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řešeny výhradně postupem a v souladu s § 222 ZZVZ. Ustanovení tohoto čl. 17 se nepoužije pro změnu jednotkových položkových cen (Měrných jednotek) prováděnou dle čl. 3.6.</w:t>
      </w:r>
    </w:p>
    <w:p w14:paraId="1E58E835" w14:textId="77777777" w:rsidR="002152D5" w:rsidRPr="00A87672" w:rsidRDefault="002152D5" w:rsidP="00A87672">
      <w:pPr>
        <w:pStyle w:val="Level2"/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</w:p>
    <w:p w14:paraId="06886A5B" w14:textId="399924C5" w:rsidR="00A87672" w:rsidRDefault="001F3DF8" w:rsidP="00A87672">
      <w:pPr>
        <w:pStyle w:val="Level2"/>
        <w:tabs>
          <w:tab w:val="clear" w:pos="1248"/>
        </w:tabs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</w:t>
      </w:r>
      <w:r w:rsidR="00A87672" w:rsidRPr="00A87672">
        <w:rPr>
          <w:rFonts w:ascii="Arial" w:hAnsi="Arial" w:cs="Arial"/>
          <w:b/>
          <w:bCs/>
        </w:rPr>
        <w:t xml:space="preserve"> 17, čl. 17.</w:t>
      </w:r>
      <w:r w:rsidR="00926847">
        <w:rPr>
          <w:rFonts w:ascii="Arial" w:hAnsi="Arial" w:cs="Arial"/>
          <w:b/>
          <w:bCs/>
        </w:rPr>
        <w:t>4</w:t>
      </w:r>
      <w:r w:rsidR="00A87672" w:rsidRPr="00A87672">
        <w:rPr>
          <w:rFonts w:ascii="Arial" w:hAnsi="Arial" w:cs="Arial"/>
          <w:b/>
          <w:bCs/>
        </w:rPr>
        <w:t xml:space="preserve"> se mění takto:</w:t>
      </w:r>
    </w:p>
    <w:p w14:paraId="03770358" w14:textId="5D49F280" w:rsidR="002152D5" w:rsidRDefault="002152D5" w:rsidP="002152D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BC3352">
        <w:rPr>
          <w:rFonts w:ascii="Arial" w:hAnsi="Arial" w:cs="Arial"/>
        </w:rPr>
        <w:t>Celková hodnota plnění dle této Smlouvy realizovaného na základě Vyhrazené změny nad rámec rozsahu Díla nesmí přesáhnout 20 % Ceny Díla bez DPH. Do této hodnoty se nezapočítávají hodnoty změny Ceny Díla bez DPH provedené na základě čl. 3.6.</w:t>
      </w:r>
    </w:p>
    <w:p w14:paraId="4FAE0835" w14:textId="77777777" w:rsidR="004D4225" w:rsidRPr="007630EC" w:rsidRDefault="004D4225" w:rsidP="00B03225">
      <w:pPr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257CCB33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0F50F2A" w:rsidR="002C5371" w:rsidRDefault="002C5371">
      <w:pPr>
        <w:spacing w:line="240" w:lineRule="auto"/>
        <w:rPr>
          <w:rFonts w:ascii="Arial" w:hAnsi="Arial" w:cs="Arial"/>
        </w:rPr>
      </w:pPr>
    </w:p>
    <w:p w14:paraId="37EF3024" w14:textId="631F0615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 xml:space="preserve">tento Dodatek č. </w:t>
      </w:r>
      <w:r w:rsidR="00772962">
        <w:rPr>
          <w:rFonts w:ascii="Arial" w:hAnsi="Arial" w:cs="Arial"/>
          <w:b/>
        </w:rPr>
        <w:t>2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0A1866A4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 xml:space="preserve">Dodatek č. </w:t>
      </w:r>
      <w:r w:rsidR="00772962">
        <w:rPr>
          <w:rFonts w:ascii="Arial" w:hAnsi="Arial" w:cs="Arial"/>
          <w:bCs/>
        </w:rPr>
        <w:t>2</w:t>
      </w:r>
      <w:r w:rsidRPr="00321F69">
        <w:rPr>
          <w:rFonts w:ascii="Arial" w:hAnsi="Arial" w:cs="Arial"/>
          <w:bCs/>
        </w:rPr>
        <w:t xml:space="preserve">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009D666" w:rsidR="002C5371" w:rsidRPr="00ED6435" w:rsidRDefault="002C5371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D097A">
        <w:rPr>
          <w:rFonts w:ascii="Arial" w:eastAsia="Times New Roman" w:hAnsi="Arial" w:cs="Arial"/>
          <w:b/>
          <w:lang w:eastAsia="cs-CZ"/>
        </w:rPr>
        <w:t>POZEMKOVÉ ÚPRAVY s.r.o.</w:t>
      </w:r>
      <w:r w:rsidR="004441F1">
        <w:rPr>
          <w:rFonts w:ascii="Arial" w:eastAsia="Times New Roman" w:hAnsi="Arial" w:cs="Arial"/>
          <w:b/>
          <w:lang w:eastAsia="cs-CZ"/>
        </w:rPr>
        <w:t xml:space="preserve"> </w:t>
      </w:r>
    </w:p>
    <w:p w14:paraId="58996297" w14:textId="172BB9C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D097A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526C6C3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E59D4">
        <w:rPr>
          <w:rFonts w:ascii="Arial" w:eastAsia="Times New Roman" w:hAnsi="Arial" w:cs="Arial"/>
          <w:bCs/>
          <w:lang w:eastAsia="cs-CZ"/>
        </w:rPr>
        <w:t>2. 11. 2023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E59D4">
        <w:rPr>
          <w:rFonts w:ascii="Arial" w:eastAsia="Times New Roman" w:hAnsi="Arial" w:cs="Arial"/>
          <w:bCs/>
          <w:lang w:eastAsia="cs-CZ"/>
        </w:rPr>
        <w:t>30. 10. 2023</w:t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69D052" w14:textId="77777777" w:rsidR="006544BD" w:rsidRPr="00ED6435" w:rsidRDefault="006544B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72AF945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544BD">
        <w:rPr>
          <w:rFonts w:ascii="Arial" w:eastAsia="Times New Roman" w:hAnsi="Arial" w:cs="Arial"/>
          <w:bCs/>
          <w:lang w:eastAsia="cs-CZ"/>
        </w:rPr>
        <w:t>Mgr. Barbora Salátová</w:t>
      </w:r>
    </w:p>
    <w:p w14:paraId="2AB930F1" w14:textId="77777777" w:rsidR="00466EBD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2C78A0AF" w:rsidR="002C5371" w:rsidRPr="004B45F4" w:rsidRDefault="004B45F4" w:rsidP="00466EB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524165DC" w:rsidR="00BF554C" w:rsidRDefault="00596625">
      <w:pPr>
        <w:spacing w:line="240" w:lineRule="auto"/>
        <w:rPr>
          <w:rFonts w:ascii="Arial" w:hAnsi="Arial" w:cs="Arial"/>
        </w:rPr>
      </w:pPr>
      <w:r w:rsidRPr="00596625">
        <w:rPr>
          <w:rFonts w:ascii="Arial" w:hAnsi="Arial" w:cs="Arial"/>
        </w:rPr>
        <w:t>v z. Ing. Petra Fuxová</w:t>
      </w:r>
    </w:p>
    <w:p w14:paraId="479B1E61" w14:textId="77777777" w:rsidR="00CE59D4" w:rsidRDefault="00CE59D4">
      <w:pPr>
        <w:spacing w:line="240" w:lineRule="auto"/>
        <w:rPr>
          <w:rFonts w:ascii="Arial" w:hAnsi="Arial" w:cs="Arial"/>
        </w:rPr>
        <w:sectPr w:rsidR="00CE59D4" w:rsidSect="00111558">
          <w:footerReference w:type="default" r:id="rId13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W w:w="1179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6"/>
        <w:gridCol w:w="798"/>
        <w:gridCol w:w="902"/>
        <w:gridCol w:w="1218"/>
        <w:gridCol w:w="1134"/>
        <w:gridCol w:w="1301"/>
        <w:gridCol w:w="965"/>
        <w:gridCol w:w="10"/>
        <w:gridCol w:w="1319"/>
        <w:gridCol w:w="20"/>
        <w:gridCol w:w="13"/>
      </w:tblGrid>
      <w:tr w:rsidR="0016332D" w:rsidRPr="0016332D" w14:paraId="1D2737BB" w14:textId="77777777" w:rsidTr="0016332D">
        <w:trPr>
          <w:gridAfter w:val="2"/>
          <w:wAfter w:w="33" w:type="dxa"/>
          <w:trHeight w:val="84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442C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Položkový výkaz činností –  Příloha ke Smlouvě –  KoPÚ Sedlec u Mšena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FB3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4AEA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AAC1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8D58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6401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6332D" w:rsidRPr="0016332D" w14:paraId="215A11D5" w14:textId="77777777" w:rsidTr="0016332D">
        <w:trPr>
          <w:gridAfter w:val="1"/>
          <w:wAfter w:w="13" w:type="dxa"/>
          <w:trHeight w:val="12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91D1B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26DF3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 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4F739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1148EE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27C8B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4B46A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E172E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aktivace inflační doložky - navýšení jednotkových položkových cen - 10%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17DF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aktivace inflační doložky - cena celkem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CD6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16332D" w:rsidRPr="0016332D" w14:paraId="7FAC4E39" w14:textId="77777777" w:rsidTr="0016332D">
        <w:trPr>
          <w:trHeight w:val="62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E64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11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2149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</w:tr>
      <w:tr w:rsidR="0016332D" w:rsidRPr="0016332D" w14:paraId="33341860" w14:textId="77777777" w:rsidTr="0016332D">
        <w:trPr>
          <w:gridAfter w:val="1"/>
          <w:wAfter w:w="13" w:type="dxa"/>
          <w:trHeight w:val="42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69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929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Revize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B786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E17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C2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FCF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9DA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9DD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13 200,00</w:t>
            </w:r>
          </w:p>
        </w:tc>
        <w:tc>
          <w:tcPr>
            <w:tcW w:w="134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B48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31.10.2023</w:t>
            </w:r>
          </w:p>
        </w:tc>
      </w:tr>
      <w:tr w:rsidR="0016332D" w:rsidRPr="0016332D" w14:paraId="73FCEDD8" w14:textId="77777777" w:rsidTr="0016332D">
        <w:trPr>
          <w:gridAfter w:val="1"/>
          <w:wAfter w:w="13" w:type="dxa"/>
          <w:trHeight w:val="40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7EE58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8D2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Doplnění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A2E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9C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A0A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FFA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883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3 300,00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FBE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13 200,00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396CD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6332D" w:rsidRPr="0016332D" w14:paraId="492D18B2" w14:textId="77777777" w:rsidTr="0016332D">
        <w:trPr>
          <w:gridAfter w:val="1"/>
          <w:wAfter w:w="13" w:type="dxa"/>
          <w:trHeight w:val="5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5A3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6.2.2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62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Podrobné měření polohopisu v obvodu KoPÚ mimo trvalé porosty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AFA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A60E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68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07B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013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FBE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392 700,00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24C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31.10.2023</w:t>
            </w:r>
          </w:p>
        </w:tc>
      </w:tr>
      <w:tr w:rsidR="0016332D" w:rsidRPr="0016332D" w14:paraId="0BA79207" w14:textId="77777777" w:rsidTr="0016332D">
        <w:trPr>
          <w:gridAfter w:val="1"/>
          <w:wAfter w:w="13" w:type="dxa"/>
          <w:trHeight w:val="104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512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6C5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BE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3E9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C64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894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520 000,00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446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55A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572 000,00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4601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28.2.2024</w:t>
            </w:r>
          </w:p>
        </w:tc>
      </w:tr>
      <w:tr w:rsidR="0016332D" w:rsidRPr="0016332D" w14:paraId="7FD286E8" w14:textId="77777777" w:rsidTr="0016332D">
        <w:trPr>
          <w:gridAfter w:val="1"/>
          <w:wAfter w:w="13" w:type="dxa"/>
          <w:trHeight w:val="4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BC1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6.2.7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B8B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C2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CFF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C54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CAC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178 500,00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09E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550,00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074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196 350,00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95B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28.2.2024</w:t>
            </w:r>
          </w:p>
        </w:tc>
      </w:tr>
      <w:tr w:rsidR="0016332D" w:rsidRPr="0016332D" w14:paraId="6A1029E4" w14:textId="77777777" w:rsidTr="0016332D">
        <w:trPr>
          <w:gridAfter w:val="1"/>
          <w:wAfter w:w="13" w:type="dxa"/>
          <w:trHeight w:val="55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69C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5FCB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0C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6A6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635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880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276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11A8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392 700,00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35AD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31.5.2024</w:t>
            </w:r>
          </w:p>
        </w:tc>
      </w:tr>
      <w:tr w:rsidR="0016332D" w:rsidRPr="0016332D" w14:paraId="3615DFF1" w14:textId="77777777" w:rsidTr="0016332D">
        <w:trPr>
          <w:gridAfter w:val="1"/>
          <w:wAfter w:w="13" w:type="dxa"/>
          <w:trHeight w:val="550"/>
        </w:trPr>
        <w:tc>
          <w:tcPr>
            <w:tcW w:w="4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3F67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B3B7AE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A76BC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9F30D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DEAA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1 436 500,00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FD39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560A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1 580 150,00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0EB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31.5.2024</w:t>
            </w:r>
          </w:p>
        </w:tc>
      </w:tr>
      <w:tr w:rsidR="0016332D" w:rsidRPr="0016332D" w14:paraId="697B089C" w14:textId="77777777" w:rsidTr="0016332D">
        <w:trPr>
          <w:trHeight w:val="4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CDE2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11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2F0C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</w:tr>
      <w:tr w:rsidR="0016332D" w:rsidRPr="0016332D" w14:paraId="4D4875E0" w14:textId="77777777" w:rsidTr="0016332D">
        <w:trPr>
          <w:gridAfter w:val="1"/>
          <w:wAfter w:w="13" w:type="dxa"/>
          <w:trHeight w:val="6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17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365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16DE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E8C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25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CB7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357 000,00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462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5F2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392 700,00</w:t>
            </w:r>
          </w:p>
        </w:tc>
        <w:tc>
          <w:tcPr>
            <w:tcW w:w="134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9CB4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31.3.2025</w:t>
            </w:r>
          </w:p>
        </w:tc>
      </w:tr>
      <w:tr w:rsidR="0016332D" w:rsidRPr="0016332D" w14:paraId="263AB64C" w14:textId="77777777" w:rsidTr="0016332D">
        <w:trPr>
          <w:gridAfter w:val="1"/>
          <w:wAfter w:w="13" w:type="dxa"/>
          <w:trHeight w:val="6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01C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A668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BFB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CAD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66A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AED6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9 000,00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A4D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550,00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969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9 900,00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6C11A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6332D" w:rsidRPr="0016332D" w14:paraId="4187A9AA" w14:textId="77777777" w:rsidTr="0016332D">
        <w:trPr>
          <w:gridAfter w:val="1"/>
          <w:wAfter w:w="13" w:type="dxa"/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4FC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B0A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BA3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D3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F0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24D1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9 900,00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4E6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CAD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10 890,00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C474A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6332D" w:rsidRPr="0016332D" w14:paraId="611409F0" w14:textId="77777777" w:rsidTr="0016332D">
        <w:trPr>
          <w:gridAfter w:val="1"/>
          <w:wAfter w:w="13" w:type="dxa"/>
          <w:trHeight w:val="966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B90D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D67A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D5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FC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9EF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487D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B3E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36F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6E60C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6332D" w:rsidRPr="0016332D" w14:paraId="74ED557E" w14:textId="77777777" w:rsidTr="0016332D">
        <w:trPr>
          <w:gridAfter w:val="1"/>
          <w:wAfter w:w="13" w:type="dxa"/>
          <w:trHeight w:val="6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E232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E594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vodohospodářských staveb PSZ dle čl. 6.3.1 i) c) Smlouvy 2)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63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F53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54F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D3A1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3A0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3A6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3075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6332D" w:rsidRPr="0016332D" w14:paraId="5E1DEC58" w14:textId="77777777" w:rsidTr="0016332D">
        <w:trPr>
          <w:gridAfter w:val="1"/>
          <w:wAfter w:w="13" w:type="dxa"/>
          <w:trHeight w:val="6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A82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h)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0DE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11)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002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E99BC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0A34E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9C555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681BE4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A6D3F9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2DA4F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5D1E0041" w14:textId="77777777" w:rsidTr="0016332D">
        <w:trPr>
          <w:gridAfter w:val="1"/>
          <w:wAfter w:w="13" w:type="dxa"/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E5A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h) i)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10E8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do 10 ha 11)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AF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6D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A18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385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4575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7 700,00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A5F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7 700,00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42B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6332D" w:rsidRPr="0016332D" w14:paraId="274B3E4C" w14:textId="77777777" w:rsidTr="0016332D">
        <w:trPr>
          <w:gridAfter w:val="1"/>
          <w:wAfter w:w="13" w:type="dxa"/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AA0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h)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EEBE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do 50 ha 11)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FD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832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43E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62C3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38E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4 400,00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EAD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4 400,00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823E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6332D" w:rsidRPr="0016332D" w14:paraId="7D7E7759" w14:textId="77777777" w:rsidTr="0016332D">
        <w:trPr>
          <w:gridAfter w:val="1"/>
          <w:wAfter w:w="13" w:type="dxa"/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9ED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h)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3B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nad 50 ha 11)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A4A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1B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C12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A8D3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82F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1 650,00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637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1 650,00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C49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6332D" w:rsidRPr="0016332D" w14:paraId="77E7AB36" w14:textId="77777777" w:rsidTr="0016332D">
        <w:trPr>
          <w:gridAfter w:val="1"/>
          <w:wAfter w:w="13" w:type="dxa"/>
          <w:trHeight w:val="8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A0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7D5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42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20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B92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2257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4377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FFBD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392 700,00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12E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31.3.2026</w:t>
            </w:r>
          </w:p>
        </w:tc>
      </w:tr>
      <w:tr w:rsidR="0016332D" w:rsidRPr="0016332D" w14:paraId="39597D1D" w14:textId="77777777" w:rsidTr="0016332D">
        <w:trPr>
          <w:gridAfter w:val="1"/>
          <w:wAfter w:w="13" w:type="dxa"/>
          <w:trHeight w:val="6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368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6.3.3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688D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DA1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6C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80D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B92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0450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5871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22 000,00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843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16332D" w:rsidRPr="0016332D" w14:paraId="1F98D9FF" w14:textId="77777777" w:rsidTr="0016332D">
        <w:trPr>
          <w:gridAfter w:val="1"/>
          <w:wAfter w:w="13" w:type="dxa"/>
          <w:trHeight w:val="55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856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6.3.4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97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Zhotovení podkladů pro změnu katastrální hranice 3)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94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91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8F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B97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071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759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28 600,00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197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6332D" w:rsidRPr="0016332D" w14:paraId="55C37182" w14:textId="77777777" w:rsidTr="0016332D">
        <w:trPr>
          <w:gridAfter w:val="1"/>
          <w:wAfter w:w="13" w:type="dxa"/>
          <w:trHeight w:val="63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CC4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6.3.5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767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12)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D06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88C2D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A8115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AD2E6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D95D4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DBB04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056A1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2DE0161E" w14:textId="77777777" w:rsidTr="0016332D">
        <w:trPr>
          <w:gridAfter w:val="1"/>
          <w:wAfter w:w="13" w:type="dxa"/>
          <w:trHeight w:val="69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65D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6.3.5 i)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162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do 10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7C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181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460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4C2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D38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7 700,00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A7D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7 700,00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6FB3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6332D" w:rsidRPr="0016332D" w14:paraId="34E17B31" w14:textId="77777777" w:rsidTr="0016332D">
        <w:trPr>
          <w:gridAfter w:val="1"/>
          <w:wAfter w:w="13" w:type="dxa"/>
          <w:trHeight w:val="70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4C0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6.3.5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4D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do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9E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C84B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DC3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EAE5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BA9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4 400,00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05E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4 400,00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77A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6332D" w:rsidRPr="0016332D" w14:paraId="0EFF967C" w14:textId="77777777" w:rsidTr="0016332D">
        <w:trPr>
          <w:gridAfter w:val="1"/>
          <w:wAfter w:w="13" w:type="dxa"/>
          <w:trHeight w:val="69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6C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6.3.5 </w:t>
            </w:r>
            <w:proofErr w:type="spellStart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5652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nad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681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640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A3E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DD2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240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1 650,00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CCB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1 650,00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C209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6332D" w:rsidRPr="0016332D" w14:paraId="4DC31E34" w14:textId="77777777" w:rsidTr="0016332D">
        <w:trPr>
          <w:gridAfter w:val="1"/>
          <w:wAfter w:w="13" w:type="dxa"/>
          <w:trHeight w:val="690"/>
        </w:trPr>
        <w:tc>
          <w:tcPr>
            <w:tcW w:w="4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3CC3E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438E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6DFFC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51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240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803 900,00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89B4C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A976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884 290,00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969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16332D" w:rsidRPr="0016332D" w14:paraId="2299DCC8" w14:textId="77777777" w:rsidTr="0016332D">
        <w:trPr>
          <w:gridAfter w:val="1"/>
          <w:wAfter w:w="13" w:type="dxa"/>
          <w:trHeight w:val="6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8F73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17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97D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C608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C4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7B2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178 500,00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1656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550,00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D6CF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196 350,00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2768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6332D" w:rsidRPr="0016332D" w14:paraId="70FA508F" w14:textId="77777777" w:rsidTr="0016332D">
        <w:trPr>
          <w:gridAfter w:val="1"/>
          <w:wAfter w:w="13" w:type="dxa"/>
          <w:trHeight w:val="696"/>
        </w:trPr>
        <w:tc>
          <w:tcPr>
            <w:tcW w:w="4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79FEE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F149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51E3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95B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4AED4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178 500,00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3F2C1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93C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196 350,00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25F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16332D" w:rsidRPr="0016332D" w14:paraId="44A6CE29" w14:textId="77777777" w:rsidTr="0016332D">
        <w:trPr>
          <w:trHeight w:val="537"/>
        </w:trPr>
        <w:tc>
          <w:tcPr>
            <w:tcW w:w="1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17F20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</w:tr>
      <w:tr w:rsidR="0016332D" w:rsidRPr="0016332D" w14:paraId="553292E9" w14:textId="77777777" w:rsidTr="0016332D">
        <w:trPr>
          <w:gridAfter w:val="1"/>
          <w:wAfter w:w="13" w:type="dxa"/>
          <w:trHeight w:val="623"/>
        </w:trPr>
        <w:tc>
          <w:tcPr>
            <w:tcW w:w="41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C51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3CFF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ED5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8E5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C10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1 436 500,00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579A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AE54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1 580 150,00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0677E7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4F3EA78E" w14:textId="77777777" w:rsidTr="0016332D">
        <w:trPr>
          <w:gridAfter w:val="1"/>
          <w:wAfter w:w="13" w:type="dxa"/>
          <w:trHeight w:val="623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51D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55AA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2337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C14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D75F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803 900,00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B1B9F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F80DF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884 290,00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3FCA3E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4D86FEB1" w14:textId="77777777" w:rsidTr="0016332D">
        <w:trPr>
          <w:gridAfter w:val="1"/>
          <w:wAfter w:w="13" w:type="dxa"/>
          <w:trHeight w:val="623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D62B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27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4D3F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C17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6CA7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178 500,00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33BC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822F9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196 350,00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D2655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2F79F1FE" w14:textId="77777777" w:rsidTr="0016332D">
        <w:trPr>
          <w:gridAfter w:val="1"/>
          <w:wAfter w:w="13" w:type="dxa"/>
          <w:trHeight w:val="623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3B4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D57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7159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F0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3F3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2 418 900,00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6245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3C79B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2 660 790,00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6D7DA5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181B8E3C" w14:textId="77777777" w:rsidTr="0016332D">
        <w:trPr>
          <w:gridAfter w:val="1"/>
          <w:wAfter w:w="13" w:type="dxa"/>
          <w:trHeight w:val="623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8F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1DA7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4E61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0B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186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507 969,00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771D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1421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558 765,90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FEE81D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43023FD8" w14:textId="77777777" w:rsidTr="0016332D">
        <w:trPr>
          <w:gridAfter w:val="1"/>
          <w:wAfter w:w="13" w:type="dxa"/>
          <w:trHeight w:val="623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444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1F4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A55D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8799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D5DE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2 926 869,00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384F5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086A5" w14:textId="77777777" w:rsidR="0016332D" w:rsidRPr="0016332D" w:rsidRDefault="0016332D" w:rsidP="00163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3 219 555,90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EA210A" w14:textId="77777777" w:rsidR="0016332D" w:rsidRPr="0016332D" w:rsidRDefault="0016332D" w:rsidP="0016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76B7DBE5" w14:textId="77777777" w:rsidTr="0016332D">
        <w:trPr>
          <w:trHeight w:val="420"/>
        </w:trPr>
        <w:tc>
          <w:tcPr>
            <w:tcW w:w="11793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818AF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6332D" w:rsidRPr="0016332D" w14:paraId="34A7B105" w14:textId="77777777" w:rsidTr="0016332D">
        <w:trPr>
          <w:gridAfter w:val="2"/>
          <w:wAfter w:w="33" w:type="dxa"/>
          <w:trHeight w:val="975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D6BB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Česká republika – Státní pozemkový úřad </w:t>
            </w: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8532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POZEMKOVÉ ÚPRAVY K+V s.r.o.</w:t>
            </w:r>
          </w:p>
        </w:tc>
      </w:tr>
      <w:tr w:rsidR="0016332D" w:rsidRPr="0016332D" w14:paraId="1234D652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EF3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Místo: Praha</w:t>
            </w: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3DF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Místo: Plzeň</w:t>
            </w:r>
          </w:p>
        </w:tc>
      </w:tr>
      <w:tr w:rsidR="0016332D" w:rsidRPr="0016332D" w14:paraId="14B4A9E0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B400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Datum: 2.11.2023</w:t>
            </w: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1DEC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Datum: 30.10.2023</w:t>
            </w:r>
          </w:p>
        </w:tc>
      </w:tr>
      <w:tr w:rsidR="0016332D" w:rsidRPr="0016332D" w14:paraId="29FDE92F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A042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F26D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6332D" w:rsidRPr="0016332D" w14:paraId="114B20B7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55980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1F1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6332D" w:rsidRPr="0016332D" w14:paraId="63734816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D131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DEE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6332D" w:rsidRPr="0016332D" w14:paraId="4CB5B34D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7205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________________________________ </w:t>
            </w: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1796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________________________________ </w:t>
            </w:r>
          </w:p>
        </w:tc>
      </w:tr>
      <w:tr w:rsidR="0016332D" w:rsidRPr="0016332D" w14:paraId="748FAB27" w14:textId="77777777" w:rsidTr="0016332D">
        <w:trPr>
          <w:gridAfter w:val="2"/>
          <w:wAfter w:w="33" w:type="dxa"/>
          <w:trHeight w:val="42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7AB2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Jméno: Ing. Jiří Veselý</w:t>
            </w: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E3D2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Jméno: Mgr. Barbora Salátová</w:t>
            </w:r>
          </w:p>
        </w:tc>
      </w:tr>
      <w:tr w:rsidR="0016332D" w:rsidRPr="0016332D" w14:paraId="1ECE4C39" w14:textId="77777777" w:rsidTr="0016332D">
        <w:trPr>
          <w:gridAfter w:val="2"/>
          <w:wAfter w:w="33" w:type="dxa"/>
          <w:trHeight w:val="645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FC64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6C0E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Funkce: jednatel </w:t>
            </w:r>
          </w:p>
        </w:tc>
      </w:tr>
      <w:tr w:rsidR="0016332D" w:rsidRPr="0016332D" w14:paraId="644F2427" w14:textId="77777777" w:rsidTr="0016332D">
        <w:trPr>
          <w:gridAfter w:val="1"/>
          <w:wAfter w:w="13" w:type="dxa"/>
          <w:trHeight w:val="420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F933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63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 z. Ing. Petra Fuxová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1934" w14:textId="77777777" w:rsidR="0016332D" w:rsidRPr="0016332D" w:rsidRDefault="0016332D" w:rsidP="0016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2CD82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EA76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A2D5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A9C8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46C9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3A7F" w14:textId="77777777" w:rsidR="0016332D" w:rsidRPr="0016332D" w:rsidRDefault="0016332D" w:rsidP="0016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5F5CCFAB" w14:textId="77777777" w:rsidR="003D036B" w:rsidRDefault="003D036B" w:rsidP="0016332D">
      <w:pPr>
        <w:spacing w:line="240" w:lineRule="auto"/>
        <w:rPr>
          <w:rFonts w:ascii="Arial" w:hAnsi="Arial" w:cs="Arial"/>
        </w:rPr>
      </w:pPr>
    </w:p>
    <w:sectPr w:rsidR="003D036B" w:rsidSect="0016332D">
      <w:pgSz w:w="11907" w:h="16839" w:code="9"/>
      <w:pgMar w:top="284" w:right="1077" w:bottom="426" w:left="1077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4069" w14:textId="77777777" w:rsidR="00B67F31" w:rsidRDefault="00B67F31" w:rsidP="007936E4">
      <w:pPr>
        <w:spacing w:after="0"/>
      </w:pPr>
      <w:r>
        <w:separator/>
      </w:r>
    </w:p>
  </w:endnote>
  <w:endnote w:type="continuationSeparator" w:id="0">
    <w:p w14:paraId="457C7DFA" w14:textId="77777777" w:rsidR="00B67F31" w:rsidRDefault="00B67F31" w:rsidP="007936E4">
      <w:pPr>
        <w:spacing w:after="0"/>
      </w:pPr>
      <w:r>
        <w:continuationSeparator/>
      </w:r>
    </w:p>
  </w:endnote>
  <w:endnote w:type="continuationNotice" w:id="1">
    <w:p w14:paraId="30D27D5B" w14:textId="77777777" w:rsidR="00B67F31" w:rsidRDefault="00B67F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9FBC" w14:textId="77777777" w:rsidR="00B67F31" w:rsidRDefault="00B67F31" w:rsidP="007936E4">
      <w:pPr>
        <w:spacing w:after="0"/>
      </w:pPr>
      <w:r>
        <w:separator/>
      </w:r>
    </w:p>
  </w:footnote>
  <w:footnote w:type="continuationSeparator" w:id="0">
    <w:p w14:paraId="31E92929" w14:textId="77777777" w:rsidR="00B67F31" w:rsidRDefault="00B67F31" w:rsidP="007936E4">
      <w:pPr>
        <w:spacing w:after="0"/>
      </w:pPr>
      <w:r>
        <w:continuationSeparator/>
      </w:r>
    </w:p>
  </w:footnote>
  <w:footnote w:type="continuationNotice" w:id="1">
    <w:p w14:paraId="28C9A6A2" w14:textId="77777777" w:rsidR="00B67F31" w:rsidRDefault="00B67F31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68A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0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97F6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721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1952"/>
    <w:rsid w:val="000D24BD"/>
    <w:rsid w:val="000D27D5"/>
    <w:rsid w:val="000D2B45"/>
    <w:rsid w:val="000D377C"/>
    <w:rsid w:val="000D3A4B"/>
    <w:rsid w:val="000D3F8A"/>
    <w:rsid w:val="000D4631"/>
    <w:rsid w:val="000D482E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989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937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6FCF"/>
    <w:rsid w:val="00117696"/>
    <w:rsid w:val="00120221"/>
    <w:rsid w:val="001208EE"/>
    <w:rsid w:val="00120D0A"/>
    <w:rsid w:val="001212CE"/>
    <w:rsid w:val="00121AD3"/>
    <w:rsid w:val="00122C3D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32D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08A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866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3E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DF8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A6F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2D5"/>
    <w:rsid w:val="00215588"/>
    <w:rsid w:val="00216E03"/>
    <w:rsid w:val="0021777A"/>
    <w:rsid w:val="00217A40"/>
    <w:rsid w:val="00217CC6"/>
    <w:rsid w:val="00217E8B"/>
    <w:rsid w:val="00220354"/>
    <w:rsid w:val="00222401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2D44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56F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EF2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933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7DC"/>
    <w:rsid w:val="003242CE"/>
    <w:rsid w:val="003244C5"/>
    <w:rsid w:val="00324670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AAB"/>
    <w:rsid w:val="00390120"/>
    <w:rsid w:val="00390270"/>
    <w:rsid w:val="00390DC9"/>
    <w:rsid w:val="0039121C"/>
    <w:rsid w:val="00391B8A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037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340D"/>
    <w:rsid w:val="003C37E4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6D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FB1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95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7147"/>
    <w:rsid w:val="0044100B"/>
    <w:rsid w:val="004416DF"/>
    <w:rsid w:val="00441890"/>
    <w:rsid w:val="004440B2"/>
    <w:rsid w:val="004441F1"/>
    <w:rsid w:val="00444E8F"/>
    <w:rsid w:val="004455DC"/>
    <w:rsid w:val="0044572B"/>
    <w:rsid w:val="00445CC1"/>
    <w:rsid w:val="00446D15"/>
    <w:rsid w:val="0044709E"/>
    <w:rsid w:val="004473A4"/>
    <w:rsid w:val="00447F54"/>
    <w:rsid w:val="00450440"/>
    <w:rsid w:val="004517C7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11F"/>
    <w:rsid w:val="00465327"/>
    <w:rsid w:val="004657EA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390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CF3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165"/>
    <w:rsid w:val="00495989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CE2"/>
    <w:rsid w:val="004D10C9"/>
    <w:rsid w:val="004D1E9A"/>
    <w:rsid w:val="004D27E0"/>
    <w:rsid w:val="004D2BF2"/>
    <w:rsid w:val="004D332A"/>
    <w:rsid w:val="004D3440"/>
    <w:rsid w:val="004D3FB2"/>
    <w:rsid w:val="004D3FFB"/>
    <w:rsid w:val="004D4225"/>
    <w:rsid w:val="004D44B2"/>
    <w:rsid w:val="004D4A44"/>
    <w:rsid w:val="004D53A8"/>
    <w:rsid w:val="004D60DC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510"/>
    <w:rsid w:val="004F04AB"/>
    <w:rsid w:val="004F08F1"/>
    <w:rsid w:val="004F0BCD"/>
    <w:rsid w:val="004F2454"/>
    <w:rsid w:val="004F26A7"/>
    <w:rsid w:val="004F3161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96B"/>
    <w:rsid w:val="00582E32"/>
    <w:rsid w:val="00582E7C"/>
    <w:rsid w:val="00583B1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625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97A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51D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5A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989"/>
    <w:rsid w:val="00620B2E"/>
    <w:rsid w:val="00622F03"/>
    <w:rsid w:val="00623AB5"/>
    <w:rsid w:val="0062419E"/>
    <w:rsid w:val="006241CF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D2F"/>
    <w:rsid w:val="006400F5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1A7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4BD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78B"/>
    <w:rsid w:val="006810E8"/>
    <w:rsid w:val="00682382"/>
    <w:rsid w:val="006846A3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208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261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C42"/>
    <w:rsid w:val="00737E37"/>
    <w:rsid w:val="007400FD"/>
    <w:rsid w:val="00741178"/>
    <w:rsid w:val="00742AB4"/>
    <w:rsid w:val="007430C5"/>
    <w:rsid w:val="00743BC6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1B3"/>
    <w:rsid w:val="00757230"/>
    <w:rsid w:val="0075737B"/>
    <w:rsid w:val="007605EF"/>
    <w:rsid w:val="00760763"/>
    <w:rsid w:val="00760895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EC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962"/>
    <w:rsid w:val="00772B3B"/>
    <w:rsid w:val="00772F4C"/>
    <w:rsid w:val="0077377A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38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D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EBC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CBC"/>
    <w:rsid w:val="007F349E"/>
    <w:rsid w:val="007F3946"/>
    <w:rsid w:val="007F3DAC"/>
    <w:rsid w:val="007F400B"/>
    <w:rsid w:val="007F408F"/>
    <w:rsid w:val="007F471B"/>
    <w:rsid w:val="007F4DF0"/>
    <w:rsid w:val="007F546E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4E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57850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BB1"/>
    <w:rsid w:val="00895BF5"/>
    <w:rsid w:val="00895DC6"/>
    <w:rsid w:val="00895E59"/>
    <w:rsid w:val="00896A6E"/>
    <w:rsid w:val="00897CD0"/>
    <w:rsid w:val="008A1579"/>
    <w:rsid w:val="008A1A17"/>
    <w:rsid w:val="008A1BB3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965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7D"/>
    <w:rsid w:val="008E5F1A"/>
    <w:rsid w:val="008E636F"/>
    <w:rsid w:val="008E7106"/>
    <w:rsid w:val="008E72EB"/>
    <w:rsid w:val="008F16CC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9"/>
    <w:rsid w:val="00912090"/>
    <w:rsid w:val="0091239E"/>
    <w:rsid w:val="00912CBC"/>
    <w:rsid w:val="0091306D"/>
    <w:rsid w:val="009139FE"/>
    <w:rsid w:val="00914C54"/>
    <w:rsid w:val="00915FFC"/>
    <w:rsid w:val="00916F64"/>
    <w:rsid w:val="009178CD"/>
    <w:rsid w:val="00920359"/>
    <w:rsid w:val="009208A9"/>
    <w:rsid w:val="00921C8C"/>
    <w:rsid w:val="00921D5E"/>
    <w:rsid w:val="009222DF"/>
    <w:rsid w:val="00922384"/>
    <w:rsid w:val="00922688"/>
    <w:rsid w:val="00923F7D"/>
    <w:rsid w:val="0092408F"/>
    <w:rsid w:val="00925260"/>
    <w:rsid w:val="009252CC"/>
    <w:rsid w:val="0092536E"/>
    <w:rsid w:val="00925BB8"/>
    <w:rsid w:val="009263F2"/>
    <w:rsid w:val="009266E5"/>
    <w:rsid w:val="009267F8"/>
    <w:rsid w:val="00926847"/>
    <w:rsid w:val="00927C0B"/>
    <w:rsid w:val="00927D99"/>
    <w:rsid w:val="00930719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9E0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750"/>
    <w:rsid w:val="00970C2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A2A"/>
    <w:rsid w:val="009E4CDB"/>
    <w:rsid w:val="009E578E"/>
    <w:rsid w:val="009E686E"/>
    <w:rsid w:val="009E7ADC"/>
    <w:rsid w:val="009F0AC1"/>
    <w:rsid w:val="009F1562"/>
    <w:rsid w:val="009F16F5"/>
    <w:rsid w:val="009F1CF4"/>
    <w:rsid w:val="009F2B8C"/>
    <w:rsid w:val="009F2C07"/>
    <w:rsid w:val="009F2ED3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22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350"/>
    <w:rsid w:val="00A4060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B29"/>
    <w:rsid w:val="00A81564"/>
    <w:rsid w:val="00A82017"/>
    <w:rsid w:val="00A820CD"/>
    <w:rsid w:val="00A829E7"/>
    <w:rsid w:val="00A841D0"/>
    <w:rsid w:val="00A844E8"/>
    <w:rsid w:val="00A85F2D"/>
    <w:rsid w:val="00A873A5"/>
    <w:rsid w:val="00A87672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A50"/>
    <w:rsid w:val="00AB73DE"/>
    <w:rsid w:val="00AC09E6"/>
    <w:rsid w:val="00AC1BD2"/>
    <w:rsid w:val="00AC27CF"/>
    <w:rsid w:val="00AC40B5"/>
    <w:rsid w:val="00AC4980"/>
    <w:rsid w:val="00AC4D08"/>
    <w:rsid w:val="00AC50AA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5CE3"/>
    <w:rsid w:val="00AD602D"/>
    <w:rsid w:val="00AD69FC"/>
    <w:rsid w:val="00AE08CC"/>
    <w:rsid w:val="00AE0B79"/>
    <w:rsid w:val="00AE0E96"/>
    <w:rsid w:val="00AE19D7"/>
    <w:rsid w:val="00AE1A31"/>
    <w:rsid w:val="00AE1B63"/>
    <w:rsid w:val="00AE2345"/>
    <w:rsid w:val="00AE3151"/>
    <w:rsid w:val="00AE32BD"/>
    <w:rsid w:val="00AE36A3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25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F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F68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B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930"/>
    <w:rsid w:val="00B66FB1"/>
    <w:rsid w:val="00B67221"/>
    <w:rsid w:val="00B67F3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6B7"/>
    <w:rsid w:val="00BB0AA2"/>
    <w:rsid w:val="00BB0C7E"/>
    <w:rsid w:val="00BB0C82"/>
    <w:rsid w:val="00BB11DA"/>
    <w:rsid w:val="00BB13C6"/>
    <w:rsid w:val="00BB15D4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352"/>
    <w:rsid w:val="00BC3C64"/>
    <w:rsid w:val="00BC3CBC"/>
    <w:rsid w:val="00BC54BD"/>
    <w:rsid w:val="00BC57ED"/>
    <w:rsid w:val="00BC5D6A"/>
    <w:rsid w:val="00BC732D"/>
    <w:rsid w:val="00BC7B0A"/>
    <w:rsid w:val="00BD0032"/>
    <w:rsid w:val="00BD0257"/>
    <w:rsid w:val="00BD329D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DC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54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2D5"/>
    <w:rsid w:val="00C755A4"/>
    <w:rsid w:val="00C7749F"/>
    <w:rsid w:val="00C77769"/>
    <w:rsid w:val="00C77DDC"/>
    <w:rsid w:val="00C81485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87AA6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C75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DF"/>
    <w:rsid w:val="00CE2BE6"/>
    <w:rsid w:val="00CE2E1E"/>
    <w:rsid w:val="00CE3C88"/>
    <w:rsid w:val="00CE52EE"/>
    <w:rsid w:val="00CE56FF"/>
    <w:rsid w:val="00CE59D4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CC1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59B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C87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01"/>
    <w:rsid w:val="00D54AD2"/>
    <w:rsid w:val="00D54C28"/>
    <w:rsid w:val="00D5526A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C9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061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348"/>
    <w:rsid w:val="00DA386C"/>
    <w:rsid w:val="00DA3F31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0C08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89F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17327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0D"/>
    <w:rsid w:val="00E87EEA"/>
    <w:rsid w:val="00E93011"/>
    <w:rsid w:val="00E9368E"/>
    <w:rsid w:val="00E952EA"/>
    <w:rsid w:val="00E95BEF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D0A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3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775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D47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2C1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D4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62D4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62D4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1828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76</cp:revision>
  <cp:lastPrinted>2023-10-30T08:42:00Z</cp:lastPrinted>
  <dcterms:created xsi:type="dcterms:W3CDTF">2023-10-26T06:58:00Z</dcterms:created>
  <dcterms:modified xsi:type="dcterms:W3CDTF">2023-11-02T06:42:00Z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