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0A5C8" w14:textId="2974DE5A" w:rsidR="007055BE" w:rsidRPr="005A4592" w:rsidRDefault="00FB1BB0" w:rsidP="00F12E35">
      <w:pPr>
        <w:pStyle w:val="Bezmezer"/>
        <w:spacing w:after="120"/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C520CC">
        <w:rPr>
          <w:rFonts w:ascii="Segoe UI" w:hAnsi="Segoe UI" w:cs="Segoe UI"/>
          <w:b/>
        </w:rPr>
        <w:t>PŘÍLOHA Č.</w:t>
      </w:r>
      <w:r w:rsidR="00AC23B0" w:rsidRPr="00C520CC">
        <w:rPr>
          <w:rFonts w:ascii="Segoe UI" w:hAnsi="Segoe UI" w:cs="Segoe UI"/>
          <w:b/>
        </w:rPr>
        <w:t xml:space="preserve"> </w:t>
      </w:r>
      <w:r w:rsidR="00CE1E8C" w:rsidRPr="00C520CC">
        <w:rPr>
          <w:rFonts w:ascii="Segoe UI" w:hAnsi="Segoe UI" w:cs="Segoe UI"/>
          <w:b/>
        </w:rPr>
        <w:t>4</w:t>
      </w:r>
    </w:p>
    <w:p w14:paraId="20F501F0" w14:textId="7DA30CDA" w:rsidR="00B10946" w:rsidRPr="005A4592" w:rsidRDefault="00FB1BB0" w:rsidP="00F12E35">
      <w:pPr>
        <w:pStyle w:val="Bezmezer"/>
        <w:spacing w:after="240"/>
        <w:jc w:val="center"/>
        <w:rPr>
          <w:rFonts w:ascii="Segoe UI" w:hAnsi="Segoe UI" w:cs="Segoe UI"/>
        </w:rPr>
      </w:pPr>
      <w:r w:rsidRPr="005A4592">
        <w:rPr>
          <w:rFonts w:ascii="Segoe UI" w:hAnsi="Segoe UI" w:cs="Segoe UI"/>
          <w:b/>
        </w:rPr>
        <w:t>POŽADAVKY NA FINANČNÍ MODEL</w:t>
      </w:r>
    </w:p>
    <w:p w14:paraId="043A57B9" w14:textId="135BEBBC" w:rsidR="00470D9C" w:rsidRPr="005A4592" w:rsidRDefault="00B10946" w:rsidP="00F12E35">
      <w:pPr>
        <w:pStyle w:val="Bezmezer"/>
        <w:spacing w:before="120" w:after="240"/>
        <w:jc w:val="both"/>
      </w:pPr>
      <w:r w:rsidRPr="005A4592">
        <w:rPr>
          <w:rFonts w:ascii="Segoe UI" w:hAnsi="Segoe UI" w:cs="Segoe UI"/>
        </w:rPr>
        <w:t xml:space="preserve">Pro účely této přílohy se pod pojmem „projekt“ rozumí plánovaná ekonomika Koncesionáře související s plněním Smlouvy do Dne uplynutí, tj. zejména Projektování, Inženýringu, </w:t>
      </w:r>
      <w:r w:rsidR="000E6112" w:rsidRPr="005A4592">
        <w:rPr>
          <w:rFonts w:ascii="Segoe UI" w:hAnsi="Segoe UI" w:cs="Segoe UI"/>
        </w:rPr>
        <w:t xml:space="preserve">dodání Mobiliáře, </w:t>
      </w:r>
      <w:r w:rsidR="00CE1E8C">
        <w:rPr>
          <w:rFonts w:ascii="Segoe UI" w:hAnsi="Segoe UI" w:cs="Segoe UI"/>
        </w:rPr>
        <w:t>Nového pavilonu</w:t>
      </w:r>
      <w:r w:rsidR="00280115" w:rsidRPr="005A4592">
        <w:rPr>
          <w:rFonts w:ascii="Segoe UI" w:hAnsi="Segoe UI" w:cs="Segoe UI"/>
        </w:rPr>
        <w:t xml:space="preserve"> </w:t>
      </w:r>
      <w:r w:rsidR="000E6112" w:rsidRPr="005A4592">
        <w:rPr>
          <w:rFonts w:ascii="Segoe UI" w:hAnsi="Segoe UI" w:cs="Segoe UI"/>
        </w:rPr>
        <w:t>a poskytování Služeb</w:t>
      </w:r>
      <w:r w:rsidR="00EB5846">
        <w:rPr>
          <w:rFonts w:ascii="Segoe UI" w:hAnsi="Segoe UI" w:cs="Segoe UI"/>
        </w:rPr>
        <w:t xml:space="preserve"> v Areálu nemocnice</w:t>
      </w:r>
      <w:r w:rsidR="000E6112" w:rsidRPr="005A4592">
        <w:rPr>
          <w:rFonts w:ascii="Segoe UI" w:hAnsi="Segoe UI" w:cs="Segoe UI"/>
        </w:rPr>
        <w:t>.</w:t>
      </w:r>
    </w:p>
    <w:p w14:paraId="4D440D60" w14:textId="49DC3448" w:rsidR="00470D9C" w:rsidRPr="005A4592" w:rsidRDefault="00A57044" w:rsidP="000747DF">
      <w:pPr>
        <w:pStyle w:val="Bezmezer"/>
        <w:spacing w:before="120" w:after="120"/>
        <w:jc w:val="both"/>
        <w:rPr>
          <w:rFonts w:ascii="Segoe UI" w:hAnsi="Segoe UI" w:cs="Segoe UI"/>
          <w:b/>
          <w:lang w:eastAsia="en-GB"/>
        </w:rPr>
      </w:pPr>
      <w:bookmarkStart w:id="1" w:name="_Toc246750522"/>
      <w:bookmarkStart w:id="2" w:name="_Toc246751133"/>
      <w:r w:rsidRPr="005A4592">
        <w:rPr>
          <w:rFonts w:ascii="Segoe UI" w:hAnsi="Segoe UI" w:cs="Segoe UI"/>
          <w:b/>
        </w:rPr>
        <w:t>Požadavky na podobu</w:t>
      </w:r>
      <w:r w:rsidRPr="005A4592">
        <w:rPr>
          <w:rFonts w:ascii="Segoe UI" w:hAnsi="Segoe UI" w:cs="Segoe UI"/>
        </w:rPr>
        <w:t xml:space="preserve"> </w:t>
      </w:r>
      <w:r w:rsidR="00470D9C" w:rsidRPr="005A4592">
        <w:rPr>
          <w:rFonts w:ascii="Segoe UI" w:hAnsi="Segoe UI" w:cs="Segoe UI"/>
          <w:b/>
          <w:lang w:eastAsia="en-GB"/>
        </w:rPr>
        <w:t>Finanční</w:t>
      </w:r>
      <w:r w:rsidRPr="005A4592">
        <w:rPr>
          <w:rFonts w:ascii="Segoe UI" w:hAnsi="Segoe UI" w:cs="Segoe UI"/>
          <w:b/>
          <w:lang w:eastAsia="en-GB"/>
        </w:rPr>
        <w:t>ho</w:t>
      </w:r>
      <w:r w:rsidR="00F764ED" w:rsidRPr="005A4592">
        <w:rPr>
          <w:rFonts w:ascii="Segoe UI" w:hAnsi="Segoe UI" w:cs="Segoe UI"/>
          <w:b/>
          <w:lang w:eastAsia="en-GB"/>
        </w:rPr>
        <w:t xml:space="preserve"> </w:t>
      </w:r>
      <w:r w:rsidR="00280115" w:rsidRPr="005A4592">
        <w:rPr>
          <w:rFonts w:ascii="Segoe UI" w:hAnsi="Segoe UI" w:cs="Segoe UI"/>
          <w:b/>
          <w:lang w:eastAsia="en-GB"/>
        </w:rPr>
        <w:t>m</w:t>
      </w:r>
      <w:r w:rsidR="00470D9C" w:rsidRPr="005A4592">
        <w:rPr>
          <w:rFonts w:ascii="Segoe UI" w:hAnsi="Segoe UI" w:cs="Segoe UI"/>
          <w:b/>
          <w:lang w:eastAsia="en-GB"/>
        </w:rPr>
        <w:t>odel</w:t>
      </w:r>
      <w:r w:rsidRPr="005A4592">
        <w:rPr>
          <w:rFonts w:ascii="Segoe UI" w:hAnsi="Segoe UI" w:cs="Segoe UI"/>
          <w:b/>
          <w:lang w:eastAsia="en-GB"/>
        </w:rPr>
        <w:t>u</w:t>
      </w:r>
    </w:p>
    <w:p w14:paraId="46C20C6B" w14:textId="1FCE8380" w:rsidR="00470D9C" w:rsidRPr="005A4592" w:rsidRDefault="00F764ED">
      <w:pPr>
        <w:pStyle w:val="Odstavecseseznamem"/>
        <w:numPr>
          <w:ilvl w:val="0"/>
          <w:numId w:val="13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 xml:space="preserve">Finanční </w:t>
      </w:r>
      <w:r w:rsidR="00280115" w:rsidRPr="005A4592">
        <w:rPr>
          <w:rFonts w:ascii="Segoe UI" w:hAnsi="Segoe UI" w:cs="Segoe UI"/>
          <w:szCs w:val="22"/>
          <w:lang w:eastAsia="ar-SA"/>
        </w:rPr>
        <w:t>m</w:t>
      </w:r>
      <w:r w:rsidR="00470D9C" w:rsidRPr="005A4592">
        <w:rPr>
          <w:rFonts w:ascii="Segoe UI" w:hAnsi="Segoe UI" w:cs="Segoe UI"/>
          <w:szCs w:val="22"/>
          <w:lang w:eastAsia="ar-SA"/>
        </w:rPr>
        <w:t xml:space="preserve">odel (dále též </w:t>
      </w:r>
      <w:r w:rsidR="00051B94" w:rsidRPr="005A4592">
        <w:rPr>
          <w:rFonts w:ascii="Segoe UI" w:hAnsi="Segoe UI" w:cs="Segoe UI"/>
          <w:szCs w:val="22"/>
          <w:lang w:eastAsia="ar-SA"/>
        </w:rPr>
        <w:t xml:space="preserve">jen </w:t>
      </w:r>
      <w:r w:rsidR="00470D9C" w:rsidRPr="005A4592">
        <w:rPr>
          <w:rFonts w:ascii="Segoe UI" w:hAnsi="Segoe UI" w:cs="Segoe UI"/>
          <w:szCs w:val="22"/>
          <w:lang w:eastAsia="ar-SA"/>
        </w:rPr>
        <w:t>„</w:t>
      </w:r>
      <w:r w:rsidR="00470D9C" w:rsidRPr="005A4592">
        <w:rPr>
          <w:rFonts w:ascii="Segoe UI" w:hAnsi="Segoe UI" w:cs="Segoe UI"/>
          <w:b/>
          <w:szCs w:val="22"/>
          <w:lang w:eastAsia="ar-SA"/>
        </w:rPr>
        <w:t>FM</w:t>
      </w:r>
      <w:r w:rsidR="00470D9C" w:rsidRPr="005A4592">
        <w:rPr>
          <w:rFonts w:ascii="Segoe UI" w:hAnsi="Segoe UI" w:cs="Segoe UI"/>
          <w:szCs w:val="22"/>
          <w:lang w:eastAsia="ar-SA"/>
        </w:rPr>
        <w:t xml:space="preserve">“) bude zpracován v programu MS Office Excel, nebo bude dodán v souboru s MS Excel </w:t>
      </w:r>
      <w:r w:rsidR="00DD70C6" w:rsidRPr="005A4592">
        <w:rPr>
          <w:rFonts w:ascii="Segoe UI" w:hAnsi="Segoe UI" w:cs="Segoe UI"/>
          <w:szCs w:val="22"/>
          <w:lang w:eastAsia="ar-SA"/>
        </w:rPr>
        <w:t xml:space="preserve">plně </w:t>
      </w:r>
      <w:r w:rsidR="00470D9C" w:rsidRPr="005A4592">
        <w:rPr>
          <w:rFonts w:ascii="Segoe UI" w:hAnsi="Segoe UI" w:cs="Segoe UI"/>
          <w:szCs w:val="22"/>
          <w:lang w:eastAsia="ar-SA"/>
        </w:rPr>
        <w:t>kompatibilním</w:t>
      </w:r>
    </w:p>
    <w:p w14:paraId="1D6337F8" w14:textId="6EEB206A" w:rsidR="00470D9C" w:rsidRPr="005A4592" w:rsidRDefault="00470D9C">
      <w:pPr>
        <w:pStyle w:val="Odstavecseseznamem"/>
        <w:numPr>
          <w:ilvl w:val="0"/>
          <w:numId w:val="13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plně funkční, tzn. fungující vzorce, odkazy a provazby (nebude se jednat o „snímek“ číselných hodnot z</w:t>
      </w:r>
      <w:r w:rsidR="00284FF5" w:rsidRPr="005A4592">
        <w:rPr>
          <w:rFonts w:ascii="Segoe UI" w:hAnsi="Segoe UI" w:cs="Segoe UI"/>
          <w:szCs w:val="22"/>
          <w:lang w:eastAsia="ar-SA"/>
        </w:rPr>
        <w:t xml:space="preserve"> Finančního </w:t>
      </w:r>
      <w:r w:rsidR="00280115" w:rsidRPr="005A4592">
        <w:rPr>
          <w:rFonts w:ascii="Segoe UI" w:hAnsi="Segoe UI" w:cs="Segoe UI"/>
          <w:szCs w:val="22"/>
          <w:lang w:eastAsia="ar-SA"/>
        </w:rPr>
        <w:t>m</w:t>
      </w:r>
      <w:r w:rsidRPr="005A4592">
        <w:rPr>
          <w:rFonts w:ascii="Segoe UI" w:hAnsi="Segoe UI" w:cs="Segoe UI"/>
          <w:szCs w:val="22"/>
          <w:lang w:eastAsia="ar-SA"/>
        </w:rPr>
        <w:t>odelu</w:t>
      </w:r>
      <w:r w:rsidR="00CE1E8C">
        <w:rPr>
          <w:rFonts w:ascii="Segoe UI" w:hAnsi="Segoe UI" w:cs="Segoe UI"/>
          <w:szCs w:val="22"/>
          <w:lang w:eastAsia="ar-SA"/>
        </w:rPr>
        <w:t>, anebo vložené výsledky</w:t>
      </w:r>
      <w:r w:rsidRPr="005A4592">
        <w:rPr>
          <w:rFonts w:ascii="Segoe UI" w:hAnsi="Segoe UI" w:cs="Segoe UI"/>
          <w:szCs w:val="22"/>
          <w:lang w:eastAsia="ar-SA"/>
        </w:rPr>
        <w:t>)</w:t>
      </w:r>
    </w:p>
    <w:p w14:paraId="0266E96F" w14:textId="77777777" w:rsidR="00470D9C" w:rsidRPr="005A4592" w:rsidRDefault="00470D9C">
      <w:pPr>
        <w:pStyle w:val="Odstavecseseznamem"/>
        <w:numPr>
          <w:ilvl w:val="0"/>
          <w:numId w:val="13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Soubor, stejně jako jeho jednotlivé součásti, bude odemčen pro čtení i úpravy (obsah všech buněk bude viditelný – hodnoty i vzorce)</w:t>
      </w:r>
    </w:p>
    <w:p w14:paraId="4115ED9D" w14:textId="77777777" w:rsidR="00C44FC1" w:rsidRPr="005A4592" w:rsidRDefault="00C44FC1">
      <w:pPr>
        <w:pStyle w:val="Odstavecseseznamem"/>
        <w:numPr>
          <w:ilvl w:val="0"/>
          <w:numId w:val="13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i případná makra nebudou chráněna heslem, nebo heslo bude oznámeno Zad</w:t>
      </w:r>
      <w:r w:rsidR="001F5EEB" w:rsidRPr="005A4592">
        <w:rPr>
          <w:rFonts w:ascii="Segoe UI" w:hAnsi="Segoe UI" w:cs="Segoe UI"/>
          <w:szCs w:val="22"/>
          <w:lang w:eastAsia="ar-SA"/>
        </w:rPr>
        <w:t>a</w:t>
      </w:r>
      <w:r w:rsidRPr="005A4592">
        <w:rPr>
          <w:rFonts w:ascii="Segoe UI" w:hAnsi="Segoe UI" w:cs="Segoe UI"/>
          <w:szCs w:val="22"/>
          <w:lang w:eastAsia="ar-SA"/>
        </w:rPr>
        <w:t>vateli</w:t>
      </w:r>
    </w:p>
    <w:p w14:paraId="014972EA" w14:textId="77777777" w:rsidR="00470D9C" w:rsidRPr="005A4592" w:rsidRDefault="00470D9C">
      <w:pPr>
        <w:pStyle w:val="Odstavecseseznamem"/>
        <w:numPr>
          <w:ilvl w:val="0"/>
          <w:numId w:val="13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Všechny listy, řádky, sloupce a buňky budou viditelné (skryté smí být jen sloupce a řádky bez obsahu a odkazů na koncích listů)</w:t>
      </w:r>
    </w:p>
    <w:p w14:paraId="597D9E37" w14:textId="486F5314" w:rsidR="00470D9C" w:rsidRPr="000747DF" w:rsidRDefault="00470D9C" w:rsidP="00F12E35">
      <w:pPr>
        <w:pStyle w:val="Odstavecseseznamem"/>
        <w:numPr>
          <w:ilvl w:val="0"/>
          <w:numId w:val="13"/>
        </w:numPr>
        <w:spacing w:before="120" w:after="240"/>
        <w:ind w:left="714" w:hanging="357"/>
        <w:rPr>
          <w:rFonts w:ascii="Segoe UI" w:hAnsi="Segoe UI" w:cs="Segoe UI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obsahovat všechny potřebné vstupy a nebude odkazovat na externí soubory a data</w:t>
      </w:r>
    </w:p>
    <w:p w14:paraId="432B822A" w14:textId="6324C5A6" w:rsidR="00470D9C" w:rsidRPr="005A4592" w:rsidRDefault="00470D9C" w:rsidP="000747DF">
      <w:pPr>
        <w:pStyle w:val="Seznamsodrkami"/>
        <w:spacing w:before="120" w:after="120"/>
        <w:jc w:val="both"/>
        <w:rPr>
          <w:rFonts w:ascii="Segoe UI" w:hAnsi="Segoe UI" w:cs="Segoe UI"/>
          <w:b/>
          <w:lang w:eastAsia="en-GB"/>
        </w:rPr>
      </w:pPr>
      <w:r w:rsidRPr="005A4592">
        <w:rPr>
          <w:rFonts w:ascii="Segoe UI" w:hAnsi="Segoe UI" w:cs="Segoe UI"/>
          <w:b/>
          <w:lang w:eastAsia="en-GB"/>
        </w:rPr>
        <w:t xml:space="preserve">Principy konstrukce </w:t>
      </w:r>
      <w:r w:rsidR="00284FF5" w:rsidRPr="005A4592">
        <w:rPr>
          <w:rFonts w:ascii="Segoe UI" w:hAnsi="Segoe UI" w:cs="Segoe UI"/>
          <w:b/>
          <w:lang w:eastAsia="en-GB"/>
        </w:rPr>
        <w:t xml:space="preserve">Finančního </w:t>
      </w:r>
      <w:r w:rsidR="00280115" w:rsidRPr="005A4592">
        <w:rPr>
          <w:rFonts w:ascii="Segoe UI" w:hAnsi="Segoe UI" w:cs="Segoe UI"/>
          <w:b/>
          <w:lang w:eastAsia="en-GB"/>
        </w:rPr>
        <w:t>m</w:t>
      </w:r>
      <w:r w:rsidRPr="005A4592">
        <w:rPr>
          <w:rFonts w:ascii="Segoe UI" w:hAnsi="Segoe UI" w:cs="Segoe UI"/>
          <w:b/>
          <w:lang w:eastAsia="en-GB"/>
        </w:rPr>
        <w:t>odelu</w:t>
      </w:r>
    </w:p>
    <w:p w14:paraId="772D6B75" w14:textId="2C9B1664" w:rsidR="00C44FC1" w:rsidRPr="005A4592" w:rsidRDefault="00C44FC1" w:rsidP="000747DF">
      <w:pPr>
        <w:pStyle w:val="Odstavecseseznamem"/>
        <w:numPr>
          <w:ilvl w:val="0"/>
          <w:numId w:val="14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sestaven v souladu s</w:t>
      </w:r>
      <w:r w:rsidR="00284FF5" w:rsidRPr="005A4592">
        <w:rPr>
          <w:rFonts w:ascii="Segoe UI" w:hAnsi="Segoe UI" w:cs="Segoe UI"/>
          <w:szCs w:val="22"/>
          <w:lang w:eastAsia="ar-SA"/>
        </w:rPr>
        <w:t> </w:t>
      </w:r>
      <w:r w:rsidR="00A57044" w:rsidRPr="005A4592">
        <w:rPr>
          <w:rFonts w:ascii="Segoe UI" w:hAnsi="Segoe UI" w:cs="Segoe UI"/>
          <w:szCs w:val="22"/>
          <w:lang w:eastAsia="ar-SA"/>
        </w:rPr>
        <w:t>Právními předpisy</w:t>
      </w:r>
      <w:r w:rsidRPr="005A4592">
        <w:rPr>
          <w:rFonts w:ascii="Segoe UI" w:hAnsi="Segoe UI" w:cs="Segoe UI"/>
          <w:szCs w:val="22"/>
          <w:lang w:eastAsia="ar-SA"/>
        </w:rPr>
        <w:t xml:space="preserve"> a s všeobecně uznávanými účetními postupy v ČR</w:t>
      </w:r>
    </w:p>
    <w:p w14:paraId="24805E6B" w14:textId="77777777" w:rsidR="00470D9C" w:rsidRPr="005A4592" w:rsidRDefault="00470D9C" w:rsidP="000747DF">
      <w:pPr>
        <w:pStyle w:val="Odstavecseseznamem"/>
        <w:numPr>
          <w:ilvl w:val="0"/>
          <w:numId w:val="14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zobrazovat celou plánovanou vnitřní ekonomiku projektu (účelové společnosti)</w:t>
      </w:r>
    </w:p>
    <w:p w14:paraId="6BB2EC89" w14:textId="52F6C7EE" w:rsidR="00470D9C" w:rsidRPr="005A4592" w:rsidRDefault="00470D9C" w:rsidP="000747DF">
      <w:pPr>
        <w:pStyle w:val="Odstavecseseznamem"/>
        <w:numPr>
          <w:ilvl w:val="0"/>
          <w:numId w:val="14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pokrývat celou plánovanou dobu projektu od</w:t>
      </w:r>
      <w:r w:rsidR="00091490">
        <w:rPr>
          <w:rFonts w:ascii="Segoe UI" w:hAnsi="Segoe UI" w:cs="Segoe UI"/>
          <w:szCs w:val="22"/>
          <w:lang w:eastAsia="ar-SA"/>
        </w:rPr>
        <w:t>e Dne účinnosti</w:t>
      </w:r>
      <w:r w:rsidR="00F1725C" w:rsidRPr="005A4592">
        <w:rPr>
          <w:rFonts w:ascii="Segoe UI" w:hAnsi="Segoe UI" w:cs="Segoe UI"/>
          <w:szCs w:val="22"/>
          <w:lang w:eastAsia="ar-SA"/>
        </w:rPr>
        <w:t xml:space="preserve"> </w:t>
      </w:r>
      <w:r w:rsidRPr="005A4592">
        <w:rPr>
          <w:rFonts w:ascii="Segoe UI" w:hAnsi="Segoe UI" w:cs="Segoe UI"/>
          <w:szCs w:val="22"/>
          <w:lang w:eastAsia="ar-SA"/>
        </w:rPr>
        <w:t xml:space="preserve">do </w:t>
      </w:r>
      <w:r w:rsidR="00280115" w:rsidRPr="005A4592">
        <w:rPr>
          <w:rFonts w:ascii="Segoe UI" w:hAnsi="Segoe UI" w:cs="Segoe UI"/>
          <w:szCs w:val="22"/>
          <w:lang w:eastAsia="ar-SA"/>
        </w:rPr>
        <w:t>Dne uplynutí</w:t>
      </w:r>
    </w:p>
    <w:p w14:paraId="4A29306A" w14:textId="77777777" w:rsidR="00470D9C" w:rsidRPr="005A4592" w:rsidRDefault="00470D9C" w:rsidP="000747DF">
      <w:pPr>
        <w:pStyle w:val="Odstavecseseznamem"/>
        <w:numPr>
          <w:ilvl w:val="0"/>
          <w:numId w:val="14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sledovat náklady a výnosy a odvozeně též finanční toky (cash-flow) související s projektem</w:t>
      </w:r>
    </w:p>
    <w:p w14:paraId="29333B09" w14:textId="77777777" w:rsidR="00470D9C" w:rsidRPr="005A4592" w:rsidRDefault="00470D9C" w:rsidP="000747DF">
      <w:pPr>
        <w:pStyle w:val="Odstavecseseznamem"/>
        <w:numPr>
          <w:ilvl w:val="0"/>
          <w:numId w:val="14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samostatně zobrazovat financování projektu</w:t>
      </w:r>
      <w:r w:rsidR="00F764ED" w:rsidRPr="005A4592">
        <w:rPr>
          <w:rFonts w:ascii="Segoe UI" w:hAnsi="Segoe UI" w:cs="Segoe UI"/>
          <w:szCs w:val="22"/>
          <w:lang w:eastAsia="ar-SA"/>
        </w:rPr>
        <w:t>, a to:</w:t>
      </w:r>
    </w:p>
    <w:p w14:paraId="2D6C8AA8" w14:textId="6D89E4A6" w:rsidR="00470D9C" w:rsidRPr="005A4592" w:rsidRDefault="00470D9C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Úvěr</w:t>
      </w:r>
      <w:r w:rsidR="00DD70C6" w:rsidRPr="005A4592">
        <w:rPr>
          <w:rFonts w:ascii="Segoe UI" w:hAnsi="Segoe UI" w:cs="Segoe UI"/>
          <w:szCs w:val="22"/>
          <w:lang w:eastAsia="ar-SA"/>
        </w:rPr>
        <w:t>y</w:t>
      </w:r>
      <w:r w:rsidRPr="005A4592">
        <w:rPr>
          <w:rFonts w:ascii="Segoe UI" w:hAnsi="Segoe UI" w:cs="Segoe UI"/>
          <w:szCs w:val="22"/>
          <w:lang w:eastAsia="ar-SA"/>
        </w:rPr>
        <w:t xml:space="preserve"> (</w:t>
      </w:r>
      <w:r w:rsidR="001F5EEB" w:rsidRPr="005A4592">
        <w:rPr>
          <w:rFonts w:ascii="Segoe UI" w:hAnsi="Segoe UI" w:cs="Segoe UI"/>
          <w:szCs w:val="22"/>
          <w:lang w:eastAsia="ar-SA"/>
        </w:rPr>
        <w:t xml:space="preserve">zvlášť </w:t>
      </w:r>
      <w:r w:rsidR="00F1725C" w:rsidRPr="005A4592">
        <w:rPr>
          <w:rFonts w:ascii="Segoe UI" w:hAnsi="Segoe UI" w:cs="Segoe UI"/>
          <w:szCs w:val="22"/>
          <w:lang w:eastAsia="ar-SA"/>
        </w:rPr>
        <w:t xml:space="preserve">Seniorní úvěr </w:t>
      </w:r>
      <w:r w:rsidR="001F5EEB" w:rsidRPr="005A4592">
        <w:rPr>
          <w:rFonts w:ascii="Segoe UI" w:hAnsi="Segoe UI" w:cs="Segoe UI"/>
          <w:szCs w:val="22"/>
          <w:lang w:eastAsia="ar-SA"/>
        </w:rPr>
        <w:t xml:space="preserve">a ostatní </w:t>
      </w:r>
      <w:r w:rsidRPr="005A4592">
        <w:rPr>
          <w:rFonts w:ascii="Segoe UI" w:hAnsi="Segoe UI" w:cs="Segoe UI"/>
          <w:szCs w:val="22"/>
          <w:lang w:eastAsia="ar-SA"/>
        </w:rPr>
        <w:t xml:space="preserve">financování) – </w:t>
      </w:r>
      <w:r w:rsidR="001F5EEB" w:rsidRPr="005A4592">
        <w:rPr>
          <w:rFonts w:ascii="Segoe UI" w:hAnsi="Segoe UI" w:cs="Segoe UI"/>
          <w:szCs w:val="22"/>
          <w:lang w:eastAsia="ar-SA"/>
        </w:rPr>
        <w:t xml:space="preserve">splátka </w:t>
      </w:r>
      <w:r w:rsidRPr="005A4592">
        <w:rPr>
          <w:rFonts w:ascii="Segoe UI" w:hAnsi="Segoe UI" w:cs="Segoe UI"/>
          <w:szCs w:val="22"/>
          <w:lang w:eastAsia="ar-SA"/>
        </w:rPr>
        <w:t>úrok</w:t>
      </w:r>
      <w:r w:rsidR="001F5EEB" w:rsidRPr="005A4592">
        <w:rPr>
          <w:rFonts w:ascii="Segoe UI" w:hAnsi="Segoe UI" w:cs="Segoe UI"/>
          <w:szCs w:val="22"/>
          <w:lang w:eastAsia="ar-SA"/>
        </w:rPr>
        <w:t>u</w:t>
      </w:r>
      <w:r w:rsidRPr="005A4592">
        <w:rPr>
          <w:rFonts w:ascii="Segoe UI" w:hAnsi="Segoe UI" w:cs="Segoe UI"/>
          <w:szCs w:val="22"/>
          <w:lang w:eastAsia="ar-SA"/>
        </w:rPr>
        <w:t xml:space="preserve">, </w:t>
      </w:r>
      <w:r w:rsidR="001F5EEB" w:rsidRPr="005A4592">
        <w:rPr>
          <w:rFonts w:ascii="Segoe UI" w:hAnsi="Segoe UI" w:cs="Segoe UI"/>
          <w:szCs w:val="22"/>
          <w:lang w:eastAsia="ar-SA"/>
        </w:rPr>
        <w:t>čerpání/</w:t>
      </w:r>
      <w:r w:rsidRPr="005A4592">
        <w:rPr>
          <w:rFonts w:ascii="Segoe UI" w:hAnsi="Segoe UI" w:cs="Segoe UI"/>
          <w:szCs w:val="22"/>
          <w:lang w:eastAsia="ar-SA"/>
        </w:rPr>
        <w:t>splátka jistiny</w:t>
      </w:r>
      <w:r w:rsidR="001F5EEB" w:rsidRPr="005A4592">
        <w:rPr>
          <w:rFonts w:ascii="Segoe UI" w:hAnsi="Segoe UI" w:cs="Segoe UI"/>
          <w:szCs w:val="22"/>
          <w:lang w:eastAsia="ar-SA"/>
        </w:rPr>
        <w:t>, stav úvěru a jiné podstatné informace</w:t>
      </w:r>
    </w:p>
    <w:p w14:paraId="38102653" w14:textId="77777777" w:rsidR="00470D9C" w:rsidRPr="005A4592" w:rsidRDefault="00470D9C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Vklad vlastních zdrojů a jejich vyplácení</w:t>
      </w:r>
    </w:p>
    <w:p w14:paraId="5E9B0914" w14:textId="7A9BF57D" w:rsidR="00470D9C" w:rsidRPr="005A4592" w:rsidRDefault="00470D9C" w:rsidP="000747DF">
      <w:pPr>
        <w:pStyle w:val="Odstavecseseznamem"/>
        <w:numPr>
          <w:ilvl w:val="0"/>
          <w:numId w:val="14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zobrazovat daňové důsledky ekonomiky projektu (zejména DPH a DPPO</w:t>
      </w:r>
      <w:r w:rsidR="00E27535" w:rsidRPr="005A4592">
        <w:rPr>
          <w:rFonts w:ascii="Segoe UI" w:hAnsi="Segoe UI" w:cs="Segoe UI"/>
          <w:szCs w:val="22"/>
          <w:lang w:eastAsia="ar-SA"/>
        </w:rPr>
        <w:t xml:space="preserve"> – daně z příjmu právnických osob</w:t>
      </w:r>
      <w:r w:rsidRPr="005A4592">
        <w:rPr>
          <w:rFonts w:ascii="Segoe UI" w:hAnsi="Segoe UI" w:cs="Segoe UI"/>
          <w:szCs w:val="22"/>
          <w:lang w:eastAsia="ar-SA"/>
        </w:rPr>
        <w:t>)</w:t>
      </w:r>
      <w:r w:rsidR="00C44FC1" w:rsidRPr="005A4592">
        <w:rPr>
          <w:rFonts w:ascii="Segoe UI" w:hAnsi="Segoe UI" w:cs="Segoe UI"/>
          <w:szCs w:val="22"/>
          <w:lang w:eastAsia="ar-SA"/>
        </w:rPr>
        <w:t xml:space="preserve"> a předpokládané daňové sazby</w:t>
      </w:r>
    </w:p>
    <w:p w14:paraId="7CB836AE" w14:textId="14B4E9FA" w:rsidR="00470D9C" w:rsidRDefault="00470D9C" w:rsidP="000747DF">
      <w:pPr>
        <w:pStyle w:val="Odstavecseseznamem"/>
        <w:numPr>
          <w:ilvl w:val="0"/>
          <w:numId w:val="14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 xml:space="preserve">FM bude pracovat s předpokládanou inflací (dle </w:t>
      </w:r>
      <w:r w:rsidR="00714D4D">
        <w:rPr>
          <w:rFonts w:ascii="Segoe UI" w:hAnsi="Segoe UI" w:cs="Segoe UI"/>
          <w:szCs w:val="22"/>
          <w:lang w:eastAsia="ar-SA"/>
        </w:rPr>
        <w:t xml:space="preserve">aktuálních prognóz ČNB/MF ČR a </w:t>
      </w:r>
      <w:r w:rsidRPr="005A4592">
        <w:rPr>
          <w:rFonts w:ascii="Segoe UI" w:hAnsi="Segoe UI" w:cs="Segoe UI"/>
          <w:szCs w:val="22"/>
          <w:lang w:eastAsia="ar-SA"/>
        </w:rPr>
        <w:t>dlouhodobého inflačního cíle ČNB)</w:t>
      </w:r>
      <w:r w:rsidR="00C44FC1" w:rsidRPr="005A4592">
        <w:rPr>
          <w:rFonts w:ascii="Segoe UI" w:hAnsi="Segoe UI" w:cs="Segoe UI"/>
          <w:szCs w:val="22"/>
          <w:lang w:eastAsia="ar-SA"/>
        </w:rPr>
        <w:t xml:space="preserve"> a bude zřejmé, do jakých položek je tato inflace promítnuta</w:t>
      </w:r>
    </w:p>
    <w:p w14:paraId="0BD94910" w14:textId="2568125F" w:rsidR="000748EF" w:rsidRPr="005A4592" w:rsidRDefault="000748EF" w:rsidP="000748EF">
      <w:pPr>
        <w:pStyle w:val="Odstavecseseznamem"/>
        <w:numPr>
          <w:ilvl w:val="0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lastRenderedPageBreak/>
        <w:t xml:space="preserve">FM bude sestaven na roční bázi, tzn., </w:t>
      </w:r>
      <w:r w:rsidR="00E13599">
        <w:rPr>
          <w:rFonts w:ascii="Segoe UI" w:hAnsi="Segoe UI" w:cs="Segoe UI"/>
          <w:szCs w:val="22"/>
          <w:lang w:eastAsia="ar-SA"/>
        </w:rPr>
        <w:t xml:space="preserve">že každý sloupec v excelu </w:t>
      </w:r>
      <w:r w:rsidRPr="005A4592">
        <w:rPr>
          <w:rFonts w:ascii="Segoe UI" w:hAnsi="Segoe UI" w:cs="Segoe UI"/>
          <w:szCs w:val="22"/>
          <w:lang w:eastAsia="ar-SA"/>
        </w:rPr>
        <w:t xml:space="preserve">bude samostatně zobrazovat každý jednotlivý rok projektu počínaje </w:t>
      </w:r>
      <w:r>
        <w:rPr>
          <w:rFonts w:ascii="Segoe UI" w:hAnsi="Segoe UI" w:cs="Segoe UI"/>
          <w:szCs w:val="22"/>
          <w:lang w:eastAsia="ar-SA"/>
        </w:rPr>
        <w:t>Dnem účinnosti</w:t>
      </w:r>
    </w:p>
    <w:p w14:paraId="29D49B25" w14:textId="7B80D00B" w:rsidR="000748EF" w:rsidRDefault="000748EF" w:rsidP="000748EF">
      <w:pPr>
        <w:pStyle w:val="Odstavecseseznamem"/>
        <w:numPr>
          <w:ilvl w:val="0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FM bude sestaven v Kč (nebo v tis. Kč)</w:t>
      </w:r>
    </w:p>
    <w:p w14:paraId="091264C3" w14:textId="038ED97E" w:rsidR="005A79CC" w:rsidRDefault="00E13599" w:rsidP="000748EF">
      <w:pPr>
        <w:pStyle w:val="Odstavecseseznamem"/>
        <w:numPr>
          <w:ilvl w:val="0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 xml:space="preserve">FM bude sestaven </w:t>
      </w:r>
      <w:r w:rsidR="005A79CC">
        <w:rPr>
          <w:rFonts w:ascii="Segoe UI" w:hAnsi="Segoe UI" w:cs="Segoe UI"/>
          <w:szCs w:val="22"/>
          <w:lang w:eastAsia="ar-SA"/>
        </w:rPr>
        <w:t xml:space="preserve">a Zadavateli předložen: </w:t>
      </w:r>
    </w:p>
    <w:p w14:paraId="75D43C7C" w14:textId="24957A4A" w:rsidR="005A79CC" w:rsidRDefault="00B318A9" w:rsidP="005A79CC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>
        <w:rPr>
          <w:rFonts w:ascii="Segoe UI" w:hAnsi="Segoe UI" w:cs="Segoe UI"/>
          <w:szCs w:val="22"/>
          <w:lang w:eastAsia="ar-SA"/>
        </w:rPr>
        <w:t>j</w:t>
      </w:r>
      <w:r w:rsidR="005A79CC">
        <w:rPr>
          <w:rFonts w:ascii="Segoe UI" w:hAnsi="Segoe UI" w:cs="Segoe UI"/>
          <w:szCs w:val="22"/>
          <w:lang w:eastAsia="ar-SA"/>
        </w:rPr>
        <w:t>ako příloha Smlouvy při jejím podpisu</w:t>
      </w:r>
      <w:r>
        <w:rPr>
          <w:rFonts w:ascii="Segoe UI" w:hAnsi="Segoe UI" w:cs="Segoe UI"/>
          <w:szCs w:val="22"/>
          <w:lang w:eastAsia="ar-SA"/>
        </w:rPr>
        <w:t>,</w:t>
      </w:r>
    </w:p>
    <w:p w14:paraId="3F21F58D" w14:textId="491E865A" w:rsidR="005A79CC" w:rsidRDefault="00B318A9" w:rsidP="005A79CC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>
        <w:rPr>
          <w:rFonts w:ascii="Segoe UI" w:hAnsi="Segoe UI" w:cs="Segoe UI"/>
          <w:szCs w:val="22"/>
          <w:lang w:eastAsia="ar-SA"/>
        </w:rPr>
        <w:t>d</w:t>
      </w:r>
      <w:r w:rsidR="005A79CC">
        <w:rPr>
          <w:rFonts w:ascii="Segoe UI" w:hAnsi="Segoe UI" w:cs="Segoe UI"/>
          <w:szCs w:val="22"/>
          <w:lang w:eastAsia="ar-SA"/>
        </w:rPr>
        <w:t xml:space="preserve">o </w:t>
      </w:r>
      <w:r>
        <w:rPr>
          <w:rFonts w:ascii="Segoe UI" w:hAnsi="Segoe UI" w:cs="Segoe UI"/>
          <w:szCs w:val="22"/>
          <w:lang w:eastAsia="ar-SA"/>
        </w:rPr>
        <w:t>6</w:t>
      </w:r>
      <w:r w:rsidR="005A79CC">
        <w:rPr>
          <w:rFonts w:ascii="Segoe UI" w:hAnsi="Segoe UI" w:cs="Segoe UI"/>
          <w:szCs w:val="22"/>
          <w:lang w:eastAsia="ar-SA"/>
        </w:rPr>
        <w:t xml:space="preserve"> měsíců po Dni otevření</w:t>
      </w:r>
      <w:r>
        <w:rPr>
          <w:rFonts w:ascii="Segoe UI" w:hAnsi="Segoe UI" w:cs="Segoe UI"/>
          <w:szCs w:val="22"/>
          <w:lang w:eastAsia="ar-SA"/>
        </w:rPr>
        <w:t>,</w:t>
      </w:r>
    </w:p>
    <w:p w14:paraId="7D981BCE" w14:textId="46C91CB4" w:rsidR="000748EF" w:rsidRPr="000747DF" w:rsidRDefault="00E13599" w:rsidP="00F12E35">
      <w:pPr>
        <w:spacing w:before="120" w:after="240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>a dále v případech, kdy to stanoví Smlouva</w:t>
      </w:r>
      <w:r w:rsidR="00B318A9">
        <w:rPr>
          <w:rFonts w:ascii="Segoe UI" w:hAnsi="Segoe UI" w:cs="Segoe UI"/>
          <w:lang w:eastAsia="ar-SA"/>
        </w:rPr>
        <w:t>.</w:t>
      </w:r>
    </w:p>
    <w:p w14:paraId="58D62026" w14:textId="1438D159" w:rsidR="000748EF" w:rsidRPr="00FB4BCC" w:rsidRDefault="00850CA5" w:rsidP="00F12E35">
      <w:pPr>
        <w:pStyle w:val="Seznamsodrkami"/>
        <w:spacing w:before="120" w:after="120"/>
        <w:contextualSpacing w:val="0"/>
        <w:jc w:val="both"/>
        <w:rPr>
          <w:rFonts w:ascii="Segoe UI" w:hAnsi="Segoe UI" w:cs="Segoe UI"/>
          <w:b/>
          <w:lang w:eastAsia="en-GB"/>
        </w:rPr>
      </w:pPr>
      <w:r w:rsidRPr="000748EF">
        <w:rPr>
          <w:rFonts w:ascii="Segoe UI" w:hAnsi="Segoe UI" w:cs="Segoe UI"/>
          <w:b/>
          <w:lang w:eastAsia="en-GB"/>
        </w:rPr>
        <w:t>Minimální úroveň detailu</w:t>
      </w:r>
      <w:r w:rsidR="006635FF" w:rsidRPr="000748EF">
        <w:rPr>
          <w:rFonts w:ascii="Segoe UI" w:hAnsi="Segoe UI" w:cs="Segoe UI"/>
          <w:b/>
          <w:lang w:eastAsia="en-GB"/>
        </w:rPr>
        <w:t xml:space="preserve"> Finančního </w:t>
      </w:r>
      <w:r w:rsidR="00280115" w:rsidRPr="000748EF">
        <w:rPr>
          <w:rFonts w:ascii="Segoe UI" w:hAnsi="Segoe UI" w:cs="Segoe UI"/>
          <w:b/>
          <w:lang w:eastAsia="en-GB"/>
        </w:rPr>
        <w:t>m</w:t>
      </w:r>
      <w:r w:rsidR="006635FF" w:rsidRPr="000748EF">
        <w:rPr>
          <w:rFonts w:ascii="Segoe UI" w:hAnsi="Segoe UI" w:cs="Segoe UI"/>
          <w:b/>
          <w:lang w:eastAsia="en-GB"/>
        </w:rPr>
        <w:t>odelu</w:t>
      </w:r>
      <w:r w:rsidR="000748EF" w:rsidRPr="000748EF">
        <w:rPr>
          <w:rFonts w:ascii="Segoe UI" w:hAnsi="Segoe UI" w:cs="Segoe UI"/>
          <w:b/>
          <w:lang w:eastAsia="en-GB"/>
        </w:rPr>
        <w:t xml:space="preserve"> </w:t>
      </w:r>
      <w:r w:rsidR="000748EF">
        <w:rPr>
          <w:rFonts w:ascii="Segoe UI" w:hAnsi="Segoe UI" w:cs="Segoe UI"/>
          <w:b/>
          <w:lang w:eastAsia="en-GB"/>
        </w:rPr>
        <w:t>-</w:t>
      </w:r>
      <w:r w:rsidRPr="000748EF">
        <w:rPr>
          <w:rFonts w:ascii="Segoe UI" w:hAnsi="Segoe UI" w:cs="Segoe UI"/>
          <w:b/>
          <w:lang w:eastAsia="en-GB"/>
        </w:rPr>
        <w:t xml:space="preserve"> zobraz</w:t>
      </w:r>
      <w:r w:rsidR="000748EF" w:rsidRPr="000748EF">
        <w:rPr>
          <w:rFonts w:ascii="Segoe UI" w:hAnsi="Segoe UI" w:cs="Segoe UI"/>
          <w:b/>
          <w:lang w:eastAsia="en-GB"/>
        </w:rPr>
        <w:t>ení</w:t>
      </w:r>
      <w:r w:rsidRPr="000748EF">
        <w:rPr>
          <w:rFonts w:ascii="Segoe UI" w:hAnsi="Segoe UI" w:cs="Segoe UI"/>
          <w:b/>
          <w:lang w:eastAsia="en-GB"/>
        </w:rPr>
        <w:t xml:space="preserve"> </w:t>
      </w:r>
      <w:r w:rsidR="00E91429">
        <w:rPr>
          <w:rFonts w:ascii="Segoe UI" w:hAnsi="Segoe UI" w:cs="Segoe UI"/>
          <w:b/>
          <w:lang w:eastAsia="en-GB"/>
        </w:rPr>
        <w:t>min.</w:t>
      </w:r>
      <w:r w:rsidRPr="000748EF">
        <w:rPr>
          <w:rFonts w:ascii="Segoe UI" w:hAnsi="Segoe UI" w:cs="Segoe UI"/>
          <w:b/>
          <w:lang w:eastAsia="en-GB"/>
        </w:rPr>
        <w:t xml:space="preserve"> </w:t>
      </w:r>
      <w:r w:rsidR="000748EF" w:rsidRPr="000748EF">
        <w:rPr>
          <w:rFonts w:ascii="Segoe UI" w:hAnsi="Segoe UI" w:cs="Segoe UI"/>
          <w:b/>
          <w:lang w:eastAsia="en-GB"/>
        </w:rPr>
        <w:t>těchto</w:t>
      </w:r>
      <w:r w:rsidRPr="000748EF">
        <w:rPr>
          <w:rFonts w:ascii="Segoe UI" w:hAnsi="Segoe UI" w:cs="Segoe UI"/>
          <w:b/>
          <w:lang w:eastAsia="en-GB"/>
        </w:rPr>
        <w:t xml:space="preserve"> kategori</w:t>
      </w:r>
      <w:r w:rsidR="000748EF" w:rsidRPr="000748EF">
        <w:rPr>
          <w:rFonts w:ascii="Segoe UI" w:hAnsi="Segoe UI" w:cs="Segoe UI"/>
          <w:b/>
          <w:lang w:eastAsia="en-GB"/>
        </w:rPr>
        <w:t>í</w:t>
      </w:r>
      <w:r w:rsidRPr="000748EF">
        <w:rPr>
          <w:rFonts w:ascii="Segoe UI" w:hAnsi="Segoe UI" w:cs="Segoe UI"/>
          <w:b/>
          <w:lang w:eastAsia="en-GB"/>
        </w:rPr>
        <w:t>:</w:t>
      </w:r>
    </w:p>
    <w:p w14:paraId="406F0E87" w14:textId="0DC3504E" w:rsidR="000748EF" w:rsidRPr="000748EF" w:rsidRDefault="000748EF" w:rsidP="000748EF">
      <w:pPr>
        <w:pStyle w:val="Odstavecseseznamem"/>
        <w:numPr>
          <w:ilvl w:val="0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F94858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INVESTIČNÍ </w:t>
      </w:r>
      <w:r w:rsidR="00764305" w:rsidRPr="00F94858">
        <w:rPr>
          <w:rFonts w:ascii="Segoe UI" w:hAnsi="Segoe UI" w:cs="Segoe UI"/>
          <w:b/>
          <w:bCs/>
          <w:szCs w:val="22"/>
          <w:u w:val="single"/>
          <w:lang w:eastAsia="ar-SA"/>
        </w:rPr>
        <w:t>NÁKLADY</w:t>
      </w:r>
      <w:r w:rsidR="00764305" w:rsidRPr="00F94858">
        <w:rPr>
          <w:rFonts w:ascii="Segoe UI" w:hAnsi="Segoe UI" w:cs="Segoe UI"/>
          <w:szCs w:val="22"/>
          <w:u w:val="single"/>
          <w:lang w:eastAsia="ar-SA"/>
        </w:rPr>
        <w:t xml:space="preserve"> </w:t>
      </w:r>
      <w:r w:rsidRPr="00F94858">
        <w:rPr>
          <w:rFonts w:ascii="Segoe UI" w:hAnsi="Segoe UI" w:cs="Segoe UI"/>
          <w:b/>
          <w:bCs/>
          <w:szCs w:val="22"/>
          <w:u w:val="single"/>
          <w:lang w:eastAsia="ar-SA"/>
        </w:rPr>
        <w:t>Nového pavilonu</w:t>
      </w:r>
      <w:r w:rsidRPr="000748EF">
        <w:rPr>
          <w:rFonts w:ascii="Segoe UI" w:hAnsi="Segoe UI" w:cs="Segoe UI"/>
          <w:szCs w:val="22"/>
          <w:lang w:eastAsia="ar-SA"/>
        </w:rPr>
        <w:t>:</w:t>
      </w:r>
    </w:p>
    <w:p w14:paraId="7F8D32F8" w14:textId="77777777" w:rsidR="000748EF" w:rsidRPr="000748EF" w:rsidRDefault="000748EF" w:rsidP="000748EF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0748EF">
        <w:rPr>
          <w:rFonts w:ascii="Segoe UI" w:hAnsi="Segoe UI" w:cs="Segoe UI"/>
          <w:b/>
          <w:bCs/>
          <w:szCs w:val="22"/>
          <w:lang w:eastAsia="ar-SA"/>
        </w:rPr>
        <w:t>Náklady přípravy,</w:t>
      </w:r>
      <w:r w:rsidRPr="000748EF">
        <w:rPr>
          <w:rFonts w:ascii="Segoe UI" w:hAnsi="Segoe UI" w:cs="Segoe UI"/>
          <w:szCs w:val="22"/>
          <w:lang w:eastAsia="ar-SA"/>
        </w:rPr>
        <w:t xml:space="preserve"> zejména Projektování a Inženýringu (zpracování veškeré potřebné dokumentace apod.)</w:t>
      </w:r>
    </w:p>
    <w:p w14:paraId="7ECE5B31" w14:textId="77777777" w:rsidR="004F0F2E" w:rsidRDefault="000748EF" w:rsidP="000748EF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0748EF">
        <w:rPr>
          <w:rFonts w:ascii="Segoe UI" w:hAnsi="Segoe UI" w:cs="Segoe UI"/>
          <w:b/>
          <w:bCs/>
          <w:szCs w:val="22"/>
          <w:lang w:eastAsia="ar-SA"/>
        </w:rPr>
        <w:t>Investiční náklady</w:t>
      </w:r>
      <w:r w:rsidRPr="000748EF">
        <w:rPr>
          <w:rFonts w:ascii="Segoe UI" w:hAnsi="Segoe UI" w:cs="Segoe UI"/>
          <w:szCs w:val="22"/>
          <w:lang w:eastAsia="ar-SA"/>
        </w:rPr>
        <w:t xml:space="preserve"> </w:t>
      </w:r>
      <w:r w:rsidR="004F0F2E">
        <w:rPr>
          <w:rFonts w:ascii="Segoe UI" w:hAnsi="Segoe UI" w:cs="Segoe UI"/>
          <w:szCs w:val="22"/>
          <w:lang w:eastAsia="ar-SA"/>
        </w:rPr>
        <w:t xml:space="preserve">a </w:t>
      </w:r>
      <w:r w:rsidR="004F0F2E" w:rsidRPr="000748EF">
        <w:rPr>
          <w:rFonts w:ascii="Segoe UI" w:hAnsi="Segoe UI" w:cs="Segoe UI"/>
          <w:szCs w:val="22"/>
          <w:lang w:eastAsia="ar-SA"/>
        </w:rPr>
        <w:t xml:space="preserve">jejich plánovaný vývoj v čase </w:t>
      </w:r>
      <w:r w:rsidRPr="000748EF">
        <w:rPr>
          <w:rFonts w:ascii="Segoe UI" w:hAnsi="Segoe UI" w:cs="Segoe UI"/>
          <w:szCs w:val="22"/>
          <w:lang w:eastAsia="ar-SA"/>
        </w:rPr>
        <w:t>na</w:t>
      </w:r>
      <w:r w:rsidR="004F0F2E">
        <w:rPr>
          <w:rFonts w:ascii="Segoe UI" w:hAnsi="Segoe UI" w:cs="Segoe UI"/>
          <w:szCs w:val="22"/>
          <w:lang w:eastAsia="ar-SA"/>
        </w:rPr>
        <w:t>:</w:t>
      </w:r>
    </w:p>
    <w:p w14:paraId="620EA7C7" w14:textId="76B29783" w:rsidR="004F0F2E" w:rsidRDefault="000748EF" w:rsidP="004F0F2E">
      <w:pPr>
        <w:pStyle w:val="Odstavecseseznamem"/>
        <w:numPr>
          <w:ilvl w:val="2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0748EF">
        <w:rPr>
          <w:rFonts w:ascii="Segoe UI" w:hAnsi="Segoe UI" w:cs="Segoe UI"/>
          <w:szCs w:val="22"/>
          <w:lang w:eastAsia="ar-SA"/>
        </w:rPr>
        <w:t xml:space="preserve">výstavbu </w:t>
      </w:r>
      <w:r>
        <w:rPr>
          <w:rFonts w:ascii="Segoe UI" w:hAnsi="Segoe UI" w:cs="Segoe UI"/>
          <w:szCs w:val="22"/>
          <w:lang w:eastAsia="ar-SA"/>
        </w:rPr>
        <w:t>Nového pavilonu</w:t>
      </w:r>
      <w:r w:rsidRPr="000748EF">
        <w:rPr>
          <w:rFonts w:ascii="Segoe UI" w:hAnsi="Segoe UI" w:cs="Segoe UI"/>
          <w:szCs w:val="22"/>
          <w:lang w:eastAsia="ar-SA"/>
        </w:rPr>
        <w:t xml:space="preserve"> </w:t>
      </w:r>
      <w:r w:rsidR="004F0F2E">
        <w:rPr>
          <w:rFonts w:ascii="Segoe UI" w:hAnsi="Segoe UI" w:cs="Segoe UI"/>
          <w:szCs w:val="22"/>
          <w:lang w:eastAsia="ar-SA"/>
        </w:rPr>
        <w:t xml:space="preserve">bez DPH (přenesená daň. povinnost) </w:t>
      </w:r>
      <w:r w:rsidRPr="000748EF">
        <w:rPr>
          <w:rFonts w:ascii="Segoe UI" w:hAnsi="Segoe UI" w:cs="Segoe UI"/>
          <w:szCs w:val="22"/>
          <w:lang w:eastAsia="ar-SA"/>
        </w:rPr>
        <w:t>a</w:t>
      </w:r>
      <w:r w:rsidR="004F0F2E">
        <w:rPr>
          <w:rFonts w:ascii="Segoe UI" w:hAnsi="Segoe UI" w:cs="Segoe UI"/>
          <w:szCs w:val="22"/>
          <w:lang w:eastAsia="ar-SA"/>
        </w:rPr>
        <w:t xml:space="preserve"> </w:t>
      </w:r>
    </w:p>
    <w:p w14:paraId="22A6BEAA" w14:textId="1D340017" w:rsidR="000748EF" w:rsidRPr="000748EF" w:rsidRDefault="004F0F2E" w:rsidP="004F0F2E">
      <w:pPr>
        <w:pStyle w:val="Odstavecseseznamem"/>
        <w:numPr>
          <w:ilvl w:val="2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>
        <w:rPr>
          <w:rFonts w:ascii="Segoe UI" w:hAnsi="Segoe UI" w:cs="Segoe UI"/>
          <w:szCs w:val="22"/>
          <w:lang w:eastAsia="ar-SA"/>
        </w:rPr>
        <w:t>pořízení Mobiliáře bez DPH a s DPH</w:t>
      </w:r>
    </w:p>
    <w:p w14:paraId="5832E996" w14:textId="3F8807C0" w:rsidR="000748EF" w:rsidRDefault="000748EF" w:rsidP="000747DF">
      <w:pPr>
        <w:pStyle w:val="Odstavecseseznamem"/>
        <w:numPr>
          <w:ilvl w:val="1"/>
          <w:numId w:val="14"/>
        </w:numPr>
        <w:spacing w:before="120" w:after="120"/>
        <w:ind w:left="1434" w:hanging="357"/>
        <w:rPr>
          <w:rFonts w:ascii="Segoe UI" w:hAnsi="Segoe UI" w:cs="Segoe UI"/>
          <w:szCs w:val="22"/>
          <w:lang w:eastAsia="ar-SA"/>
        </w:rPr>
      </w:pPr>
      <w:r w:rsidRPr="00F94858">
        <w:rPr>
          <w:rFonts w:ascii="Segoe UI" w:hAnsi="Segoe UI" w:cs="Segoe UI"/>
          <w:b/>
          <w:bCs/>
          <w:szCs w:val="22"/>
          <w:lang w:eastAsia="ar-SA"/>
        </w:rPr>
        <w:t>Průměrné investiční náklady na rekonstrukce</w:t>
      </w:r>
      <w:r w:rsidR="00F94858">
        <w:rPr>
          <w:rFonts w:ascii="Segoe UI" w:hAnsi="Segoe UI" w:cs="Segoe UI"/>
          <w:b/>
          <w:bCs/>
          <w:szCs w:val="22"/>
          <w:lang w:eastAsia="ar-SA"/>
        </w:rPr>
        <w:t xml:space="preserve">/Technická zhodnocení </w:t>
      </w:r>
      <w:r w:rsidRPr="00F94858">
        <w:rPr>
          <w:rFonts w:ascii="Segoe UI" w:hAnsi="Segoe UI" w:cs="Segoe UI"/>
          <w:szCs w:val="22"/>
          <w:lang w:eastAsia="ar-SA"/>
        </w:rPr>
        <w:t>a jejich plánovaný vývoj v čase (v jednotlivých cyklech)</w:t>
      </w:r>
    </w:p>
    <w:p w14:paraId="0E065D94" w14:textId="65A24EA0" w:rsidR="007C588B" w:rsidRPr="00F94858" w:rsidRDefault="007C588B" w:rsidP="000747DF">
      <w:pPr>
        <w:pStyle w:val="Odstavecseseznamem"/>
        <w:numPr>
          <w:ilvl w:val="0"/>
          <w:numId w:val="14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F94858">
        <w:rPr>
          <w:rFonts w:ascii="Segoe UI" w:hAnsi="Segoe UI" w:cs="Segoe UI"/>
          <w:b/>
          <w:bCs/>
          <w:szCs w:val="22"/>
          <w:u w:val="single"/>
          <w:lang w:eastAsia="ar-SA"/>
        </w:rPr>
        <w:t>INVESTIČNÍ NÁKLADY</w:t>
      </w:r>
      <w:r w:rsidRPr="00F94858">
        <w:rPr>
          <w:rFonts w:ascii="Segoe UI" w:hAnsi="Segoe UI" w:cs="Segoe UI"/>
          <w:szCs w:val="22"/>
          <w:u w:val="single"/>
          <w:lang w:eastAsia="ar-SA"/>
        </w:rPr>
        <w:t xml:space="preserve"> </w:t>
      </w:r>
      <w:r>
        <w:rPr>
          <w:rFonts w:ascii="Segoe UI" w:hAnsi="Segoe UI" w:cs="Segoe UI"/>
          <w:b/>
          <w:bCs/>
          <w:szCs w:val="22"/>
          <w:u w:val="single"/>
          <w:lang w:eastAsia="ar-SA"/>
        </w:rPr>
        <w:t>Souvisejících staveb</w:t>
      </w:r>
      <w:r>
        <w:rPr>
          <w:rStyle w:val="Znakapoznpodarou"/>
          <w:rFonts w:ascii="Segoe UI" w:hAnsi="Segoe UI" w:cs="Segoe UI"/>
          <w:b/>
          <w:bCs/>
          <w:szCs w:val="22"/>
          <w:u w:val="single"/>
          <w:lang w:eastAsia="ar-SA"/>
        </w:rPr>
        <w:footnoteReference w:id="1"/>
      </w:r>
    </w:p>
    <w:p w14:paraId="63CC5362" w14:textId="2C5F0C6B" w:rsidR="000748EF" w:rsidRPr="000747DF" w:rsidRDefault="007C588B" w:rsidP="000747DF">
      <w:pPr>
        <w:pStyle w:val="Odstavecseseznamem"/>
        <w:numPr>
          <w:ilvl w:val="1"/>
          <w:numId w:val="14"/>
        </w:numPr>
        <w:spacing w:before="120" w:after="120"/>
        <w:ind w:left="1434" w:hanging="357"/>
        <w:rPr>
          <w:rFonts w:cstheme="minorHAnsi"/>
          <w:lang w:eastAsia="ar-SA"/>
        </w:rPr>
      </w:pPr>
      <w:r>
        <w:rPr>
          <w:rFonts w:ascii="Segoe UI" w:hAnsi="Segoe UI" w:cs="Segoe UI"/>
          <w:szCs w:val="22"/>
          <w:lang w:eastAsia="ar-SA"/>
        </w:rPr>
        <w:t xml:space="preserve">Investiční náklady Souvisejících staveb </w:t>
      </w:r>
      <w:r w:rsidR="00A513D5">
        <w:rPr>
          <w:rFonts w:ascii="Segoe UI" w:hAnsi="Segoe UI" w:cs="Segoe UI"/>
          <w:szCs w:val="22"/>
          <w:lang w:eastAsia="ar-SA"/>
        </w:rPr>
        <w:t>dle</w:t>
      </w:r>
      <w:r>
        <w:rPr>
          <w:rFonts w:ascii="Segoe UI" w:hAnsi="Segoe UI" w:cs="Segoe UI"/>
          <w:szCs w:val="22"/>
          <w:lang w:eastAsia="ar-SA"/>
        </w:rPr>
        <w:t xml:space="preserve"> jednotlivých polož</w:t>
      </w:r>
      <w:r w:rsidR="00A513D5">
        <w:rPr>
          <w:rFonts w:ascii="Segoe UI" w:hAnsi="Segoe UI" w:cs="Segoe UI"/>
          <w:szCs w:val="22"/>
          <w:lang w:eastAsia="ar-SA"/>
        </w:rPr>
        <w:t>e</w:t>
      </w:r>
      <w:r>
        <w:rPr>
          <w:rFonts w:ascii="Segoe UI" w:hAnsi="Segoe UI" w:cs="Segoe UI"/>
          <w:szCs w:val="22"/>
          <w:lang w:eastAsia="ar-SA"/>
        </w:rPr>
        <w:t xml:space="preserve">k </w:t>
      </w:r>
    </w:p>
    <w:p w14:paraId="30A7C5F2" w14:textId="32F63503" w:rsidR="000748EF" w:rsidRPr="000748EF" w:rsidRDefault="000748EF" w:rsidP="000748EF">
      <w:pPr>
        <w:pStyle w:val="Odstavecseseznamem"/>
        <w:numPr>
          <w:ilvl w:val="0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F94858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FINANCOVÁNÍ </w:t>
      </w:r>
      <w:r w:rsidR="00F94858" w:rsidRPr="00F94858">
        <w:rPr>
          <w:rFonts w:ascii="Segoe UI" w:hAnsi="Segoe UI" w:cs="Segoe UI"/>
          <w:b/>
          <w:bCs/>
          <w:szCs w:val="22"/>
          <w:u w:val="single"/>
          <w:lang w:eastAsia="ar-SA"/>
        </w:rPr>
        <w:t>Nového pavilonu</w:t>
      </w:r>
      <w:r w:rsidRPr="000748EF">
        <w:rPr>
          <w:rFonts w:ascii="Segoe UI" w:hAnsi="Segoe UI" w:cs="Segoe UI"/>
          <w:szCs w:val="22"/>
          <w:lang w:eastAsia="ar-SA"/>
        </w:rPr>
        <w:t xml:space="preserve"> </w:t>
      </w:r>
      <w:r w:rsidR="0035030B" w:rsidRPr="0035030B">
        <w:rPr>
          <w:rFonts w:ascii="Segoe UI" w:hAnsi="Segoe UI" w:cs="Segoe UI"/>
          <w:b/>
          <w:bCs/>
          <w:szCs w:val="22"/>
          <w:lang w:eastAsia="ar-SA"/>
        </w:rPr>
        <w:t>a Souvisejících staveb</w:t>
      </w:r>
      <w:r w:rsidR="0035030B">
        <w:rPr>
          <w:rFonts w:ascii="Segoe UI" w:hAnsi="Segoe UI" w:cs="Segoe UI"/>
          <w:szCs w:val="22"/>
          <w:lang w:eastAsia="ar-SA"/>
        </w:rPr>
        <w:t xml:space="preserve"> </w:t>
      </w:r>
      <w:r w:rsidRPr="000748EF">
        <w:rPr>
          <w:rFonts w:ascii="Segoe UI" w:hAnsi="Segoe UI" w:cs="Segoe UI"/>
          <w:szCs w:val="22"/>
          <w:lang w:eastAsia="ar-SA"/>
        </w:rPr>
        <w:t>v čase, a to jak financování:</w:t>
      </w:r>
    </w:p>
    <w:p w14:paraId="2F61AB9C" w14:textId="77777777" w:rsidR="000748EF" w:rsidRPr="00E91429" w:rsidRDefault="000748EF" w:rsidP="00E91429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 xml:space="preserve">Výstavby, tak </w:t>
      </w:r>
    </w:p>
    <w:p w14:paraId="51013937" w14:textId="65DED1D5" w:rsidR="000748EF" w:rsidRPr="00E91429" w:rsidRDefault="00F94858" w:rsidP="00E91429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>R</w:t>
      </w:r>
      <w:r w:rsidR="000748EF" w:rsidRPr="00E91429">
        <w:rPr>
          <w:rFonts w:ascii="Segoe UI" w:hAnsi="Segoe UI" w:cs="Segoe UI"/>
          <w:szCs w:val="22"/>
          <w:lang w:eastAsia="ar-SA"/>
        </w:rPr>
        <w:t>ekonstrukcí</w:t>
      </w:r>
      <w:r w:rsidRPr="00E91429">
        <w:rPr>
          <w:rFonts w:ascii="Segoe UI" w:hAnsi="Segoe UI" w:cs="Segoe UI"/>
          <w:szCs w:val="22"/>
          <w:lang w:eastAsia="ar-SA"/>
        </w:rPr>
        <w:t>/Technických zhodnocení</w:t>
      </w:r>
    </w:p>
    <w:p w14:paraId="36FCE001" w14:textId="77777777" w:rsidR="000748EF" w:rsidRPr="00E91429" w:rsidRDefault="000748EF" w:rsidP="00E91429">
      <w:pPr>
        <w:pStyle w:val="Odstavecseseznamem"/>
        <w:spacing w:before="120" w:after="0"/>
        <w:ind w:left="144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>Přičemž struktura financování u obou složek bude obsahovat následující parametry a jejich vývoj v čase:</w:t>
      </w:r>
    </w:p>
    <w:p w14:paraId="1E2A44DB" w14:textId="77777777" w:rsidR="000748EF" w:rsidRPr="00E91429" w:rsidRDefault="000748EF" w:rsidP="00E91429">
      <w:pPr>
        <w:pStyle w:val="Odstavecseseznamem"/>
        <w:numPr>
          <w:ilvl w:val="2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 xml:space="preserve">Podíl vlastních a cizích zdrojů </w:t>
      </w:r>
    </w:p>
    <w:p w14:paraId="56A04BC4" w14:textId="77777777" w:rsidR="000748EF" w:rsidRPr="00E91429" w:rsidRDefault="000748EF" w:rsidP="00E91429">
      <w:pPr>
        <w:pStyle w:val="Odstavecseseznamem"/>
        <w:numPr>
          <w:ilvl w:val="2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>Požadovaná výnosnost vlastního kapitálu</w:t>
      </w:r>
    </w:p>
    <w:p w14:paraId="5E877F9C" w14:textId="77777777" w:rsidR="000748EF" w:rsidRPr="00E91429" w:rsidRDefault="000748EF" w:rsidP="00E91429">
      <w:pPr>
        <w:pStyle w:val="Odstavecseseznamem"/>
        <w:numPr>
          <w:ilvl w:val="2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>Úrokovou míru Seniorního, případně ostatních úvěrů a půjček</w:t>
      </w:r>
    </w:p>
    <w:p w14:paraId="0F37629C" w14:textId="77777777" w:rsidR="000748EF" w:rsidRPr="00E91429" w:rsidRDefault="000748EF" w:rsidP="00E91429">
      <w:pPr>
        <w:pStyle w:val="Odstavecseseznamem"/>
        <w:numPr>
          <w:ilvl w:val="2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>Počet let splácení cizího kapitálu</w:t>
      </w:r>
    </w:p>
    <w:p w14:paraId="3AD892CD" w14:textId="77777777" w:rsidR="00E91429" w:rsidRPr="00E91429" w:rsidRDefault="00E91429" w:rsidP="00E91429">
      <w:pPr>
        <w:pStyle w:val="Odstavecseseznamem"/>
        <w:numPr>
          <w:ilvl w:val="2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>Náklady financování do Dne Otevření</w:t>
      </w:r>
    </w:p>
    <w:p w14:paraId="5ACEB377" w14:textId="15FE499B" w:rsidR="000748EF" w:rsidRPr="00E91429" w:rsidRDefault="000748EF" w:rsidP="00E91429">
      <w:pPr>
        <w:pStyle w:val="Odstavecseseznamem"/>
        <w:numPr>
          <w:ilvl w:val="2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E91429">
        <w:rPr>
          <w:rFonts w:ascii="Segoe UI" w:hAnsi="Segoe UI" w:cs="Segoe UI"/>
          <w:szCs w:val="22"/>
          <w:lang w:eastAsia="ar-SA"/>
        </w:rPr>
        <w:t>Změna a stav jednotlivých úvěrů (dluhová služb</w:t>
      </w:r>
      <w:r w:rsidR="00F94858" w:rsidRPr="00E91429">
        <w:rPr>
          <w:rFonts w:ascii="Segoe UI" w:hAnsi="Segoe UI" w:cs="Segoe UI"/>
          <w:szCs w:val="22"/>
          <w:lang w:eastAsia="ar-SA"/>
        </w:rPr>
        <w:t>a</w:t>
      </w:r>
      <w:r w:rsidRPr="00E91429">
        <w:rPr>
          <w:rFonts w:ascii="Segoe UI" w:hAnsi="Segoe UI" w:cs="Segoe UI"/>
          <w:szCs w:val="22"/>
          <w:lang w:eastAsia="ar-SA"/>
        </w:rPr>
        <w:t>, úrok, úmor)</w:t>
      </w:r>
    </w:p>
    <w:p w14:paraId="7CBBF730" w14:textId="77777777" w:rsidR="00714D4D" w:rsidRDefault="00714D4D" w:rsidP="00714D4D">
      <w:pPr>
        <w:pStyle w:val="Seznamsodrkami"/>
        <w:numPr>
          <w:ilvl w:val="0"/>
          <w:numId w:val="0"/>
        </w:numPr>
        <w:jc w:val="both"/>
        <w:rPr>
          <w:rFonts w:ascii="Segoe UI" w:hAnsi="Segoe UI" w:cs="Segoe UI"/>
          <w:bCs/>
          <w:lang w:eastAsia="en-GB"/>
        </w:rPr>
      </w:pPr>
    </w:p>
    <w:p w14:paraId="520FA8C0" w14:textId="3B0C1597" w:rsidR="00714D4D" w:rsidRPr="00714D4D" w:rsidRDefault="00714D4D" w:rsidP="00714D4D">
      <w:pPr>
        <w:pStyle w:val="Seznamsodrkami"/>
        <w:numPr>
          <w:ilvl w:val="0"/>
          <w:numId w:val="0"/>
        </w:numPr>
        <w:jc w:val="both"/>
        <w:rPr>
          <w:rFonts w:ascii="Segoe UI" w:hAnsi="Segoe UI" w:cs="Segoe UI"/>
          <w:bCs/>
          <w:lang w:eastAsia="en-GB"/>
        </w:rPr>
      </w:pPr>
      <w:r w:rsidRPr="00714D4D">
        <w:rPr>
          <w:rFonts w:ascii="Segoe UI" w:hAnsi="Segoe UI" w:cs="Segoe UI"/>
          <w:bCs/>
          <w:lang w:eastAsia="en-GB"/>
        </w:rPr>
        <w:lastRenderedPageBreak/>
        <w:t>Budou-li</w:t>
      </w:r>
      <w:r>
        <w:rPr>
          <w:rFonts w:ascii="Segoe UI" w:hAnsi="Segoe UI" w:cs="Segoe UI"/>
          <w:bCs/>
          <w:lang w:eastAsia="en-GB"/>
        </w:rPr>
        <w:t xml:space="preserve"> </w:t>
      </w:r>
      <w:r w:rsidR="008E3F2F" w:rsidRPr="008E3F2F">
        <w:rPr>
          <w:rFonts w:ascii="Segoe UI" w:hAnsi="Segoe UI" w:cs="Segoe UI"/>
          <w:bCs/>
          <w:lang w:eastAsia="en-GB"/>
        </w:rPr>
        <w:t>při výstavbě Nového pavilonu</w:t>
      </w:r>
      <w:r w:rsidR="008E3F2F">
        <w:rPr>
          <w:rFonts w:ascii="Segoe UI" w:hAnsi="Segoe UI" w:cs="Segoe UI"/>
          <w:bCs/>
          <w:lang w:eastAsia="en-GB"/>
        </w:rPr>
        <w:t xml:space="preserve"> </w:t>
      </w:r>
      <w:r>
        <w:rPr>
          <w:rFonts w:ascii="Segoe UI" w:hAnsi="Segoe UI" w:cs="Segoe UI"/>
          <w:bCs/>
          <w:lang w:eastAsia="en-GB"/>
        </w:rPr>
        <w:t>Koncesionářem</w:t>
      </w:r>
      <w:r w:rsidRPr="00714D4D">
        <w:rPr>
          <w:rFonts w:ascii="Segoe UI" w:hAnsi="Segoe UI" w:cs="Segoe UI"/>
          <w:bCs/>
          <w:lang w:eastAsia="en-GB"/>
        </w:rPr>
        <w:t xml:space="preserve"> </w:t>
      </w:r>
      <w:r w:rsidR="008E3F2F">
        <w:rPr>
          <w:rFonts w:ascii="Segoe UI" w:hAnsi="Segoe UI" w:cs="Segoe UI"/>
          <w:bCs/>
          <w:lang w:eastAsia="en-GB"/>
        </w:rPr>
        <w:t>vyvolány</w:t>
      </w:r>
      <w:r w:rsidRPr="00714D4D">
        <w:rPr>
          <w:rFonts w:ascii="Segoe UI" w:hAnsi="Segoe UI" w:cs="Segoe UI"/>
          <w:bCs/>
          <w:lang w:eastAsia="en-GB"/>
        </w:rPr>
        <w:t xml:space="preserve"> také </w:t>
      </w:r>
      <w:r w:rsidRPr="00714D4D">
        <w:rPr>
          <w:rFonts w:ascii="Segoe UI" w:hAnsi="Segoe UI" w:cs="Segoe UI"/>
          <w:b/>
          <w:lang w:eastAsia="en-GB"/>
        </w:rPr>
        <w:t>investice do Stávající nemocnice</w:t>
      </w:r>
      <w:r>
        <w:rPr>
          <w:rFonts w:ascii="Segoe UI" w:hAnsi="Segoe UI" w:cs="Segoe UI"/>
          <w:bCs/>
          <w:lang w:eastAsia="en-GB"/>
        </w:rPr>
        <w:t xml:space="preserve">, budou obdobným způsobem </w:t>
      </w:r>
      <w:r w:rsidR="00FA1E0D">
        <w:rPr>
          <w:rFonts w:ascii="Segoe UI" w:hAnsi="Segoe UI" w:cs="Segoe UI"/>
          <w:bCs/>
          <w:lang w:eastAsia="en-GB"/>
        </w:rPr>
        <w:t>evidovány</w:t>
      </w:r>
      <w:r>
        <w:rPr>
          <w:rFonts w:ascii="Segoe UI" w:hAnsi="Segoe UI" w:cs="Segoe UI"/>
          <w:bCs/>
          <w:lang w:eastAsia="en-GB"/>
        </w:rPr>
        <w:t xml:space="preserve"> Investiční náklady pro Stávající nemocnici, </w:t>
      </w:r>
      <w:r w:rsidRPr="00764305">
        <w:rPr>
          <w:rFonts w:ascii="Segoe UI" w:hAnsi="Segoe UI" w:cs="Segoe UI"/>
          <w:b/>
          <w:lang w:eastAsia="en-GB"/>
        </w:rPr>
        <w:t>a to odděleně</w:t>
      </w:r>
      <w:r>
        <w:rPr>
          <w:rFonts w:ascii="Segoe UI" w:hAnsi="Segoe UI" w:cs="Segoe UI"/>
          <w:bCs/>
          <w:lang w:eastAsia="en-GB"/>
        </w:rPr>
        <w:t xml:space="preserve"> od Nového pavilonu. </w:t>
      </w:r>
      <w:r w:rsidR="00FA1E0D">
        <w:rPr>
          <w:rFonts w:ascii="Segoe UI" w:hAnsi="Segoe UI" w:cs="Segoe UI"/>
          <w:bCs/>
          <w:lang w:eastAsia="en-GB"/>
        </w:rPr>
        <w:t xml:space="preserve">V tomto případě </w:t>
      </w:r>
      <w:r w:rsidR="008E3F2F">
        <w:rPr>
          <w:rFonts w:ascii="Segoe UI" w:hAnsi="Segoe UI" w:cs="Segoe UI"/>
          <w:bCs/>
          <w:lang w:eastAsia="en-GB"/>
        </w:rPr>
        <w:t xml:space="preserve">budou </w:t>
      </w:r>
      <w:r w:rsidR="00FA1E0D">
        <w:rPr>
          <w:rFonts w:ascii="Segoe UI" w:hAnsi="Segoe UI" w:cs="Segoe UI"/>
          <w:bCs/>
          <w:lang w:eastAsia="en-GB"/>
        </w:rPr>
        <w:t>náklady financování zahrnovat veškeré investice do obou částí nemocnice.</w:t>
      </w:r>
    </w:p>
    <w:p w14:paraId="34056145" w14:textId="5B938256" w:rsidR="00E368CE" w:rsidRPr="00EB5846" w:rsidRDefault="00EB5846" w:rsidP="00EB5846">
      <w:pPr>
        <w:pStyle w:val="Odstavecseseznamem"/>
        <w:numPr>
          <w:ilvl w:val="0"/>
          <w:numId w:val="14"/>
        </w:numPr>
        <w:spacing w:before="120" w:after="0"/>
        <w:rPr>
          <w:rFonts w:ascii="Segoe UI" w:hAnsi="Segoe UI" w:cs="Segoe UI"/>
          <w:b/>
          <w:bCs/>
          <w:szCs w:val="22"/>
          <w:u w:val="single"/>
          <w:lang w:eastAsia="ar-SA"/>
        </w:rPr>
      </w:pPr>
      <w:r w:rsidRPr="00EB5846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PROVOZNÍ </w:t>
      </w:r>
      <w:r w:rsidR="00764305" w:rsidRPr="00EB5846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NÁKLADY </w:t>
      </w:r>
      <w:r w:rsidR="00E368CE" w:rsidRPr="00EB5846">
        <w:rPr>
          <w:rFonts w:ascii="Segoe UI" w:hAnsi="Segoe UI" w:cs="Segoe UI"/>
          <w:b/>
          <w:bCs/>
          <w:szCs w:val="22"/>
          <w:u w:val="single"/>
          <w:lang w:eastAsia="ar-SA"/>
        </w:rPr>
        <w:t>projektu</w:t>
      </w:r>
      <w:r w:rsidR="004F0F2E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 v členění</w:t>
      </w:r>
      <w:r>
        <w:rPr>
          <w:rFonts w:ascii="Segoe UI" w:hAnsi="Segoe UI" w:cs="Segoe UI"/>
          <w:b/>
          <w:bCs/>
          <w:szCs w:val="22"/>
          <w:u w:val="single"/>
          <w:lang w:eastAsia="ar-SA"/>
        </w:rPr>
        <w:t>:</w:t>
      </w:r>
    </w:p>
    <w:p w14:paraId="4D716417" w14:textId="77777777" w:rsidR="005906D3" w:rsidRPr="005A4592" w:rsidRDefault="005906D3" w:rsidP="00EB5846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Osobní náklady</w:t>
      </w:r>
    </w:p>
    <w:p w14:paraId="12199FE6" w14:textId="77777777" w:rsidR="005906D3" w:rsidRPr="005A4592" w:rsidRDefault="005906D3" w:rsidP="00EB5846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Materiálové náklady</w:t>
      </w:r>
    </w:p>
    <w:p w14:paraId="57E913AD" w14:textId="77777777" w:rsidR="00EB5846" w:rsidRPr="005A4592" w:rsidRDefault="00EB5846" w:rsidP="00EB5846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Spotřeby energií a vody</w:t>
      </w:r>
    </w:p>
    <w:p w14:paraId="7C17F05A" w14:textId="1D6B96A7" w:rsidR="005906D3" w:rsidRPr="005A4592" w:rsidRDefault="00EB5846" w:rsidP="00EB5846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>
        <w:rPr>
          <w:rFonts w:ascii="Segoe UI" w:hAnsi="Segoe UI" w:cs="Segoe UI"/>
          <w:szCs w:val="22"/>
          <w:lang w:eastAsia="ar-SA"/>
        </w:rPr>
        <w:t>Služby</w:t>
      </w:r>
    </w:p>
    <w:p w14:paraId="09D92BD8" w14:textId="569CA103" w:rsidR="005906D3" w:rsidRPr="005A4592" w:rsidRDefault="005906D3" w:rsidP="00EB5846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Náklady životního cyklu (na obnovu infrastruktury)</w:t>
      </w:r>
      <w:r w:rsidR="00EB5846">
        <w:rPr>
          <w:rFonts w:ascii="Segoe UI" w:hAnsi="Segoe UI" w:cs="Segoe UI"/>
          <w:szCs w:val="22"/>
          <w:lang w:eastAsia="ar-SA"/>
        </w:rPr>
        <w:t xml:space="preserve"> Nového pavilonu</w:t>
      </w:r>
    </w:p>
    <w:p w14:paraId="6B73B7E9" w14:textId="22E2E499" w:rsidR="00DD70C6" w:rsidRPr="005A4592" w:rsidRDefault="00DD70C6" w:rsidP="00EB5846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Pacht</w:t>
      </w:r>
      <w:r w:rsidR="005E6E29" w:rsidRPr="005A4592">
        <w:rPr>
          <w:rFonts w:ascii="Segoe UI" w:hAnsi="Segoe UI" w:cs="Segoe UI"/>
          <w:szCs w:val="22"/>
          <w:lang w:eastAsia="ar-SA"/>
        </w:rPr>
        <w:t>ovné</w:t>
      </w:r>
      <w:r w:rsidR="004F0F2E">
        <w:rPr>
          <w:rFonts w:ascii="Segoe UI" w:hAnsi="Segoe UI" w:cs="Segoe UI"/>
          <w:szCs w:val="22"/>
          <w:lang w:eastAsia="ar-SA"/>
        </w:rPr>
        <w:t xml:space="preserve"> a DPH z Pachtovného</w:t>
      </w:r>
    </w:p>
    <w:p w14:paraId="26DC66B3" w14:textId="60E1CAF1" w:rsidR="002D31D7" w:rsidRDefault="002D31D7" w:rsidP="002D31D7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Ostatní</w:t>
      </w:r>
      <w:r>
        <w:rPr>
          <w:rFonts w:ascii="Segoe UI" w:hAnsi="Segoe UI" w:cs="Segoe UI"/>
          <w:szCs w:val="22"/>
          <w:lang w:eastAsia="ar-SA"/>
        </w:rPr>
        <w:t xml:space="preserve"> náklady (např. pojištění atp.)</w:t>
      </w:r>
    </w:p>
    <w:p w14:paraId="6C13086E" w14:textId="467FF132" w:rsidR="00CF084D" w:rsidRDefault="004F0F2E" w:rsidP="002D31D7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>
        <w:rPr>
          <w:rFonts w:ascii="Segoe UI" w:hAnsi="Segoe UI" w:cs="Segoe UI"/>
          <w:szCs w:val="22"/>
          <w:lang w:eastAsia="ar-SA"/>
        </w:rPr>
        <w:t>Odpisy</w:t>
      </w:r>
      <w:r w:rsidR="00DE2F4D">
        <w:rPr>
          <w:rFonts w:ascii="Segoe UI" w:hAnsi="Segoe UI" w:cs="Segoe UI"/>
          <w:szCs w:val="22"/>
          <w:lang w:eastAsia="ar-SA"/>
        </w:rPr>
        <w:t xml:space="preserve"> (samostatně na Nový pavilon a ostatní položky</w:t>
      </w:r>
      <w:r w:rsidR="007C588B">
        <w:rPr>
          <w:rStyle w:val="Znakapoznpodarou"/>
          <w:rFonts w:ascii="Segoe UI" w:hAnsi="Segoe UI" w:cs="Segoe UI"/>
          <w:szCs w:val="22"/>
          <w:lang w:eastAsia="ar-SA"/>
        </w:rPr>
        <w:footnoteReference w:id="2"/>
      </w:r>
      <w:r w:rsidR="00DE2F4D">
        <w:rPr>
          <w:rFonts w:ascii="Segoe UI" w:hAnsi="Segoe UI" w:cs="Segoe UI"/>
          <w:szCs w:val="22"/>
          <w:lang w:eastAsia="ar-SA"/>
        </w:rPr>
        <w:t>)</w:t>
      </w:r>
    </w:p>
    <w:p w14:paraId="4290AB21" w14:textId="59A50BCF" w:rsidR="00AA3AAC" w:rsidRPr="000747DF" w:rsidRDefault="00E368CE" w:rsidP="000747DF">
      <w:pPr>
        <w:pStyle w:val="Odstavecseseznamem"/>
        <w:numPr>
          <w:ilvl w:val="1"/>
          <w:numId w:val="14"/>
        </w:numPr>
        <w:spacing w:before="120" w:after="120"/>
        <w:ind w:left="1434" w:hanging="357"/>
        <w:rPr>
          <w:rFonts w:ascii="Segoe UI" w:hAnsi="Segoe UI" w:cs="Segoe UI"/>
          <w:lang w:eastAsia="ar-SA"/>
        </w:rPr>
      </w:pPr>
      <w:r w:rsidRPr="005A4592">
        <w:rPr>
          <w:rFonts w:ascii="Segoe UI" w:hAnsi="Segoe UI" w:cs="Segoe UI"/>
          <w:szCs w:val="22"/>
          <w:lang w:eastAsia="ar-SA"/>
        </w:rPr>
        <w:t>Náklady financování</w:t>
      </w:r>
      <w:r w:rsidR="005E732E" w:rsidRPr="005A4592">
        <w:rPr>
          <w:rFonts w:ascii="Segoe UI" w:hAnsi="Segoe UI" w:cs="Segoe UI"/>
          <w:szCs w:val="22"/>
          <w:lang w:eastAsia="ar-SA"/>
        </w:rPr>
        <w:t xml:space="preserve"> (úrokové i ostatní)</w:t>
      </w:r>
    </w:p>
    <w:p w14:paraId="33DEC30E" w14:textId="72A8EA24" w:rsidR="00E368CE" w:rsidRPr="00C13335" w:rsidRDefault="00764305" w:rsidP="00C13335">
      <w:pPr>
        <w:pStyle w:val="Odstavecseseznamem"/>
        <w:numPr>
          <w:ilvl w:val="0"/>
          <w:numId w:val="14"/>
        </w:numPr>
        <w:spacing w:before="120" w:after="0"/>
        <w:rPr>
          <w:rFonts w:ascii="Segoe UI" w:hAnsi="Segoe UI" w:cs="Segoe UI"/>
          <w:b/>
          <w:bCs/>
          <w:szCs w:val="22"/>
          <w:u w:val="single"/>
          <w:lang w:eastAsia="ar-SA"/>
        </w:rPr>
      </w:pPr>
      <w:r w:rsidRPr="00C13335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VÝNOSY </w:t>
      </w:r>
      <w:r w:rsidR="00E368CE" w:rsidRPr="00C13335">
        <w:rPr>
          <w:rFonts w:ascii="Segoe UI" w:hAnsi="Segoe UI" w:cs="Segoe UI"/>
          <w:b/>
          <w:bCs/>
          <w:szCs w:val="22"/>
          <w:u w:val="single"/>
          <w:lang w:eastAsia="ar-SA"/>
        </w:rPr>
        <w:t>v členění:</w:t>
      </w:r>
    </w:p>
    <w:p w14:paraId="3E543CCD" w14:textId="5D5BA406" w:rsidR="00280115" w:rsidRPr="005A4592" w:rsidRDefault="00C13335" w:rsidP="00C13335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>
        <w:rPr>
          <w:rFonts w:ascii="Segoe UI" w:hAnsi="Segoe UI" w:cs="Segoe UI"/>
          <w:szCs w:val="22"/>
          <w:lang w:eastAsia="ar-SA"/>
        </w:rPr>
        <w:t>Zdravotní péče hrazená pojišťovnami</w:t>
      </w:r>
    </w:p>
    <w:p w14:paraId="0BE4DD64" w14:textId="45ED3360" w:rsidR="00E368CE" w:rsidRPr="006A48BB" w:rsidRDefault="002C1B34" w:rsidP="00C13335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t>Výnosy z další</w:t>
      </w:r>
      <w:r w:rsidR="008E3F2F">
        <w:rPr>
          <w:rFonts w:ascii="Segoe UI" w:hAnsi="Segoe UI" w:cs="Segoe UI"/>
          <w:szCs w:val="22"/>
          <w:lang w:eastAsia="ar-SA"/>
        </w:rPr>
        <w:t>c</w:t>
      </w:r>
      <w:r w:rsidRPr="006A48BB">
        <w:rPr>
          <w:rFonts w:ascii="Segoe UI" w:hAnsi="Segoe UI" w:cs="Segoe UI"/>
          <w:szCs w:val="22"/>
          <w:lang w:eastAsia="ar-SA"/>
        </w:rPr>
        <w:t>h k</w:t>
      </w:r>
      <w:r w:rsidR="00E74EDF" w:rsidRPr="006A48BB">
        <w:rPr>
          <w:rFonts w:ascii="Segoe UI" w:hAnsi="Segoe UI" w:cs="Segoe UI"/>
          <w:szCs w:val="22"/>
          <w:lang w:eastAsia="ar-SA"/>
        </w:rPr>
        <w:t>omerční</w:t>
      </w:r>
      <w:r w:rsidR="008E3F2F">
        <w:rPr>
          <w:rFonts w:ascii="Segoe UI" w:hAnsi="Segoe UI" w:cs="Segoe UI"/>
          <w:szCs w:val="22"/>
          <w:lang w:eastAsia="ar-SA"/>
        </w:rPr>
        <w:t>c</w:t>
      </w:r>
      <w:r w:rsidRPr="006A48BB">
        <w:rPr>
          <w:rFonts w:ascii="Segoe UI" w:hAnsi="Segoe UI" w:cs="Segoe UI"/>
          <w:szCs w:val="22"/>
          <w:lang w:eastAsia="ar-SA"/>
        </w:rPr>
        <w:t>h</w:t>
      </w:r>
      <w:r w:rsidR="00E74EDF" w:rsidRPr="006A48BB">
        <w:rPr>
          <w:rFonts w:ascii="Segoe UI" w:hAnsi="Segoe UI" w:cs="Segoe UI"/>
          <w:szCs w:val="22"/>
          <w:lang w:eastAsia="ar-SA"/>
        </w:rPr>
        <w:t xml:space="preserve"> </w:t>
      </w:r>
      <w:r w:rsidR="008E3F2F">
        <w:rPr>
          <w:rFonts w:ascii="Segoe UI" w:hAnsi="Segoe UI" w:cs="Segoe UI"/>
          <w:szCs w:val="22"/>
          <w:lang w:eastAsia="ar-SA"/>
        </w:rPr>
        <w:t>aktivit</w:t>
      </w:r>
      <w:r w:rsidR="00280115" w:rsidRPr="006A48BB">
        <w:rPr>
          <w:rFonts w:ascii="Segoe UI" w:hAnsi="Segoe UI" w:cs="Segoe UI"/>
          <w:szCs w:val="22"/>
          <w:lang w:eastAsia="ar-SA"/>
        </w:rPr>
        <w:t xml:space="preserve"> (</w:t>
      </w:r>
      <w:r w:rsidR="00DA7E47" w:rsidRPr="006A48BB">
        <w:rPr>
          <w:rFonts w:ascii="Segoe UI" w:hAnsi="Segoe UI" w:cs="Segoe UI"/>
          <w:szCs w:val="22"/>
          <w:lang w:eastAsia="ar-SA"/>
        </w:rPr>
        <w:t xml:space="preserve">např. </w:t>
      </w:r>
      <w:r w:rsidR="00280115" w:rsidRPr="006A48BB">
        <w:rPr>
          <w:rFonts w:ascii="Segoe UI" w:hAnsi="Segoe UI" w:cs="Segoe UI"/>
          <w:szCs w:val="22"/>
          <w:lang w:eastAsia="ar-SA"/>
        </w:rPr>
        <w:t>pronájem prostor</w:t>
      </w:r>
      <w:r w:rsidR="008E3F2F">
        <w:rPr>
          <w:rFonts w:ascii="Segoe UI" w:hAnsi="Segoe UI" w:cs="Segoe UI"/>
          <w:szCs w:val="22"/>
          <w:lang w:eastAsia="ar-SA"/>
        </w:rPr>
        <w:t>, prodej apod.</w:t>
      </w:r>
      <w:r w:rsidR="00DA7E47" w:rsidRPr="006A48BB">
        <w:rPr>
          <w:rFonts w:ascii="Segoe UI" w:hAnsi="Segoe UI" w:cs="Segoe UI"/>
          <w:szCs w:val="22"/>
          <w:lang w:eastAsia="ar-SA"/>
        </w:rPr>
        <w:t>)</w:t>
      </w:r>
    </w:p>
    <w:p w14:paraId="1CE27131" w14:textId="2BC2E8C1" w:rsidR="00C13335" w:rsidRPr="000747DF" w:rsidRDefault="00E368CE" w:rsidP="000747DF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t>Ostatní</w:t>
      </w:r>
      <w:r w:rsidR="00DA7E47" w:rsidRPr="006A48BB">
        <w:rPr>
          <w:rFonts w:ascii="Segoe UI" w:hAnsi="Segoe UI" w:cs="Segoe UI"/>
          <w:szCs w:val="22"/>
          <w:lang w:eastAsia="ar-SA"/>
        </w:rPr>
        <w:t xml:space="preserve"> </w:t>
      </w:r>
      <w:r w:rsidR="00C13335">
        <w:rPr>
          <w:rFonts w:ascii="Segoe UI" w:hAnsi="Segoe UI" w:cs="Segoe UI"/>
          <w:szCs w:val="22"/>
          <w:lang w:eastAsia="ar-SA"/>
        </w:rPr>
        <w:t xml:space="preserve">výnosy </w:t>
      </w:r>
      <w:r w:rsidR="00DA7E47" w:rsidRPr="006A48BB">
        <w:rPr>
          <w:rFonts w:ascii="Segoe UI" w:hAnsi="Segoe UI" w:cs="Segoe UI"/>
          <w:szCs w:val="22"/>
          <w:lang w:eastAsia="ar-SA"/>
        </w:rPr>
        <w:t>(případné dotac</w:t>
      </w:r>
      <w:r w:rsidR="00C13335">
        <w:rPr>
          <w:rFonts w:ascii="Segoe UI" w:hAnsi="Segoe UI" w:cs="Segoe UI"/>
          <w:szCs w:val="22"/>
          <w:lang w:eastAsia="ar-SA"/>
        </w:rPr>
        <w:t>e</w:t>
      </w:r>
      <w:r w:rsidR="00DA7E47" w:rsidRPr="006A48BB">
        <w:rPr>
          <w:rFonts w:ascii="Segoe UI" w:hAnsi="Segoe UI" w:cs="Segoe UI"/>
          <w:szCs w:val="22"/>
          <w:lang w:eastAsia="ar-SA"/>
        </w:rPr>
        <w:t xml:space="preserve"> apod.)</w:t>
      </w:r>
    </w:p>
    <w:p w14:paraId="1469EFCB" w14:textId="7D204729" w:rsidR="00E368CE" w:rsidRPr="00C13335" w:rsidRDefault="00764305" w:rsidP="00C13335">
      <w:pPr>
        <w:pStyle w:val="Odstavecseseznamem"/>
        <w:numPr>
          <w:ilvl w:val="0"/>
          <w:numId w:val="14"/>
        </w:numPr>
        <w:spacing w:before="120" w:after="0"/>
        <w:rPr>
          <w:rFonts w:ascii="Segoe UI" w:hAnsi="Segoe UI" w:cs="Segoe UI"/>
          <w:b/>
          <w:bCs/>
          <w:szCs w:val="22"/>
          <w:u w:val="single"/>
          <w:lang w:eastAsia="ar-SA"/>
        </w:rPr>
      </w:pPr>
      <w:r w:rsidRPr="00C13335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PENĚŽNÍ TOKY </w:t>
      </w:r>
      <w:r w:rsidR="00E368CE" w:rsidRPr="00C13335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(cash-flow) </w:t>
      </w:r>
      <w:r w:rsidR="001F5EEB" w:rsidRPr="00C13335">
        <w:rPr>
          <w:rFonts w:ascii="Segoe UI" w:hAnsi="Segoe UI" w:cs="Segoe UI"/>
          <w:b/>
          <w:bCs/>
          <w:szCs w:val="22"/>
          <w:u w:val="single"/>
          <w:lang w:eastAsia="ar-SA"/>
        </w:rPr>
        <w:t xml:space="preserve">minimálně </w:t>
      </w:r>
      <w:r w:rsidR="00E368CE" w:rsidRPr="00C13335">
        <w:rPr>
          <w:rFonts w:ascii="Segoe UI" w:hAnsi="Segoe UI" w:cs="Segoe UI"/>
          <w:b/>
          <w:bCs/>
          <w:szCs w:val="22"/>
          <w:u w:val="single"/>
          <w:lang w:eastAsia="ar-SA"/>
        </w:rPr>
        <w:t>v členění:</w:t>
      </w:r>
    </w:p>
    <w:p w14:paraId="3F210BB3" w14:textId="705CB000" w:rsidR="005906D3" w:rsidRDefault="005906D3" w:rsidP="00C13335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t>Provozní cash-flow</w:t>
      </w:r>
    </w:p>
    <w:p w14:paraId="2ED8DB13" w14:textId="12BB3EAB" w:rsidR="002D31D7" w:rsidRPr="006A48BB" w:rsidRDefault="002D31D7" w:rsidP="00C13335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>
        <w:rPr>
          <w:rFonts w:ascii="Segoe UI" w:hAnsi="Segoe UI" w:cs="Segoe UI"/>
          <w:szCs w:val="22"/>
          <w:lang w:eastAsia="ar-SA"/>
        </w:rPr>
        <w:t>Cash-flow z financování</w:t>
      </w:r>
    </w:p>
    <w:p w14:paraId="71CA9A68" w14:textId="77777777" w:rsidR="001F5EEB" w:rsidRPr="006A48BB" w:rsidRDefault="001F5EEB" w:rsidP="00C13335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t>Investiční cash-flow</w:t>
      </w:r>
    </w:p>
    <w:p w14:paraId="0E2B73F2" w14:textId="77777777" w:rsidR="002D31D7" w:rsidRPr="002D31D7" w:rsidRDefault="002D31D7" w:rsidP="002D31D7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2D31D7">
        <w:rPr>
          <w:rFonts w:ascii="Segoe UI" w:hAnsi="Segoe UI" w:cs="Segoe UI"/>
          <w:szCs w:val="22"/>
          <w:lang w:eastAsia="ar-SA"/>
        </w:rPr>
        <w:t>FCFE (Free Cash Flow to Equity)</w:t>
      </w:r>
    </w:p>
    <w:p w14:paraId="536F5088" w14:textId="77777777" w:rsidR="00FC0F9D" w:rsidRDefault="002D31D7" w:rsidP="00FC0F9D">
      <w:pPr>
        <w:pStyle w:val="Odstavecseseznamem"/>
        <w:numPr>
          <w:ilvl w:val="1"/>
          <w:numId w:val="14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2D31D7">
        <w:rPr>
          <w:rFonts w:ascii="Segoe UI" w:hAnsi="Segoe UI" w:cs="Segoe UI"/>
          <w:szCs w:val="22"/>
          <w:lang w:eastAsia="ar-SA"/>
        </w:rPr>
        <w:t>IRR (Internal rate of return)</w:t>
      </w:r>
      <w:r w:rsidR="00FC0F9D" w:rsidRPr="00FC0F9D">
        <w:rPr>
          <w:rFonts w:ascii="Segoe UI" w:hAnsi="Segoe UI" w:cs="Segoe UI"/>
          <w:szCs w:val="22"/>
          <w:lang w:eastAsia="ar-SA"/>
        </w:rPr>
        <w:t xml:space="preserve"> </w:t>
      </w:r>
    </w:p>
    <w:p w14:paraId="15D00374" w14:textId="225101FA" w:rsidR="0035030B" w:rsidRPr="00F12E35" w:rsidRDefault="00FC0F9D" w:rsidP="00F12E35">
      <w:pPr>
        <w:pStyle w:val="Odstavecseseznamem"/>
        <w:numPr>
          <w:ilvl w:val="1"/>
          <w:numId w:val="14"/>
        </w:numPr>
        <w:spacing w:before="120" w:after="240"/>
        <w:ind w:left="1434" w:hanging="357"/>
        <w:rPr>
          <w:rFonts w:ascii="Segoe UI" w:hAnsi="Segoe UI" w:cs="Segoe UI"/>
          <w:b/>
          <w:lang w:eastAsia="en-GB"/>
        </w:rPr>
      </w:pPr>
      <w:r w:rsidRPr="006A48BB">
        <w:rPr>
          <w:rFonts w:ascii="Segoe UI" w:hAnsi="Segoe UI" w:cs="Segoe UI"/>
          <w:szCs w:val="22"/>
          <w:lang w:eastAsia="ar-SA"/>
        </w:rPr>
        <w:t>Výplata dividendy / vkladu investora</w:t>
      </w:r>
    </w:p>
    <w:p w14:paraId="4677D9A8" w14:textId="5BE6DA41" w:rsidR="00470D9C" w:rsidRPr="006A48BB" w:rsidRDefault="00470D9C" w:rsidP="000747DF">
      <w:pPr>
        <w:pStyle w:val="Seznamsodrkami"/>
        <w:spacing w:before="120" w:after="120"/>
        <w:contextualSpacing w:val="0"/>
        <w:jc w:val="both"/>
        <w:rPr>
          <w:rFonts w:ascii="Segoe UI" w:hAnsi="Segoe UI" w:cs="Segoe UI"/>
          <w:b/>
          <w:lang w:eastAsia="en-GB"/>
        </w:rPr>
      </w:pPr>
      <w:r w:rsidRPr="006A48BB">
        <w:rPr>
          <w:rFonts w:ascii="Segoe UI" w:hAnsi="Segoe UI" w:cs="Segoe UI"/>
          <w:b/>
          <w:lang w:eastAsia="en-GB"/>
        </w:rPr>
        <w:t>Robustnost</w:t>
      </w:r>
      <w:r w:rsidR="005E6E29" w:rsidRPr="006A48BB">
        <w:rPr>
          <w:rFonts w:ascii="Segoe UI" w:hAnsi="Segoe UI" w:cs="Segoe UI"/>
          <w:b/>
          <w:lang w:eastAsia="en-GB"/>
        </w:rPr>
        <w:t xml:space="preserve"> Finančního</w:t>
      </w:r>
      <w:r w:rsidR="001F563A" w:rsidRPr="006A48BB">
        <w:rPr>
          <w:rFonts w:ascii="Segoe UI" w:hAnsi="Segoe UI" w:cs="Segoe UI"/>
          <w:b/>
          <w:lang w:eastAsia="en-GB"/>
        </w:rPr>
        <w:t xml:space="preserve"> </w:t>
      </w:r>
      <w:r w:rsidR="00DA7E47" w:rsidRPr="006A48BB">
        <w:rPr>
          <w:rFonts w:ascii="Segoe UI" w:hAnsi="Segoe UI" w:cs="Segoe UI"/>
          <w:b/>
          <w:lang w:eastAsia="en-GB"/>
        </w:rPr>
        <w:t>m</w:t>
      </w:r>
      <w:r w:rsidRPr="006A48BB">
        <w:rPr>
          <w:rFonts w:ascii="Segoe UI" w:hAnsi="Segoe UI" w:cs="Segoe UI"/>
          <w:b/>
          <w:lang w:eastAsia="en-GB"/>
        </w:rPr>
        <w:t>odelu</w:t>
      </w:r>
    </w:p>
    <w:p w14:paraId="7EE5DC17" w14:textId="1040E785" w:rsidR="005906D3" w:rsidRPr="006A48BB" w:rsidRDefault="005906D3" w:rsidP="000747DF">
      <w:pPr>
        <w:pStyle w:val="Odstavecseseznamem"/>
        <w:numPr>
          <w:ilvl w:val="0"/>
          <w:numId w:val="15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t xml:space="preserve">FM musí demonstrovat schopnost </w:t>
      </w:r>
      <w:r w:rsidR="005E6E29" w:rsidRPr="006A48BB">
        <w:rPr>
          <w:rFonts w:ascii="Segoe UI" w:hAnsi="Segoe UI" w:cs="Segoe UI"/>
          <w:szCs w:val="22"/>
          <w:lang w:eastAsia="ar-SA"/>
        </w:rPr>
        <w:t xml:space="preserve">Koncesionáře splácet </w:t>
      </w:r>
      <w:r w:rsidRPr="006A48BB">
        <w:rPr>
          <w:rFonts w:ascii="Segoe UI" w:hAnsi="Segoe UI" w:cs="Segoe UI"/>
          <w:szCs w:val="22"/>
          <w:lang w:eastAsia="ar-SA"/>
        </w:rPr>
        <w:t xml:space="preserve">Seniorní úvěr včetně příslušenství na Investiční náklady </w:t>
      </w:r>
      <w:r w:rsidR="00FC0F9D">
        <w:rPr>
          <w:rFonts w:ascii="Segoe UI" w:hAnsi="Segoe UI" w:cs="Segoe UI"/>
          <w:szCs w:val="22"/>
          <w:lang w:eastAsia="ar-SA"/>
        </w:rPr>
        <w:t>a Pachtovné Zadavateli</w:t>
      </w:r>
    </w:p>
    <w:p w14:paraId="53396B4B" w14:textId="3F801CAB" w:rsidR="00470D9C" w:rsidRPr="006A48BB" w:rsidRDefault="00470D9C" w:rsidP="000747DF">
      <w:pPr>
        <w:pStyle w:val="Odstavecseseznamem"/>
        <w:numPr>
          <w:ilvl w:val="0"/>
          <w:numId w:val="15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t xml:space="preserve">FM by měl demonstrovat schopnost </w:t>
      </w:r>
      <w:r w:rsidR="0016127A" w:rsidRPr="006A48BB">
        <w:rPr>
          <w:rFonts w:ascii="Segoe UI" w:hAnsi="Segoe UI" w:cs="Segoe UI"/>
          <w:szCs w:val="22"/>
          <w:lang w:eastAsia="ar-SA"/>
        </w:rPr>
        <w:t>Koncesionáře</w:t>
      </w:r>
      <w:r w:rsidRPr="006A48BB">
        <w:rPr>
          <w:rFonts w:ascii="Segoe UI" w:hAnsi="Segoe UI" w:cs="Segoe UI"/>
          <w:szCs w:val="22"/>
          <w:lang w:eastAsia="ar-SA"/>
        </w:rPr>
        <w:t xml:space="preserve"> vyrovnat se s neočekávaným nárůstem nákladů (např. vícenákladů při </w:t>
      </w:r>
      <w:r w:rsidR="00DA7E47" w:rsidRPr="006A48BB">
        <w:rPr>
          <w:rFonts w:ascii="Segoe UI" w:hAnsi="Segoe UI" w:cs="Segoe UI"/>
          <w:szCs w:val="22"/>
          <w:lang w:eastAsia="ar-SA"/>
        </w:rPr>
        <w:t xml:space="preserve">Stavbě </w:t>
      </w:r>
      <w:r w:rsidR="00FC0F9D">
        <w:rPr>
          <w:rFonts w:ascii="Segoe UI" w:hAnsi="Segoe UI" w:cs="Segoe UI"/>
          <w:szCs w:val="22"/>
          <w:lang w:eastAsia="ar-SA"/>
        </w:rPr>
        <w:t>Nového pavilonu</w:t>
      </w:r>
      <w:r w:rsidRPr="006A48BB">
        <w:rPr>
          <w:rFonts w:ascii="Segoe UI" w:hAnsi="Segoe UI" w:cs="Segoe UI"/>
          <w:szCs w:val="22"/>
          <w:lang w:eastAsia="ar-SA"/>
        </w:rPr>
        <w:t>), nebo s krátkodobým výpadkem příjmů bez zásadního vlivu na stabilitu celého projektu, zejména jeho financování</w:t>
      </w:r>
    </w:p>
    <w:p w14:paraId="59497929" w14:textId="0D654D93" w:rsidR="0003500E" w:rsidRPr="006A48BB" w:rsidRDefault="0003500E" w:rsidP="000747DF">
      <w:pPr>
        <w:pStyle w:val="Odstavecseseznamem"/>
        <w:numPr>
          <w:ilvl w:val="0"/>
          <w:numId w:val="15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lastRenderedPageBreak/>
        <w:t>FM by měl reflektovat současnou a očekávanou budoucí situaci na pracovním trhu a rizika růstu osobních nákladů</w:t>
      </w:r>
    </w:p>
    <w:p w14:paraId="5CD60FB6" w14:textId="30D893D4" w:rsidR="00470D9C" w:rsidRPr="006A48BB" w:rsidRDefault="00470D9C" w:rsidP="000747DF">
      <w:pPr>
        <w:pStyle w:val="Odstavecseseznamem"/>
        <w:numPr>
          <w:ilvl w:val="0"/>
          <w:numId w:val="15"/>
        </w:numPr>
        <w:spacing w:before="120" w:after="120"/>
        <w:ind w:left="714" w:hanging="357"/>
        <w:rPr>
          <w:rFonts w:ascii="Segoe UI" w:hAnsi="Segoe UI" w:cs="Segoe UI"/>
          <w:szCs w:val="22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t>FM by měl reflektovat současnou situaci na finančním trhu a reálné možnosti získání dlouhodobého financování pro účely projektu</w:t>
      </w:r>
    </w:p>
    <w:p w14:paraId="1B258F70" w14:textId="77777777" w:rsidR="00BD25AB" w:rsidRPr="006A48BB" w:rsidRDefault="00470D9C">
      <w:pPr>
        <w:pStyle w:val="Odstavecseseznamem"/>
        <w:numPr>
          <w:ilvl w:val="0"/>
          <w:numId w:val="15"/>
        </w:numPr>
        <w:spacing w:before="120" w:after="0"/>
        <w:rPr>
          <w:rFonts w:ascii="Segoe UI" w:hAnsi="Segoe UI" w:cs="Segoe UI"/>
          <w:szCs w:val="22"/>
          <w:lang w:eastAsia="ar-SA"/>
        </w:rPr>
      </w:pPr>
      <w:r w:rsidRPr="006A48BB">
        <w:rPr>
          <w:rFonts w:ascii="Segoe UI" w:hAnsi="Segoe UI" w:cs="Segoe UI"/>
          <w:szCs w:val="22"/>
          <w:lang w:eastAsia="ar-SA"/>
        </w:rPr>
        <w:t>FM by měl počítat s dostatečnou průběžnou likvidní rezervou pro případ přerušení finančních toků</w:t>
      </w:r>
    </w:p>
    <w:bookmarkEnd w:id="1"/>
    <w:bookmarkEnd w:id="2"/>
    <w:p w14:paraId="0AFC78C2" w14:textId="77777777" w:rsidR="00470D9C" w:rsidRPr="006A48BB" w:rsidRDefault="00470D9C" w:rsidP="006A48BB">
      <w:pPr>
        <w:spacing w:before="240"/>
        <w:jc w:val="both"/>
        <w:rPr>
          <w:rFonts w:ascii="Segoe UI" w:hAnsi="Segoe UI" w:cs="Segoe UI"/>
          <w:lang w:eastAsia="ar-SA"/>
        </w:rPr>
      </w:pPr>
    </w:p>
    <w:sectPr w:rsidR="00470D9C" w:rsidRPr="006A48BB" w:rsidSect="00470D9C">
      <w:footerReference w:type="default" r:id="rId8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6D814" w14:textId="77777777" w:rsidR="008534E8" w:rsidRDefault="008534E8" w:rsidP="009C19D7">
      <w:pPr>
        <w:spacing w:after="0" w:line="240" w:lineRule="auto"/>
      </w:pPr>
      <w:r>
        <w:separator/>
      </w:r>
    </w:p>
  </w:endnote>
  <w:endnote w:type="continuationSeparator" w:id="0">
    <w:p w14:paraId="75531FF2" w14:textId="77777777" w:rsidR="008534E8" w:rsidRDefault="008534E8" w:rsidP="009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410700623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7C802DA1" w14:textId="26B6A556" w:rsidR="008E289E" w:rsidRDefault="00BA0F37">
        <w:pPr>
          <w:pStyle w:val="Zpat"/>
          <w:rPr>
            <w:rFonts w:ascii="Segoe UI" w:hAnsi="Segoe UI" w:cs="Segoe UI"/>
            <w:sz w:val="20"/>
            <w:szCs w:val="20"/>
          </w:rPr>
        </w:pPr>
        <w:r w:rsidRPr="00AC23B0">
          <w:rPr>
            <w:rFonts w:ascii="Segoe UI" w:hAnsi="Segoe UI" w:cs="Segoe UI"/>
            <w:sz w:val="20"/>
            <w:szCs w:val="20"/>
          </w:rPr>
          <w:fldChar w:fldCharType="begin"/>
        </w:r>
        <w:r w:rsidRPr="00AC23B0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AC23B0">
          <w:rPr>
            <w:rFonts w:ascii="Segoe UI" w:hAnsi="Segoe UI" w:cs="Segoe UI"/>
            <w:sz w:val="20"/>
            <w:szCs w:val="20"/>
          </w:rPr>
          <w:fldChar w:fldCharType="separate"/>
        </w:r>
        <w:r w:rsidR="00803775">
          <w:rPr>
            <w:rFonts w:ascii="Segoe UI" w:hAnsi="Segoe UI" w:cs="Segoe UI"/>
            <w:noProof/>
            <w:sz w:val="20"/>
            <w:szCs w:val="20"/>
          </w:rPr>
          <w:t>2</w:t>
        </w:r>
        <w:r w:rsidRPr="00AC23B0">
          <w:rPr>
            <w:rFonts w:ascii="Segoe UI" w:hAnsi="Segoe UI" w:cs="Segoe UI"/>
            <w:sz w:val="20"/>
            <w:szCs w:val="20"/>
          </w:rPr>
          <w:fldChar w:fldCharType="end"/>
        </w:r>
      </w:p>
      <w:p w14:paraId="683FC7C9" w14:textId="372C2908" w:rsidR="00BA0F37" w:rsidRPr="00AC23B0" w:rsidRDefault="00803775" w:rsidP="008E289E">
        <w:pPr>
          <w:pStyle w:val="Zpat"/>
          <w:jc w:val="left"/>
          <w:rPr>
            <w:rFonts w:ascii="Segoe UI" w:hAnsi="Segoe UI" w:cs="Segoe UI"/>
            <w:sz w:val="20"/>
            <w:szCs w:val="20"/>
          </w:rPr>
        </w:pPr>
      </w:p>
    </w:sdtContent>
  </w:sdt>
  <w:p w14:paraId="10E92314" w14:textId="77777777" w:rsidR="00BA0F37" w:rsidRDefault="00BA0F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09C14" w14:textId="77777777" w:rsidR="008534E8" w:rsidRDefault="008534E8" w:rsidP="009C19D7">
      <w:pPr>
        <w:spacing w:after="0" w:line="240" w:lineRule="auto"/>
      </w:pPr>
      <w:r>
        <w:separator/>
      </w:r>
    </w:p>
  </w:footnote>
  <w:footnote w:type="continuationSeparator" w:id="0">
    <w:p w14:paraId="036A6780" w14:textId="77777777" w:rsidR="008534E8" w:rsidRDefault="008534E8" w:rsidP="009C19D7">
      <w:pPr>
        <w:spacing w:after="0" w:line="240" w:lineRule="auto"/>
      </w:pPr>
      <w:r>
        <w:continuationSeparator/>
      </w:r>
    </w:p>
  </w:footnote>
  <w:footnote w:id="1">
    <w:p w14:paraId="3FF4B7E5" w14:textId="07F56DE6" w:rsidR="007C588B" w:rsidRDefault="007C588B" w:rsidP="007C588B">
      <w:pPr>
        <w:pStyle w:val="Textpoznpodarou"/>
      </w:pPr>
      <w:r>
        <w:rPr>
          <w:rStyle w:val="Znakapoznpodarou"/>
        </w:rPr>
        <w:footnoteRef/>
      </w:r>
      <w:r>
        <w:t xml:space="preserve"> Související stavby jsou budovány na náklady Koncesionáře přímo do vlastnictví Zadavatele jako součást Předmětu pachtu</w:t>
      </w:r>
    </w:p>
    <w:p w14:paraId="1EAF320F" w14:textId="2A3F9FBD" w:rsidR="007C588B" w:rsidRDefault="007C588B">
      <w:pPr>
        <w:pStyle w:val="Textpoznpodarou"/>
      </w:pPr>
    </w:p>
  </w:footnote>
  <w:footnote w:id="2">
    <w:p w14:paraId="3554E647" w14:textId="67189082" w:rsidR="007C588B" w:rsidRDefault="007C588B">
      <w:pPr>
        <w:pStyle w:val="Textpoznpodarou"/>
      </w:pPr>
      <w:r>
        <w:rPr>
          <w:rStyle w:val="Znakapoznpodarou"/>
        </w:rPr>
        <w:footnoteRef/>
      </w:r>
      <w:r>
        <w:t xml:space="preserve"> Netýká se Souvisejících staveb, které jsou budovány do vlastnictví Zadavatele jako součást Předmětu pachtu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972A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72A7C"/>
    <w:multiLevelType w:val="multilevel"/>
    <w:tmpl w:val="061475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D20196"/>
    <w:multiLevelType w:val="hybridMultilevel"/>
    <w:tmpl w:val="FF22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119D"/>
    <w:multiLevelType w:val="hybridMultilevel"/>
    <w:tmpl w:val="F2DA5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17EE4"/>
    <w:multiLevelType w:val="multilevel"/>
    <w:tmpl w:val="6F62651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155"/>
        </w:tabs>
        <w:ind w:left="2155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14C9D"/>
    <w:multiLevelType w:val="hybridMultilevel"/>
    <w:tmpl w:val="284AF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F3426"/>
    <w:multiLevelType w:val="multilevel"/>
    <w:tmpl w:val="6430072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E0F6FF4A"/>
    <w:lvl w:ilvl="0">
      <w:start w:val="1"/>
      <w:numFmt w:val="decimal"/>
      <w:pStyle w:val="Seznamsodrkami"/>
      <w:lvlText w:val="%1."/>
      <w:lvlJc w:val="left"/>
      <w:pPr>
        <w:tabs>
          <w:tab w:val="num" w:pos="737"/>
        </w:tabs>
        <w:ind w:left="737" w:hanging="737"/>
      </w:pPr>
      <w:rPr>
        <w:rFonts w:ascii="Segoe UI" w:hAnsi="Segoe UI" w:cs="Segoe U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155"/>
        </w:tabs>
        <w:ind w:left="2155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EE629D"/>
    <w:multiLevelType w:val="hybridMultilevel"/>
    <w:tmpl w:val="284AF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C11FE"/>
    <w:multiLevelType w:val="hybridMultilevel"/>
    <w:tmpl w:val="19342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E5CCC"/>
    <w:multiLevelType w:val="multilevel"/>
    <w:tmpl w:val="6F62651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155"/>
        </w:tabs>
        <w:ind w:left="2155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2342A2"/>
    <w:multiLevelType w:val="hybridMultilevel"/>
    <w:tmpl w:val="160A00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44B35"/>
    <w:multiLevelType w:val="hybridMultilevel"/>
    <w:tmpl w:val="92F08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81C68"/>
    <w:multiLevelType w:val="hybridMultilevel"/>
    <w:tmpl w:val="284AF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B5ABB"/>
    <w:multiLevelType w:val="hybridMultilevel"/>
    <w:tmpl w:val="E9108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17012"/>
    <w:multiLevelType w:val="hybridMultilevel"/>
    <w:tmpl w:val="D07A9626"/>
    <w:lvl w:ilvl="0" w:tplc="EEBC4C98">
      <w:start w:val="1"/>
      <w:numFmt w:val="bullet"/>
      <w:pStyle w:val="Bullety"/>
      <w:lvlText w:val="■"/>
      <w:lvlJc w:val="left"/>
      <w:pPr>
        <w:ind w:left="717" w:hanging="360"/>
      </w:pPr>
      <w:rPr>
        <w:rFonts w:ascii="Arial" w:hAnsi="Arial" w:hint="default"/>
        <w:color w:val="0033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80803"/>
    <w:multiLevelType w:val="hybridMultilevel"/>
    <w:tmpl w:val="FB42A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12"/>
  </w:num>
  <w:num w:numId="15">
    <w:abstractNumId w:val="14"/>
  </w:num>
  <w:num w:numId="16">
    <w:abstractNumId w:val="7"/>
  </w:num>
  <w:num w:numId="17">
    <w:abstractNumId w:val="11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BE"/>
    <w:rsid w:val="00002530"/>
    <w:rsid w:val="00003A46"/>
    <w:rsid w:val="00016685"/>
    <w:rsid w:val="000303B6"/>
    <w:rsid w:val="00032B02"/>
    <w:rsid w:val="000335B6"/>
    <w:rsid w:val="0003500E"/>
    <w:rsid w:val="00051B94"/>
    <w:rsid w:val="00064837"/>
    <w:rsid w:val="00066DEA"/>
    <w:rsid w:val="0007448F"/>
    <w:rsid w:val="000747DF"/>
    <w:rsid w:val="000748EF"/>
    <w:rsid w:val="00086873"/>
    <w:rsid w:val="00091490"/>
    <w:rsid w:val="000B05B1"/>
    <w:rsid w:val="000C7BD6"/>
    <w:rsid w:val="000D768F"/>
    <w:rsid w:val="000D78B0"/>
    <w:rsid w:val="000E6112"/>
    <w:rsid w:val="0010030A"/>
    <w:rsid w:val="00110FA0"/>
    <w:rsid w:val="001155D8"/>
    <w:rsid w:val="00146CA4"/>
    <w:rsid w:val="001563C8"/>
    <w:rsid w:val="0016127A"/>
    <w:rsid w:val="00161EA7"/>
    <w:rsid w:val="00183B62"/>
    <w:rsid w:val="001B78C5"/>
    <w:rsid w:val="001C4A41"/>
    <w:rsid w:val="001C6E90"/>
    <w:rsid w:val="001D5D28"/>
    <w:rsid w:val="001E5270"/>
    <w:rsid w:val="001E54D9"/>
    <w:rsid w:val="001F2BA2"/>
    <w:rsid w:val="001F563A"/>
    <w:rsid w:val="001F5EEB"/>
    <w:rsid w:val="00232B8A"/>
    <w:rsid w:val="00271077"/>
    <w:rsid w:val="002729A5"/>
    <w:rsid w:val="00280115"/>
    <w:rsid w:val="00284FF5"/>
    <w:rsid w:val="002A61F0"/>
    <w:rsid w:val="002C1B34"/>
    <w:rsid w:val="002D31D7"/>
    <w:rsid w:val="002D66E7"/>
    <w:rsid w:val="002F32EE"/>
    <w:rsid w:val="002F4166"/>
    <w:rsid w:val="002F6E65"/>
    <w:rsid w:val="002F706A"/>
    <w:rsid w:val="00305E74"/>
    <w:rsid w:val="00322E66"/>
    <w:rsid w:val="003272CF"/>
    <w:rsid w:val="00331203"/>
    <w:rsid w:val="00344E03"/>
    <w:rsid w:val="0035030B"/>
    <w:rsid w:val="00392156"/>
    <w:rsid w:val="003B6D88"/>
    <w:rsid w:val="003C62EB"/>
    <w:rsid w:val="003D05F4"/>
    <w:rsid w:val="003D6083"/>
    <w:rsid w:val="0040518D"/>
    <w:rsid w:val="0041789B"/>
    <w:rsid w:val="00457856"/>
    <w:rsid w:val="00470D9C"/>
    <w:rsid w:val="00471309"/>
    <w:rsid w:val="00482BFC"/>
    <w:rsid w:val="00491282"/>
    <w:rsid w:val="00495E64"/>
    <w:rsid w:val="004A55E2"/>
    <w:rsid w:val="004A6F63"/>
    <w:rsid w:val="004E117F"/>
    <w:rsid w:val="004F0F2E"/>
    <w:rsid w:val="004F5D01"/>
    <w:rsid w:val="00527743"/>
    <w:rsid w:val="00533B8D"/>
    <w:rsid w:val="0053720C"/>
    <w:rsid w:val="00545827"/>
    <w:rsid w:val="00554FDE"/>
    <w:rsid w:val="005625B3"/>
    <w:rsid w:val="0057283C"/>
    <w:rsid w:val="0058125E"/>
    <w:rsid w:val="005906D3"/>
    <w:rsid w:val="0059563C"/>
    <w:rsid w:val="00595C3E"/>
    <w:rsid w:val="005A108A"/>
    <w:rsid w:val="005A4592"/>
    <w:rsid w:val="005A79CC"/>
    <w:rsid w:val="005C1F8D"/>
    <w:rsid w:val="005C70C3"/>
    <w:rsid w:val="005D6F1D"/>
    <w:rsid w:val="005E0C89"/>
    <w:rsid w:val="005E6E29"/>
    <w:rsid w:val="005E732E"/>
    <w:rsid w:val="005F4265"/>
    <w:rsid w:val="00603617"/>
    <w:rsid w:val="00652ECE"/>
    <w:rsid w:val="006635FF"/>
    <w:rsid w:val="00697AEF"/>
    <w:rsid w:val="006A48BB"/>
    <w:rsid w:val="006A6044"/>
    <w:rsid w:val="006C7ACB"/>
    <w:rsid w:val="006D7211"/>
    <w:rsid w:val="006E56FF"/>
    <w:rsid w:val="007055BE"/>
    <w:rsid w:val="007116EA"/>
    <w:rsid w:val="00714D4D"/>
    <w:rsid w:val="007342AC"/>
    <w:rsid w:val="00745BC6"/>
    <w:rsid w:val="00753295"/>
    <w:rsid w:val="00764305"/>
    <w:rsid w:val="007660FF"/>
    <w:rsid w:val="00772C83"/>
    <w:rsid w:val="00774291"/>
    <w:rsid w:val="00774760"/>
    <w:rsid w:val="007A212B"/>
    <w:rsid w:val="007B6234"/>
    <w:rsid w:val="007C588B"/>
    <w:rsid w:val="007D2546"/>
    <w:rsid w:val="007F585F"/>
    <w:rsid w:val="00803775"/>
    <w:rsid w:val="00804BB8"/>
    <w:rsid w:val="008372B0"/>
    <w:rsid w:val="00850BC4"/>
    <w:rsid w:val="00850CA5"/>
    <w:rsid w:val="008534E8"/>
    <w:rsid w:val="00857ACF"/>
    <w:rsid w:val="008610F0"/>
    <w:rsid w:val="00874AA5"/>
    <w:rsid w:val="00876050"/>
    <w:rsid w:val="008852E4"/>
    <w:rsid w:val="008924C0"/>
    <w:rsid w:val="008B1222"/>
    <w:rsid w:val="008B3796"/>
    <w:rsid w:val="008B5BBD"/>
    <w:rsid w:val="008B758B"/>
    <w:rsid w:val="008C22D8"/>
    <w:rsid w:val="008D3320"/>
    <w:rsid w:val="008E1FA1"/>
    <w:rsid w:val="008E289E"/>
    <w:rsid w:val="008E3F2F"/>
    <w:rsid w:val="008F1E39"/>
    <w:rsid w:val="00903130"/>
    <w:rsid w:val="009045F7"/>
    <w:rsid w:val="0092507E"/>
    <w:rsid w:val="00927A46"/>
    <w:rsid w:val="009370C6"/>
    <w:rsid w:val="00940F5C"/>
    <w:rsid w:val="00996D16"/>
    <w:rsid w:val="009A26B0"/>
    <w:rsid w:val="009A5784"/>
    <w:rsid w:val="009C19D7"/>
    <w:rsid w:val="009C65F3"/>
    <w:rsid w:val="00A05ADD"/>
    <w:rsid w:val="00A07D25"/>
    <w:rsid w:val="00A23C80"/>
    <w:rsid w:val="00A25D01"/>
    <w:rsid w:val="00A30736"/>
    <w:rsid w:val="00A32C5B"/>
    <w:rsid w:val="00A4208C"/>
    <w:rsid w:val="00A513D5"/>
    <w:rsid w:val="00A57044"/>
    <w:rsid w:val="00A57967"/>
    <w:rsid w:val="00AA3AAC"/>
    <w:rsid w:val="00AA606C"/>
    <w:rsid w:val="00AB1219"/>
    <w:rsid w:val="00AC23B0"/>
    <w:rsid w:val="00AC4695"/>
    <w:rsid w:val="00AC71EE"/>
    <w:rsid w:val="00AD4C37"/>
    <w:rsid w:val="00AE7961"/>
    <w:rsid w:val="00B06D08"/>
    <w:rsid w:val="00B10946"/>
    <w:rsid w:val="00B164EF"/>
    <w:rsid w:val="00B318A9"/>
    <w:rsid w:val="00B436A7"/>
    <w:rsid w:val="00B52C25"/>
    <w:rsid w:val="00B5770A"/>
    <w:rsid w:val="00B6615B"/>
    <w:rsid w:val="00B73AF3"/>
    <w:rsid w:val="00B7587F"/>
    <w:rsid w:val="00BA0F37"/>
    <w:rsid w:val="00BA29D1"/>
    <w:rsid w:val="00BB563D"/>
    <w:rsid w:val="00BC2EB7"/>
    <w:rsid w:val="00BC4FB4"/>
    <w:rsid w:val="00BD25AB"/>
    <w:rsid w:val="00BE3A29"/>
    <w:rsid w:val="00C007EF"/>
    <w:rsid w:val="00C04B72"/>
    <w:rsid w:val="00C13335"/>
    <w:rsid w:val="00C16B40"/>
    <w:rsid w:val="00C379F1"/>
    <w:rsid w:val="00C44FC1"/>
    <w:rsid w:val="00C520CC"/>
    <w:rsid w:val="00C57D4D"/>
    <w:rsid w:val="00C90D85"/>
    <w:rsid w:val="00C94369"/>
    <w:rsid w:val="00CB1CBE"/>
    <w:rsid w:val="00CB2FCD"/>
    <w:rsid w:val="00CE1E8C"/>
    <w:rsid w:val="00CF084D"/>
    <w:rsid w:val="00D12A47"/>
    <w:rsid w:val="00D23A71"/>
    <w:rsid w:val="00D4478A"/>
    <w:rsid w:val="00D57599"/>
    <w:rsid w:val="00D67AC6"/>
    <w:rsid w:val="00D7496A"/>
    <w:rsid w:val="00D827BB"/>
    <w:rsid w:val="00D84E5F"/>
    <w:rsid w:val="00D87044"/>
    <w:rsid w:val="00D97F26"/>
    <w:rsid w:val="00DA7E47"/>
    <w:rsid w:val="00DC4397"/>
    <w:rsid w:val="00DD3ABF"/>
    <w:rsid w:val="00DD70C6"/>
    <w:rsid w:val="00DE2F4D"/>
    <w:rsid w:val="00E04AD7"/>
    <w:rsid w:val="00E13599"/>
    <w:rsid w:val="00E15823"/>
    <w:rsid w:val="00E203C3"/>
    <w:rsid w:val="00E225C1"/>
    <w:rsid w:val="00E27535"/>
    <w:rsid w:val="00E368CE"/>
    <w:rsid w:val="00E54743"/>
    <w:rsid w:val="00E60BA8"/>
    <w:rsid w:val="00E644F8"/>
    <w:rsid w:val="00E71756"/>
    <w:rsid w:val="00E73CCC"/>
    <w:rsid w:val="00E74EDF"/>
    <w:rsid w:val="00E84E2A"/>
    <w:rsid w:val="00E90937"/>
    <w:rsid w:val="00E90A11"/>
    <w:rsid w:val="00E91429"/>
    <w:rsid w:val="00EB15BC"/>
    <w:rsid w:val="00EB5846"/>
    <w:rsid w:val="00EC52AE"/>
    <w:rsid w:val="00ED7823"/>
    <w:rsid w:val="00EE4521"/>
    <w:rsid w:val="00EE6933"/>
    <w:rsid w:val="00EE75FB"/>
    <w:rsid w:val="00F12E35"/>
    <w:rsid w:val="00F1380B"/>
    <w:rsid w:val="00F1725C"/>
    <w:rsid w:val="00F55825"/>
    <w:rsid w:val="00F72CE8"/>
    <w:rsid w:val="00F74DCF"/>
    <w:rsid w:val="00F764ED"/>
    <w:rsid w:val="00F94858"/>
    <w:rsid w:val="00FA1E0D"/>
    <w:rsid w:val="00FB1BB0"/>
    <w:rsid w:val="00FB4BCC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CE07"/>
  <w15:docId w15:val="{5E2B0853-601D-4B07-9913-21DB830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63C"/>
  </w:style>
  <w:style w:type="paragraph" w:styleId="Nadpis1">
    <w:name w:val="heading 1"/>
    <w:basedOn w:val="Normln"/>
    <w:next w:val="Normln"/>
    <w:link w:val="Nadpis1Char"/>
    <w:uiPriority w:val="9"/>
    <w:qFormat/>
    <w:rsid w:val="00A57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rsid w:val="007055BE"/>
    <w:pPr>
      <w:numPr>
        <w:ilvl w:val="1"/>
        <w:numId w:val="6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7055BE"/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7055BE"/>
    <w:pPr>
      <w:keepNext/>
      <w:numPr>
        <w:numId w:val="6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character" w:customStyle="1" w:styleId="RLlneksmlouvyCharChar">
    <w:name w:val="RL Článek smlouvy Char Char"/>
    <w:link w:val="RLlneksmlouvy"/>
    <w:rsid w:val="007055BE"/>
    <w:rPr>
      <w:rFonts w:ascii="Garamond" w:eastAsia="Times New Roman" w:hAnsi="Garamond" w:cs="Times New Roman"/>
      <w:b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055BE"/>
    <w:pPr>
      <w:spacing w:after="120" w:line="280" w:lineRule="exact"/>
      <w:jc w:val="center"/>
    </w:pPr>
    <w:rPr>
      <w:rFonts w:ascii="Garamond" w:eastAsia="Times New Roman" w:hAnsi="Garamond" w:cs="Times New Roman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7055BE"/>
    <w:rPr>
      <w:rFonts w:ascii="Garamond" w:eastAsia="Times New Roman" w:hAnsi="Garamond" w:cs="Times New Roman"/>
      <w:b/>
      <w:sz w:val="24"/>
      <w:szCs w:val="24"/>
    </w:rPr>
  </w:style>
  <w:style w:type="paragraph" w:styleId="Zpat">
    <w:name w:val="footer"/>
    <w:basedOn w:val="Normln"/>
    <w:link w:val="ZpatChar"/>
    <w:uiPriority w:val="99"/>
    <w:rsid w:val="007055BE"/>
    <w:pPr>
      <w:pBdr>
        <w:top w:val="dotted" w:sz="6" w:space="6" w:color="auto"/>
      </w:pBdr>
      <w:spacing w:after="0" w:line="280" w:lineRule="exact"/>
      <w:jc w:val="center"/>
    </w:pPr>
    <w:rPr>
      <w:rFonts w:ascii="Garamond" w:eastAsia="Times New Roman" w:hAnsi="Garamond" w:cs="Times New Roman"/>
      <w:color w:val="808080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055BE"/>
    <w:rPr>
      <w:rFonts w:ascii="Garamond" w:eastAsia="Times New Roman" w:hAnsi="Garamond" w:cs="Times New Roman"/>
      <w:color w:val="808080"/>
      <w:sz w:val="16"/>
      <w:szCs w:val="24"/>
    </w:rPr>
  </w:style>
  <w:style w:type="character" w:styleId="slostrnky">
    <w:name w:val="page number"/>
    <w:basedOn w:val="Standardnpsmoodstavce"/>
    <w:rsid w:val="007055BE"/>
  </w:style>
  <w:style w:type="paragraph" w:customStyle="1" w:styleId="Bullety">
    <w:name w:val="Bullety"/>
    <w:basedOn w:val="Seznamsodrkami"/>
    <w:qFormat/>
    <w:rsid w:val="007055BE"/>
    <w:pPr>
      <w:numPr>
        <w:numId w:val="2"/>
      </w:numPr>
      <w:tabs>
        <w:tab w:val="num" w:pos="360"/>
      </w:tabs>
      <w:spacing w:after="0" w:line="240" w:lineRule="auto"/>
      <w:ind w:left="737" w:hanging="737"/>
      <w:jc w:val="both"/>
    </w:pPr>
    <w:rPr>
      <w:rFonts w:ascii="Arial" w:eastAsia="MS Mincho" w:hAnsi="Arial" w:cs="Times New Roman"/>
      <w:szCs w:val="24"/>
    </w:rPr>
  </w:style>
  <w:style w:type="paragraph" w:styleId="Seznamsodrkami">
    <w:name w:val="List Bullet"/>
    <w:basedOn w:val="Normln"/>
    <w:uiPriority w:val="99"/>
    <w:unhideWhenUsed/>
    <w:rsid w:val="007055BE"/>
    <w:pPr>
      <w:numPr>
        <w:numId w:val="1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6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C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C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C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C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C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9D7"/>
  </w:style>
  <w:style w:type="table" w:styleId="Mkatabulky">
    <w:name w:val="Table Grid"/>
    <w:basedOn w:val="Normlntabulka"/>
    <w:uiPriority w:val="59"/>
    <w:rsid w:val="00A25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5D01"/>
    <w:pPr>
      <w:spacing w:after="284" w:line="240" w:lineRule="auto"/>
      <w:ind w:left="708"/>
      <w:jc w:val="both"/>
    </w:pPr>
    <w:rPr>
      <w:rFonts w:ascii="Verdana" w:eastAsia="MS Mincho" w:hAnsi="Verdana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D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570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mezer">
    <w:name w:val="No Spacing"/>
    <w:uiPriority w:val="1"/>
    <w:qFormat/>
    <w:rsid w:val="00A57044"/>
    <w:pPr>
      <w:spacing w:after="0" w:line="240" w:lineRule="auto"/>
    </w:pPr>
  </w:style>
  <w:style w:type="paragraph" w:styleId="Revize">
    <w:name w:val="Revision"/>
    <w:hidden/>
    <w:uiPriority w:val="99"/>
    <w:semiHidden/>
    <w:rsid w:val="009A578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8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8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5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2217-B2E3-42FE-A2C2-15B8BBA4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NEWTON BD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Sedlák</dc:creator>
  <cp:lastModifiedBy>Schlauchová Iveta</cp:lastModifiedBy>
  <cp:revision>2</cp:revision>
  <dcterms:created xsi:type="dcterms:W3CDTF">2023-11-01T13:41:00Z</dcterms:created>
  <dcterms:modified xsi:type="dcterms:W3CDTF">2023-11-01T13:41:00Z</dcterms:modified>
</cp:coreProperties>
</file>