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45F41" w14:textId="42444B0E" w:rsidR="007C336D" w:rsidRPr="00236079" w:rsidRDefault="007C336D" w:rsidP="007C336D">
      <w:pPr>
        <w:pStyle w:val="Nadpis2"/>
        <w:numPr>
          <w:ilvl w:val="0"/>
          <w:numId w:val="0"/>
        </w:numPr>
        <w:jc w:val="center"/>
      </w:pPr>
      <w:bookmarkStart w:id="0" w:name="_Toc71537521"/>
      <w:bookmarkStart w:id="1" w:name="_GoBack"/>
      <w:bookmarkEnd w:id="1"/>
      <w:r w:rsidRPr="000430AA">
        <w:t xml:space="preserve">PŘÍLOHA Č. </w:t>
      </w:r>
      <w:bookmarkEnd w:id="0"/>
      <w:r w:rsidR="0069126C" w:rsidRPr="000430AA">
        <w:t>2</w:t>
      </w:r>
    </w:p>
    <w:p w14:paraId="4BCA9D6C" w14:textId="3FAC1A27" w:rsidR="007C336D" w:rsidRPr="001E5B94" w:rsidRDefault="007C336D" w:rsidP="001E5B94">
      <w:pPr>
        <w:spacing w:after="240"/>
        <w:jc w:val="center"/>
        <w:rPr>
          <w:rFonts w:cs="Segoe UI"/>
          <w:b/>
          <w:bCs/>
        </w:rPr>
      </w:pPr>
      <w:r>
        <w:rPr>
          <w:rFonts w:cs="Segoe UI"/>
          <w:b/>
          <w:bCs/>
        </w:rPr>
        <w:t>P</w:t>
      </w:r>
      <w:r w:rsidR="001E5B94">
        <w:rPr>
          <w:rFonts w:cs="Segoe UI"/>
          <w:b/>
          <w:bCs/>
        </w:rPr>
        <w:t>ACHTOVNÉ</w:t>
      </w:r>
    </w:p>
    <w:p w14:paraId="370618F8" w14:textId="272728E1" w:rsidR="007C336D" w:rsidRPr="00677B67" w:rsidRDefault="007C336D" w:rsidP="007C336D">
      <w:pPr>
        <w:pStyle w:val="Odstavecseseznamem"/>
        <w:numPr>
          <w:ilvl w:val="0"/>
          <w:numId w:val="2"/>
        </w:numPr>
        <w:spacing w:before="0" w:line="259" w:lineRule="auto"/>
        <w:ind w:left="426" w:hanging="426"/>
        <w:contextualSpacing w:val="0"/>
        <w:rPr>
          <w:rFonts w:cs="Segoe UI"/>
          <w:b/>
          <w:bCs/>
        </w:rPr>
      </w:pPr>
      <w:r>
        <w:rPr>
          <w:rFonts w:cs="Segoe UI"/>
          <w:b/>
          <w:bCs/>
        </w:rPr>
        <w:t>Pachtovné</w:t>
      </w:r>
    </w:p>
    <w:p w14:paraId="1AD90931" w14:textId="554D5F50" w:rsidR="008A72DF" w:rsidRDefault="009107D0" w:rsidP="007C336D">
      <w:pPr>
        <w:rPr>
          <w:rFonts w:cs="Segoe UI"/>
        </w:rPr>
      </w:pPr>
      <w:r>
        <w:rPr>
          <w:rFonts w:cs="Segoe UI"/>
        </w:rPr>
        <w:t xml:space="preserve">Pachtovné je stanoveno </w:t>
      </w:r>
      <w:r w:rsidR="0017443A">
        <w:rPr>
          <w:rFonts w:cs="Segoe UI"/>
        </w:rPr>
        <w:t xml:space="preserve">jako </w:t>
      </w:r>
      <w:r w:rsidR="001E147B">
        <w:rPr>
          <w:rFonts w:cs="Segoe UI"/>
        </w:rPr>
        <w:t>fixní</w:t>
      </w:r>
      <w:r w:rsidR="0017443A">
        <w:rPr>
          <w:rFonts w:cs="Segoe UI"/>
        </w:rPr>
        <w:t xml:space="preserve"> část úplaty za </w:t>
      </w:r>
      <w:r w:rsidR="006D7EA0">
        <w:rPr>
          <w:rFonts w:cs="Segoe UI"/>
        </w:rPr>
        <w:t>Předmět pachtu</w:t>
      </w:r>
      <w:r w:rsidR="0017443A">
        <w:rPr>
          <w:rFonts w:cs="Segoe UI"/>
        </w:rPr>
        <w:t xml:space="preserve"> </w:t>
      </w:r>
      <w:r w:rsidR="003C05C1" w:rsidRPr="003C05C1">
        <w:rPr>
          <w:rFonts w:cs="Segoe UI"/>
        </w:rPr>
        <w:t xml:space="preserve">ode Dne </w:t>
      </w:r>
      <w:r w:rsidR="006A34F1">
        <w:rPr>
          <w:rFonts w:cs="Segoe UI"/>
        </w:rPr>
        <w:t>zahájení provozu</w:t>
      </w:r>
      <w:r w:rsidR="003C05C1" w:rsidRPr="003C05C1">
        <w:rPr>
          <w:rFonts w:cs="Segoe UI"/>
        </w:rPr>
        <w:t xml:space="preserve"> do Dne skončení</w:t>
      </w:r>
      <w:r>
        <w:rPr>
          <w:rFonts w:cs="Segoe UI"/>
        </w:rPr>
        <w:t xml:space="preserve">. </w:t>
      </w:r>
      <w:r w:rsidR="001E147B">
        <w:rPr>
          <w:rFonts w:cs="Segoe UI"/>
        </w:rPr>
        <w:t xml:space="preserve">Koncesionář se zavazuje po Koncesní dobu hradit roční Pachtovné ve výši </w:t>
      </w:r>
      <w:r w:rsidR="00DA23F0" w:rsidRPr="008622EB">
        <w:rPr>
          <w:b/>
        </w:rPr>
        <w:t>9.829.361,- Kč</w:t>
      </w:r>
      <w:r w:rsidR="00DA23F0" w:rsidRPr="008622EB">
        <w:t xml:space="preserve"> (slovy: devět milionů osm set dvacet devět tisíc tři sta šedesát jedna)</w:t>
      </w:r>
      <w:r w:rsidR="001E147B" w:rsidRPr="008622EB">
        <w:rPr>
          <w:rFonts w:cs="Segoe UI"/>
        </w:rPr>
        <w:t xml:space="preserve"> </w:t>
      </w:r>
      <w:r w:rsidR="006F69F5" w:rsidRPr="008622EB">
        <w:rPr>
          <w:rFonts w:cs="Segoe UI"/>
        </w:rPr>
        <w:t>bez</w:t>
      </w:r>
      <w:r w:rsidR="006F69F5">
        <w:rPr>
          <w:rFonts w:cs="Segoe UI"/>
        </w:rPr>
        <w:t xml:space="preserve"> DPH</w:t>
      </w:r>
      <w:r w:rsidR="0069126C">
        <w:rPr>
          <w:rFonts w:cs="Segoe UI"/>
        </w:rPr>
        <w:t>, které bude podléhat každoroční indexaci</w:t>
      </w:r>
      <w:r w:rsidR="001E147B">
        <w:rPr>
          <w:rFonts w:cs="Segoe UI"/>
        </w:rPr>
        <w:t xml:space="preserve">. </w:t>
      </w:r>
      <w:r w:rsidR="00335F09">
        <w:rPr>
          <w:rFonts w:cs="Segoe UI"/>
        </w:rPr>
        <w:t xml:space="preserve">Bude-li existovat povinnost Zadavatele hradit DPH z Pachtovného, bude Pachtovné zvýšeno o DPH ve stanovené sazbě. </w:t>
      </w:r>
    </w:p>
    <w:p w14:paraId="758C7D3E" w14:textId="51CF8E8D" w:rsidR="008A72DF" w:rsidRDefault="008A72DF" w:rsidP="007C336D">
      <w:pPr>
        <w:rPr>
          <w:rFonts w:cs="Segoe UI"/>
        </w:rPr>
      </w:pPr>
      <w:r>
        <w:rPr>
          <w:rFonts w:cs="Segoe UI"/>
        </w:rPr>
        <w:t xml:space="preserve">V případě trvání pachtu po část kalendářního roku </w:t>
      </w:r>
      <w:r w:rsidR="00335F09">
        <w:rPr>
          <w:rFonts w:cs="Segoe UI"/>
        </w:rPr>
        <w:t>bude</w:t>
      </w:r>
      <w:r>
        <w:rPr>
          <w:rFonts w:cs="Segoe UI"/>
        </w:rPr>
        <w:t xml:space="preserve"> Pachtovné adekvátně kráceno odpovídající délce pachtu</w:t>
      </w:r>
      <w:r w:rsidR="0069126C">
        <w:rPr>
          <w:rFonts w:cs="Segoe UI"/>
        </w:rPr>
        <w:t xml:space="preserve"> v daném roce</w:t>
      </w:r>
      <w:r>
        <w:rPr>
          <w:rFonts w:cs="Segoe UI"/>
        </w:rPr>
        <w:t xml:space="preserve">. </w:t>
      </w:r>
    </w:p>
    <w:p w14:paraId="7FF8A8AC" w14:textId="48742428" w:rsidR="007C336D" w:rsidRDefault="001E147B" w:rsidP="001E5B94">
      <w:pPr>
        <w:spacing w:after="240"/>
        <w:rPr>
          <w:rFonts w:cs="Segoe UI"/>
        </w:rPr>
      </w:pPr>
      <w:r>
        <w:rPr>
          <w:rFonts w:cs="Segoe UI"/>
        </w:rPr>
        <w:t>Pachtovné bude hrazeno čtvrtletně, a to ve výši ¼ roční částky</w:t>
      </w:r>
      <w:r w:rsidR="00B675C3">
        <w:rPr>
          <w:rFonts w:cs="Segoe UI"/>
        </w:rPr>
        <w:t>,</w:t>
      </w:r>
      <w:r w:rsidR="00BA7072">
        <w:rPr>
          <w:rFonts w:cs="Segoe UI"/>
        </w:rPr>
        <w:t xml:space="preserve"> a </w:t>
      </w:r>
      <w:r w:rsidR="00B675C3">
        <w:rPr>
          <w:rFonts w:cs="Segoe UI"/>
        </w:rPr>
        <w:t>placeno</w:t>
      </w:r>
      <w:r w:rsidR="00BA7072">
        <w:rPr>
          <w:rFonts w:cs="Segoe UI"/>
        </w:rPr>
        <w:t xml:space="preserve"> </w:t>
      </w:r>
      <w:r w:rsidR="00BA7072" w:rsidRPr="00E82E21">
        <w:rPr>
          <w:rFonts w:cs="Segoe UI"/>
        </w:rPr>
        <w:t>nejpozději do posledního dne daného kalendářního čtvrtletí</w:t>
      </w:r>
      <w:r w:rsidRPr="00E82E21">
        <w:rPr>
          <w:rFonts w:cs="Segoe UI"/>
        </w:rPr>
        <w:t>.</w:t>
      </w:r>
    </w:p>
    <w:p w14:paraId="65CEDF10" w14:textId="563F5622" w:rsidR="007C336D" w:rsidRPr="00677B67" w:rsidRDefault="007C336D" w:rsidP="007C336D">
      <w:pPr>
        <w:pStyle w:val="Odstavecseseznamem"/>
        <w:numPr>
          <w:ilvl w:val="0"/>
          <w:numId w:val="2"/>
        </w:numPr>
        <w:spacing w:before="0" w:line="259" w:lineRule="auto"/>
        <w:ind w:left="426" w:hanging="426"/>
        <w:contextualSpacing w:val="0"/>
        <w:rPr>
          <w:rFonts w:cs="Segoe UI"/>
          <w:b/>
          <w:bCs/>
        </w:rPr>
      </w:pPr>
      <w:r>
        <w:rPr>
          <w:rFonts w:cs="Segoe UI"/>
          <w:b/>
          <w:bCs/>
        </w:rPr>
        <w:t>Úprava Pachtovného</w:t>
      </w:r>
    </w:p>
    <w:p w14:paraId="2B9015FD" w14:textId="05E83A7B" w:rsidR="007C336D" w:rsidRPr="00BA7072" w:rsidRDefault="00BA7072" w:rsidP="00BA7072">
      <w:pPr>
        <w:spacing w:before="0" w:line="259" w:lineRule="auto"/>
        <w:rPr>
          <w:rFonts w:cs="Segoe UI"/>
        </w:rPr>
      </w:pPr>
      <w:r>
        <w:rPr>
          <w:rFonts w:cs="Segoe UI"/>
        </w:rPr>
        <w:t xml:space="preserve">Na Pachtovné </w:t>
      </w:r>
      <w:r w:rsidR="007C336D" w:rsidRPr="00BA7072">
        <w:rPr>
          <w:rFonts w:cs="Segoe UI"/>
        </w:rPr>
        <w:t>bude aplikována inflační indexace, a to podle následujících pravidel:</w:t>
      </w:r>
    </w:p>
    <w:p w14:paraId="51A854B7" w14:textId="795D2663" w:rsidR="007C336D" w:rsidRPr="006B5A8F" w:rsidRDefault="007C336D" w:rsidP="007C336D">
      <w:pPr>
        <w:pStyle w:val="Odstavecseseznamem"/>
        <w:numPr>
          <w:ilvl w:val="0"/>
          <w:numId w:val="8"/>
        </w:numPr>
        <w:spacing w:before="0" w:line="259" w:lineRule="auto"/>
        <w:ind w:left="1417" w:hanging="357"/>
        <w:contextualSpacing w:val="0"/>
        <w:rPr>
          <w:rFonts w:cs="Segoe UI"/>
        </w:rPr>
      </w:pPr>
      <w:r>
        <w:rPr>
          <w:rFonts w:cs="Segoe UI"/>
        </w:rPr>
        <w:t>i</w:t>
      </w:r>
      <w:r w:rsidRPr="006B5A8F">
        <w:rPr>
          <w:rFonts w:cs="Segoe UI"/>
        </w:rPr>
        <w:t xml:space="preserve">nflačním faktorem bude Index spotřebitelských cen (CPI) </w:t>
      </w:r>
      <w:r w:rsidR="00310913">
        <w:t>podle klasifikace ECOICOP</w:t>
      </w:r>
      <w:r w:rsidR="00310913">
        <w:rPr>
          <w:rFonts w:cs="Segoe UI"/>
        </w:rPr>
        <w:t xml:space="preserve"> vydávaný </w:t>
      </w:r>
      <w:r w:rsidRPr="006B5A8F">
        <w:rPr>
          <w:rFonts w:cs="Segoe UI"/>
        </w:rPr>
        <w:t xml:space="preserve">Českým </w:t>
      </w:r>
      <w:r>
        <w:rPr>
          <w:rFonts w:cs="Segoe UI"/>
        </w:rPr>
        <w:t>s</w:t>
      </w:r>
      <w:r w:rsidRPr="006B5A8F">
        <w:rPr>
          <w:rFonts w:cs="Segoe UI"/>
        </w:rPr>
        <w:t xml:space="preserve">tatistickým </w:t>
      </w:r>
      <w:r>
        <w:rPr>
          <w:rFonts w:cs="Segoe UI"/>
        </w:rPr>
        <w:t>ú</w:t>
      </w:r>
      <w:r w:rsidRPr="006B5A8F">
        <w:rPr>
          <w:rFonts w:cs="Segoe UI"/>
        </w:rPr>
        <w:t>řadem (dále jen „</w:t>
      </w:r>
      <w:r w:rsidRPr="006B5A8F">
        <w:rPr>
          <w:rFonts w:cs="Segoe UI"/>
          <w:b/>
        </w:rPr>
        <w:t>Cenový index</w:t>
      </w:r>
      <w:r w:rsidRPr="00AA104C">
        <w:rPr>
          <w:rFonts w:cs="Segoe UI"/>
          <w:bCs/>
        </w:rPr>
        <w:t>“)</w:t>
      </w:r>
    </w:p>
    <w:p w14:paraId="41C6C719" w14:textId="77777777" w:rsidR="007C336D" w:rsidRPr="006B5A8F" w:rsidRDefault="007C336D" w:rsidP="007C336D">
      <w:pPr>
        <w:pStyle w:val="Odstavecseseznamem"/>
        <w:numPr>
          <w:ilvl w:val="0"/>
          <w:numId w:val="8"/>
        </w:numPr>
        <w:spacing w:before="0" w:line="259" w:lineRule="auto"/>
        <w:ind w:left="1418"/>
        <w:rPr>
          <w:rFonts w:cs="Segoe UI"/>
        </w:rPr>
      </w:pPr>
      <w:r w:rsidRPr="006B5A8F">
        <w:rPr>
          <w:rFonts w:cs="Segoe UI"/>
          <w:b/>
        </w:rPr>
        <w:t xml:space="preserve">N </w:t>
      </w:r>
      <w:r w:rsidRPr="006B5A8F">
        <w:rPr>
          <w:rFonts w:cs="Segoe UI"/>
          <w:b/>
          <w:lang w:val="en-US"/>
        </w:rPr>
        <w:t>= V x (Ci</w:t>
      </w:r>
      <w:r w:rsidRPr="006B5A8F">
        <w:rPr>
          <w:rFonts w:cs="Segoe UI"/>
          <w:b/>
          <w:vertAlign w:val="subscript"/>
          <w:lang w:val="en-US"/>
        </w:rPr>
        <w:t>n</w:t>
      </w:r>
      <w:r w:rsidRPr="006B5A8F">
        <w:rPr>
          <w:rFonts w:cs="Segoe UI"/>
          <w:b/>
          <w:lang w:val="en-US"/>
        </w:rPr>
        <w:t>/Ci</w:t>
      </w:r>
      <w:r w:rsidRPr="006B5A8F">
        <w:rPr>
          <w:rFonts w:cs="Segoe UI"/>
          <w:b/>
          <w:vertAlign w:val="subscript"/>
          <w:lang w:val="en-US"/>
        </w:rPr>
        <w:t>v</w:t>
      </w:r>
      <w:r w:rsidRPr="006B5A8F">
        <w:rPr>
          <w:rFonts w:cs="Segoe UI"/>
          <w:b/>
          <w:lang w:val="en-US"/>
        </w:rPr>
        <w:t>)</w:t>
      </w:r>
      <w:r w:rsidRPr="006B5A8F">
        <w:rPr>
          <w:rFonts w:cs="Segoe UI"/>
          <w:lang w:val="en-US"/>
        </w:rPr>
        <w:t xml:space="preserve"> </w:t>
      </w:r>
      <w:r>
        <w:rPr>
          <w:rFonts w:cs="Segoe UI"/>
          <w:lang w:val="en-US"/>
        </w:rPr>
        <w:t xml:space="preserve">je </w:t>
      </w:r>
      <w:r w:rsidRPr="008E2848">
        <w:rPr>
          <w:rFonts w:cs="Segoe UI"/>
        </w:rPr>
        <w:t>vzorec pro výpočet</w:t>
      </w:r>
      <w:r>
        <w:rPr>
          <w:rFonts w:cs="Segoe UI"/>
        </w:rPr>
        <w:t>,</w:t>
      </w:r>
      <w:r w:rsidRPr="008E2848">
        <w:rPr>
          <w:rFonts w:cs="Segoe UI"/>
        </w:rPr>
        <w:t xml:space="preserve"> kde</w:t>
      </w:r>
    </w:p>
    <w:p w14:paraId="01D0E307" w14:textId="77777777" w:rsidR="007C336D" w:rsidRPr="00AA104C" w:rsidRDefault="007C336D" w:rsidP="007C336D">
      <w:pPr>
        <w:spacing w:before="0" w:line="259" w:lineRule="auto"/>
        <w:ind w:left="1843"/>
        <w:rPr>
          <w:rFonts w:cs="Segoe UI"/>
        </w:rPr>
      </w:pPr>
      <w:r w:rsidRPr="00AA104C">
        <w:rPr>
          <w:rFonts w:cs="Segoe UI"/>
          <w:b/>
          <w:lang w:val="en-US"/>
        </w:rPr>
        <w:t>N</w:t>
      </w:r>
      <w:r w:rsidRPr="00AA104C">
        <w:rPr>
          <w:rFonts w:cs="Segoe UI"/>
          <w:lang w:val="en-US"/>
        </w:rPr>
        <w:t xml:space="preserve"> je </w:t>
      </w:r>
      <w:r w:rsidRPr="00AA104C">
        <w:rPr>
          <w:rFonts w:cs="Segoe UI"/>
        </w:rPr>
        <w:t>nová hodnota indexované částky</w:t>
      </w:r>
    </w:p>
    <w:p w14:paraId="45A227F5" w14:textId="77777777" w:rsidR="007C336D" w:rsidRPr="00AA104C" w:rsidRDefault="007C336D" w:rsidP="007C336D">
      <w:pPr>
        <w:spacing w:before="0" w:line="259" w:lineRule="auto"/>
        <w:ind w:left="1843"/>
        <w:rPr>
          <w:rFonts w:cs="Segoe UI"/>
        </w:rPr>
      </w:pPr>
      <w:r w:rsidRPr="00AA104C">
        <w:rPr>
          <w:rFonts w:cs="Segoe UI"/>
          <w:b/>
        </w:rPr>
        <w:t>V</w:t>
      </w:r>
      <w:r w:rsidRPr="00AA104C">
        <w:rPr>
          <w:rFonts w:cs="Segoe UI"/>
        </w:rPr>
        <w:t> je výchozí hodnota indexované částky</w:t>
      </w:r>
    </w:p>
    <w:p w14:paraId="78E3C67B" w14:textId="1DA4243D" w:rsidR="007C336D" w:rsidRPr="00AA104C" w:rsidRDefault="007C336D" w:rsidP="007C336D">
      <w:pPr>
        <w:spacing w:before="0" w:line="259" w:lineRule="auto"/>
        <w:ind w:left="1843"/>
        <w:rPr>
          <w:rFonts w:cs="Segoe UI"/>
        </w:rPr>
      </w:pPr>
      <w:r w:rsidRPr="00AA104C">
        <w:rPr>
          <w:rFonts w:cs="Segoe UI"/>
          <w:b/>
        </w:rPr>
        <w:t>Ci</w:t>
      </w:r>
      <w:r w:rsidRPr="00AA104C">
        <w:rPr>
          <w:rFonts w:cs="Segoe UI"/>
          <w:b/>
          <w:vertAlign w:val="subscript"/>
        </w:rPr>
        <w:t>n</w:t>
      </w:r>
      <w:r w:rsidRPr="00AA104C">
        <w:rPr>
          <w:rFonts w:cs="Segoe UI"/>
        </w:rPr>
        <w:t xml:space="preserve"> je hodnota Cenového indexu </w:t>
      </w:r>
      <w:r w:rsidR="001B70A9">
        <w:rPr>
          <w:rFonts w:cs="Segoe UI"/>
        </w:rPr>
        <w:t>v roce</w:t>
      </w:r>
      <w:r w:rsidRPr="00AA104C">
        <w:rPr>
          <w:rFonts w:cs="Segoe UI"/>
        </w:rPr>
        <w:t xml:space="preserve">, </w:t>
      </w:r>
      <w:r w:rsidR="001B70A9">
        <w:rPr>
          <w:rFonts w:cs="Segoe UI"/>
        </w:rPr>
        <w:t>za</w:t>
      </w:r>
      <w:r w:rsidRPr="00AA104C">
        <w:rPr>
          <w:rFonts w:cs="Segoe UI"/>
        </w:rPr>
        <w:t xml:space="preserve"> kter</w:t>
      </w:r>
      <w:r w:rsidR="001B70A9">
        <w:rPr>
          <w:rFonts w:cs="Segoe UI"/>
        </w:rPr>
        <w:t>ý</w:t>
      </w:r>
      <w:r w:rsidRPr="00AA104C">
        <w:rPr>
          <w:rFonts w:cs="Segoe UI"/>
        </w:rPr>
        <w:t xml:space="preserve"> je indexace prováděna</w:t>
      </w:r>
    </w:p>
    <w:p w14:paraId="554263C7" w14:textId="66545BA1" w:rsidR="007C336D" w:rsidRPr="00AA104C" w:rsidRDefault="007C336D" w:rsidP="007C336D">
      <w:pPr>
        <w:spacing w:before="0" w:line="259" w:lineRule="auto"/>
        <w:ind w:left="1843"/>
        <w:rPr>
          <w:rFonts w:cs="Segoe UI"/>
        </w:rPr>
      </w:pPr>
      <w:r w:rsidRPr="00AA104C">
        <w:rPr>
          <w:rFonts w:cs="Segoe UI"/>
          <w:b/>
        </w:rPr>
        <w:t>Ci</w:t>
      </w:r>
      <w:r w:rsidRPr="00AA104C">
        <w:rPr>
          <w:rFonts w:cs="Segoe UI"/>
          <w:b/>
          <w:vertAlign w:val="subscript"/>
        </w:rPr>
        <w:t>v</w:t>
      </w:r>
      <w:r w:rsidRPr="00AA104C">
        <w:rPr>
          <w:rFonts w:cs="Segoe UI"/>
        </w:rPr>
        <w:t xml:space="preserve"> je hodnota Cenového indexu v</w:t>
      </w:r>
      <w:r w:rsidR="001B70A9">
        <w:rPr>
          <w:rFonts w:cs="Segoe UI"/>
        </w:rPr>
        <w:t>e vý</w:t>
      </w:r>
      <w:r w:rsidR="0049019D">
        <w:rPr>
          <w:rFonts w:cs="Segoe UI"/>
        </w:rPr>
        <w:t>c</w:t>
      </w:r>
      <w:r w:rsidR="001B70A9">
        <w:rPr>
          <w:rFonts w:cs="Segoe UI"/>
        </w:rPr>
        <w:t>hozím</w:t>
      </w:r>
      <w:r w:rsidRPr="00AA104C">
        <w:rPr>
          <w:rFonts w:cs="Segoe UI"/>
        </w:rPr>
        <w:t xml:space="preserve"> </w:t>
      </w:r>
      <w:r w:rsidR="001B70A9">
        <w:rPr>
          <w:rFonts w:cs="Segoe UI"/>
        </w:rPr>
        <w:t>roce</w:t>
      </w:r>
    </w:p>
    <w:p w14:paraId="6EFAB650" w14:textId="54AAA6D5" w:rsidR="007C336D" w:rsidRDefault="007C336D" w:rsidP="007C336D">
      <w:pPr>
        <w:pStyle w:val="Odstavecseseznamem"/>
        <w:numPr>
          <w:ilvl w:val="1"/>
          <w:numId w:val="9"/>
        </w:numPr>
        <w:spacing w:before="0" w:line="259" w:lineRule="auto"/>
        <w:ind w:left="1418"/>
        <w:contextualSpacing w:val="0"/>
        <w:rPr>
          <w:rFonts w:cs="Segoe UI"/>
        </w:rPr>
      </w:pPr>
      <w:r w:rsidRPr="001B70A9">
        <w:rPr>
          <w:rFonts w:cs="Segoe UI"/>
        </w:rPr>
        <w:t xml:space="preserve">první inflační indexace proběhne </w:t>
      </w:r>
      <w:r w:rsidR="00171848">
        <w:rPr>
          <w:rFonts w:cs="Segoe UI"/>
        </w:rPr>
        <w:t xml:space="preserve">za období 2. čtvrtletí 2024 </w:t>
      </w:r>
      <w:r w:rsidRPr="001B70A9">
        <w:rPr>
          <w:rFonts w:cs="Segoe UI"/>
        </w:rPr>
        <w:t xml:space="preserve">a </w:t>
      </w:r>
      <w:r w:rsidRPr="0049019D">
        <w:rPr>
          <w:rFonts w:cs="Segoe UI"/>
          <w:b/>
          <w:bCs/>
        </w:rPr>
        <w:t>bude zohledňovat</w:t>
      </w:r>
      <w:r w:rsidR="000D2CCA">
        <w:rPr>
          <w:rFonts w:cs="Segoe UI"/>
          <w:b/>
          <w:bCs/>
        </w:rPr>
        <w:t xml:space="preserve"> </w:t>
      </w:r>
      <w:r w:rsidR="00961C24">
        <w:rPr>
          <w:rFonts w:cs="Segoe UI"/>
          <w:b/>
          <w:bCs/>
        </w:rPr>
        <w:t xml:space="preserve">inflaci (CPI) za rok 2023 </w:t>
      </w:r>
      <w:r w:rsidR="00961C24" w:rsidRPr="00961C24">
        <w:rPr>
          <w:rFonts w:cs="Segoe UI"/>
        </w:rPr>
        <w:t>(tj.</w:t>
      </w:r>
      <w:r w:rsidR="00171848">
        <w:rPr>
          <w:rFonts w:cs="Segoe UI"/>
        </w:rPr>
        <w:t xml:space="preserve"> pouze</w:t>
      </w:r>
      <w:r w:rsidR="00961C24">
        <w:rPr>
          <w:rFonts w:cs="Segoe UI"/>
          <w:b/>
          <w:bCs/>
        </w:rPr>
        <w:t xml:space="preserve"> </w:t>
      </w:r>
      <w:r w:rsidR="00961C24" w:rsidRPr="00961C24">
        <w:rPr>
          <w:rFonts w:cs="Segoe UI"/>
        </w:rPr>
        <w:t>první</w:t>
      </w:r>
      <w:r w:rsidR="00961C24">
        <w:rPr>
          <w:rFonts w:cs="Segoe UI"/>
          <w:b/>
          <w:bCs/>
        </w:rPr>
        <w:t xml:space="preserve"> </w:t>
      </w:r>
      <w:r w:rsidR="00961C24">
        <w:rPr>
          <w:rFonts w:cs="Segoe UI"/>
        </w:rPr>
        <w:t xml:space="preserve">platba Pachtovného za 1. čtvrtletí 2024 </w:t>
      </w:r>
      <w:r w:rsidR="00171848">
        <w:rPr>
          <w:rFonts w:cs="Segoe UI"/>
        </w:rPr>
        <w:t>ne</w:t>
      </w:r>
      <w:r w:rsidR="00961C24">
        <w:rPr>
          <w:rFonts w:cs="Segoe UI"/>
        </w:rPr>
        <w:t>bude indexovanou hodnotou</w:t>
      </w:r>
      <w:r w:rsidR="00171848">
        <w:rPr>
          <w:rFonts w:cs="Segoe UI"/>
        </w:rPr>
        <w:t>, všechny další platby Pachtovného již budou indexovány</w:t>
      </w:r>
      <w:r w:rsidR="00961C24">
        <w:rPr>
          <w:rFonts w:cs="Segoe UI"/>
        </w:rPr>
        <w:t>)</w:t>
      </w:r>
      <w:r w:rsidR="00C8300C">
        <w:rPr>
          <w:rFonts w:cs="Segoe UI"/>
        </w:rPr>
        <w:t>.</w:t>
      </w:r>
    </w:p>
    <w:p w14:paraId="451FE249" w14:textId="77777777" w:rsidR="00310913" w:rsidRPr="00310913" w:rsidRDefault="00310913" w:rsidP="00310913">
      <w:pPr>
        <w:pStyle w:val="Odstavecseseznamem"/>
        <w:numPr>
          <w:ilvl w:val="1"/>
          <w:numId w:val="9"/>
        </w:numPr>
        <w:ind w:left="1418"/>
        <w:rPr>
          <w:rFonts w:cs="Segoe UI"/>
        </w:rPr>
      </w:pPr>
      <w:r w:rsidRPr="00310913">
        <w:rPr>
          <w:rFonts w:cs="Segoe UI"/>
        </w:rPr>
        <w:t>indexace bude v Koncesní době projektu prováděna vždy jedenkrát ročně, a to k datu 1. daného měsíce, který následuje po uplynutí 12 měsíců po Dni zahájení provozu (Den indexace)</w:t>
      </w:r>
    </w:p>
    <w:p w14:paraId="353A5DB3" w14:textId="6339DB9A" w:rsidR="007C336D" w:rsidRPr="00310913" w:rsidRDefault="007C336D" w:rsidP="007C336D">
      <w:pPr>
        <w:pStyle w:val="Odstavecseseznamem"/>
        <w:numPr>
          <w:ilvl w:val="1"/>
          <w:numId w:val="9"/>
        </w:numPr>
        <w:spacing w:before="0" w:line="259" w:lineRule="auto"/>
        <w:ind w:left="1418"/>
        <w:contextualSpacing w:val="0"/>
        <w:rPr>
          <w:rFonts w:cs="Segoe UI"/>
          <w:b/>
          <w:bCs/>
        </w:rPr>
      </w:pPr>
      <w:r w:rsidRPr="0049019D">
        <w:rPr>
          <w:rFonts w:cs="Segoe UI"/>
        </w:rPr>
        <w:t xml:space="preserve">přepočet částek na základě inflační indexace provádí Koncesionář, který výpočet spolu s výchozími podklady předloží </w:t>
      </w:r>
      <w:r w:rsidR="0070590E" w:rsidRPr="0049019D">
        <w:rPr>
          <w:rFonts w:cs="Segoe UI"/>
        </w:rPr>
        <w:t>Zadavateli</w:t>
      </w:r>
      <w:r w:rsidRPr="0049019D">
        <w:rPr>
          <w:rFonts w:cs="Segoe UI"/>
        </w:rPr>
        <w:t xml:space="preserve"> </w:t>
      </w:r>
      <w:r w:rsidR="0049019D">
        <w:rPr>
          <w:rFonts w:cs="Segoe UI"/>
        </w:rPr>
        <w:t xml:space="preserve">nejpozději </w:t>
      </w:r>
      <w:r w:rsidR="0049019D" w:rsidRPr="00316035">
        <w:rPr>
          <w:rFonts w:cs="Segoe UI"/>
        </w:rPr>
        <w:t>30</w:t>
      </w:r>
      <w:r w:rsidR="0049019D">
        <w:rPr>
          <w:rFonts w:cs="Segoe UI"/>
        </w:rPr>
        <w:t xml:space="preserve"> dní před posledním dnem </w:t>
      </w:r>
      <w:r w:rsidR="0069126C">
        <w:rPr>
          <w:rFonts w:cs="Segoe UI"/>
        </w:rPr>
        <w:t>prvního</w:t>
      </w:r>
      <w:r w:rsidR="0049019D">
        <w:rPr>
          <w:rFonts w:cs="Segoe UI"/>
        </w:rPr>
        <w:t xml:space="preserve"> kalendářního čtvrtletí, v němž dochází k</w:t>
      </w:r>
      <w:r w:rsidR="003C05C1">
        <w:rPr>
          <w:rFonts w:cs="Segoe UI"/>
        </w:rPr>
        <w:t xml:space="preserve"> zohlednění </w:t>
      </w:r>
      <w:r w:rsidR="0049019D">
        <w:rPr>
          <w:rFonts w:cs="Segoe UI"/>
        </w:rPr>
        <w:t>roční indexac</w:t>
      </w:r>
      <w:r w:rsidR="003C05C1">
        <w:rPr>
          <w:rFonts w:cs="Segoe UI"/>
        </w:rPr>
        <w:t>e</w:t>
      </w:r>
    </w:p>
    <w:p w14:paraId="786BD5E0" w14:textId="77777777" w:rsidR="00310913" w:rsidRDefault="00310913" w:rsidP="00310913">
      <w:pPr>
        <w:pStyle w:val="Odstavecseseznamem"/>
        <w:numPr>
          <w:ilvl w:val="1"/>
          <w:numId w:val="9"/>
        </w:numPr>
        <w:spacing w:before="0" w:line="256" w:lineRule="auto"/>
        <w:ind w:left="1418"/>
        <w:rPr>
          <w:rFonts w:cs="Segoe UI"/>
        </w:rPr>
      </w:pPr>
      <w:r>
        <w:rPr>
          <w:rFonts w:cs="Segoe UI"/>
        </w:rPr>
        <w:t>indexace Pachtovného proběhne pouze v případě, že hodnota ukazatele Cenového indexu bude větší než 0 % (bude násobena hodnotou větší než 1)</w:t>
      </w:r>
    </w:p>
    <w:p w14:paraId="06D12155" w14:textId="4683CC69" w:rsidR="007C336D" w:rsidRPr="001E5B94" w:rsidRDefault="00310913" w:rsidP="001E5B94">
      <w:pPr>
        <w:pStyle w:val="Odstavecseseznamem"/>
        <w:numPr>
          <w:ilvl w:val="1"/>
          <w:numId w:val="9"/>
        </w:numPr>
        <w:spacing w:before="0" w:after="240" w:line="257" w:lineRule="auto"/>
        <w:ind w:left="1417" w:hanging="357"/>
        <w:contextualSpacing w:val="0"/>
        <w:rPr>
          <w:b/>
          <w:bCs/>
        </w:rPr>
      </w:pPr>
      <w:r>
        <w:rPr>
          <w:rFonts w:cs="Segoe UI"/>
        </w:rPr>
        <w:t xml:space="preserve">dojde-li k podstatné změně v charakteru nebo základu výpočtu uvedeného indexu, nebo pokud index přestane být publikován, smluvní strany se dohodnou </w:t>
      </w:r>
      <w:r>
        <w:rPr>
          <w:rFonts w:cs="Segoe UI"/>
        </w:rPr>
        <w:lastRenderedPageBreak/>
        <w:t xml:space="preserve">na alternativním způsobu, který co nejvíce vystihuje podstatu tohoto indexu. V případě, že se smluvní strany nedohodnou, alternativní index určí Expert. </w:t>
      </w:r>
    </w:p>
    <w:p w14:paraId="1FF86198" w14:textId="3FADBC70" w:rsidR="007C336D" w:rsidRPr="00677B67" w:rsidRDefault="007C336D" w:rsidP="007C336D">
      <w:pPr>
        <w:pStyle w:val="Odstavecseseznamem"/>
        <w:numPr>
          <w:ilvl w:val="0"/>
          <w:numId w:val="2"/>
        </w:numPr>
        <w:spacing w:before="0" w:line="259" w:lineRule="auto"/>
        <w:ind w:left="426" w:hanging="426"/>
        <w:contextualSpacing w:val="0"/>
        <w:rPr>
          <w:rFonts w:cs="Segoe UI"/>
          <w:b/>
          <w:bCs/>
        </w:rPr>
      </w:pPr>
      <w:r w:rsidRPr="00677B67">
        <w:rPr>
          <w:rFonts w:cs="Segoe UI"/>
          <w:b/>
          <w:bCs/>
        </w:rPr>
        <w:t xml:space="preserve">Způsob </w:t>
      </w:r>
      <w:r>
        <w:rPr>
          <w:rFonts w:cs="Segoe UI"/>
          <w:b/>
          <w:bCs/>
        </w:rPr>
        <w:t>ú</w:t>
      </w:r>
      <w:r w:rsidRPr="00677B67">
        <w:rPr>
          <w:rFonts w:cs="Segoe UI"/>
          <w:b/>
          <w:bCs/>
        </w:rPr>
        <w:t xml:space="preserve">hrady </w:t>
      </w:r>
      <w:r w:rsidR="009D56ED">
        <w:rPr>
          <w:rFonts w:cs="Segoe UI"/>
          <w:b/>
          <w:bCs/>
        </w:rPr>
        <w:t>Pachtovného</w:t>
      </w:r>
    </w:p>
    <w:p w14:paraId="6D1EEB68" w14:textId="2CDEDAEA" w:rsidR="00F01931" w:rsidRDefault="009D56ED" w:rsidP="001E5B94">
      <w:pPr>
        <w:spacing w:after="240"/>
        <w:rPr>
          <w:rFonts w:cs="Segoe UI"/>
        </w:rPr>
      </w:pPr>
      <w:r>
        <w:rPr>
          <w:rFonts w:cs="Segoe UI"/>
        </w:rPr>
        <w:t>Zadavatel</w:t>
      </w:r>
      <w:r w:rsidR="007C336D">
        <w:rPr>
          <w:rFonts w:cs="Segoe UI"/>
        </w:rPr>
        <w:t xml:space="preserve"> vystav</w:t>
      </w:r>
      <w:r w:rsidR="00B675C3">
        <w:rPr>
          <w:rFonts w:cs="Segoe UI"/>
        </w:rPr>
        <w:t>í</w:t>
      </w:r>
      <w:r w:rsidR="007C336D">
        <w:rPr>
          <w:rFonts w:cs="Segoe UI"/>
        </w:rPr>
        <w:t xml:space="preserve"> Koncesionáři fakturu – daňový doklad – který bude podkladem pro provedení platby </w:t>
      </w:r>
      <w:r w:rsidR="00B675C3">
        <w:rPr>
          <w:rFonts w:cs="Segoe UI"/>
        </w:rPr>
        <w:t>Pachtovného</w:t>
      </w:r>
      <w:r w:rsidR="007C336D">
        <w:rPr>
          <w:rFonts w:cs="Segoe UI"/>
        </w:rPr>
        <w:t>.</w:t>
      </w:r>
      <w:r w:rsidR="00B675C3">
        <w:rPr>
          <w:rFonts w:cs="Segoe UI"/>
        </w:rPr>
        <w:t xml:space="preserve"> </w:t>
      </w:r>
      <w:r w:rsidR="00B675C3" w:rsidRPr="00B675C3">
        <w:rPr>
          <w:rFonts w:cs="Segoe UI"/>
        </w:rPr>
        <w:t xml:space="preserve">Splatnost faktur na platbu Pachtovného </w:t>
      </w:r>
      <w:r w:rsidR="0049019D">
        <w:rPr>
          <w:rFonts w:cs="Segoe UI"/>
        </w:rPr>
        <w:t>bude</w:t>
      </w:r>
      <w:r w:rsidR="00B675C3" w:rsidRPr="00B675C3">
        <w:rPr>
          <w:rFonts w:cs="Segoe UI"/>
        </w:rPr>
        <w:t xml:space="preserve"> </w:t>
      </w:r>
      <w:r w:rsidR="00710F96" w:rsidRPr="0049019D">
        <w:rPr>
          <w:rFonts w:cs="Segoe UI"/>
        </w:rPr>
        <w:t xml:space="preserve">po dobu trvání Smlouvy </w:t>
      </w:r>
      <w:r w:rsidR="0049019D" w:rsidRPr="0049019D">
        <w:rPr>
          <w:rFonts w:cs="Segoe UI"/>
        </w:rPr>
        <w:t>vždy do 31. 3., 30. 6., 30. 9. a 31. 12. každého kalendářního roku na účet Zadavatele uvedený v záhlaví Smlouvy</w:t>
      </w:r>
      <w:r w:rsidR="00B675C3" w:rsidRPr="00B675C3">
        <w:rPr>
          <w:rFonts w:cs="Segoe UI"/>
        </w:rPr>
        <w:t>.</w:t>
      </w:r>
      <w:r w:rsidR="003C05C1" w:rsidRPr="003C05C1">
        <w:rPr>
          <w:rFonts w:cs="Segoe UI"/>
        </w:rPr>
        <w:t xml:space="preserve"> </w:t>
      </w:r>
      <w:r w:rsidR="003C05C1">
        <w:rPr>
          <w:rFonts w:cs="Segoe UI"/>
        </w:rPr>
        <w:t xml:space="preserve">Dnem úhrady Pachtovného je den připsání </w:t>
      </w:r>
      <w:r w:rsidR="00AF3E0A">
        <w:rPr>
          <w:rFonts w:cs="Segoe UI"/>
        </w:rPr>
        <w:t xml:space="preserve">celé částky Pachtovného </w:t>
      </w:r>
      <w:r w:rsidR="003C05C1">
        <w:rPr>
          <w:rFonts w:cs="Segoe UI"/>
        </w:rPr>
        <w:t>na bankovní účet Zadavatele.</w:t>
      </w:r>
    </w:p>
    <w:p w14:paraId="5A561F6C" w14:textId="45851680" w:rsidR="00F01931" w:rsidRPr="0041043D" w:rsidRDefault="0041043D" w:rsidP="00F01931">
      <w:pPr>
        <w:spacing w:before="0" w:line="259" w:lineRule="auto"/>
        <w:rPr>
          <w:b/>
          <w:bCs/>
        </w:rPr>
      </w:pPr>
      <w:r w:rsidRPr="0041043D">
        <w:rPr>
          <w:b/>
          <w:bCs/>
        </w:rPr>
        <w:t>Ilustrativní příklad výpočtu Pachtovného pro rok 2024</w:t>
      </w:r>
      <w:r w:rsidR="00AE0B09">
        <w:rPr>
          <w:b/>
          <w:bCs/>
        </w:rPr>
        <w:t xml:space="preserve"> a 2025</w:t>
      </w:r>
    </w:p>
    <w:p w14:paraId="45563283" w14:textId="14EFDB9E" w:rsidR="00C44B2E" w:rsidRDefault="0041043D" w:rsidP="001E5B94">
      <w:pPr>
        <w:spacing w:before="0" w:after="360" w:line="259" w:lineRule="auto"/>
      </w:pPr>
      <w:r>
        <w:t>Stanovená m</w:t>
      </w:r>
      <w:r w:rsidRPr="0041043D">
        <w:t>inimální výše pachtu</w:t>
      </w:r>
      <w:r>
        <w:t>:</w:t>
      </w:r>
      <w:r w:rsidRPr="0041043D">
        <w:tab/>
      </w:r>
      <w:r w:rsidR="00C44B2E">
        <w:tab/>
      </w:r>
      <w:r w:rsidRPr="0041043D">
        <w:t>9 829</w:t>
      </w:r>
      <w:r>
        <w:t> </w:t>
      </w:r>
      <w:r w:rsidRPr="0041043D">
        <w:t>361</w:t>
      </w:r>
      <w:r>
        <w:t xml:space="preserve"> Kč</w:t>
      </w:r>
    </w:p>
    <w:p w14:paraId="6C51E27D" w14:textId="491026D6" w:rsidR="0041043D" w:rsidRDefault="0041043D" w:rsidP="00F01931">
      <w:pPr>
        <w:spacing w:before="0" w:line="259" w:lineRule="auto"/>
      </w:pPr>
      <w:r>
        <w:t>Pachtovné pro 1Q 2024</w:t>
      </w:r>
      <w:r w:rsidR="00C44B2E">
        <w:t>:</w:t>
      </w:r>
      <w:r w:rsidR="00C44B2E">
        <w:tab/>
      </w:r>
      <w:r w:rsidR="00C44B2E">
        <w:tab/>
      </w:r>
      <w:r w:rsidR="00C44B2E">
        <w:tab/>
      </w:r>
      <w:r>
        <w:t xml:space="preserve"> </w:t>
      </w:r>
      <w:r w:rsidRPr="00C44B2E">
        <w:rPr>
          <w:b/>
          <w:bCs/>
        </w:rPr>
        <w:t>9 829 361 Kč</w:t>
      </w:r>
      <w:r>
        <w:t xml:space="preserve"> (pro 1. čtvrtletí se neindexuje)</w:t>
      </w:r>
    </w:p>
    <w:p w14:paraId="4497C4DF" w14:textId="3D0E20AF" w:rsidR="0041043D" w:rsidRDefault="0041043D" w:rsidP="00F01931">
      <w:pPr>
        <w:spacing w:before="0" w:line="259" w:lineRule="auto"/>
      </w:pPr>
      <w:r>
        <w:t>Bude-li skutečná míra CPI za rok 2023</w:t>
      </w:r>
      <w:r w:rsidR="00C44B2E">
        <w:t>:</w:t>
      </w:r>
      <w:r w:rsidR="00C44B2E">
        <w:tab/>
      </w:r>
      <w:r>
        <w:t xml:space="preserve"> 1</w:t>
      </w:r>
      <w:r w:rsidR="00004EE2">
        <w:t>1</w:t>
      </w:r>
      <w:r>
        <w:t>,</w:t>
      </w:r>
      <w:r w:rsidR="00004EE2">
        <w:t>2</w:t>
      </w:r>
      <w:r>
        <w:t>%</w:t>
      </w:r>
      <w:r w:rsidR="001336EA">
        <w:rPr>
          <w:rStyle w:val="Znakapoznpodarou"/>
        </w:rPr>
        <w:footnoteReference w:id="1"/>
      </w:r>
      <w:r w:rsidR="00C44B2E">
        <w:t>,</w:t>
      </w:r>
      <w:r>
        <w:t xml:space="preserve"> pak platí:</w:t>
      </w:r>
    </w:p>
    <w:p w14:paraId="2AD7F9DB" w14:textId="273D9AAC" w:rsidR="00C44B2E" w:rsidRDefault="0041043D" w:rsidP="001E5B94">
      <w:pPr>
        <w:spacing w:before="0" w:after="360" w:line="259" w:lineRule="auto"/>
      </w:pPr>
      <w:r>
        <w:t>Pachtovné pro 2 – 4Q 2024</w:t>
      </w:r>
      <w:r w:rsidR="00C44B2E">
        <w:t>:</w:t>
      </w:r>
      <w:r w:rsidR="00C44B2E">
        <w:tab/>
      </w:r>
      <w:r w:rsidR="00C44B2E">
        <w:tab/>
      </w:r>
      <w:r w:rsidR="00C44B2E">
        <w:tab/>
      </w:r>
      <w:r>
        <w:t xml:space="preserve"> </w:t>
      </w:r>
      <w:r w:rsidRPr="0041043D">
        <w:t>9 829</w:t>
      </w:r>
      <w:r>
        <w:t> </w:t>
      </w:r>
      <w:r w:rsidRPr="0041043D">
        <w:t>361</w:t>
      </w:r>
      <w:r>
        <w:t xml:space="preserve"> Kč * 11</w:t>
      </w:r>
      <w:r w:rsidR="00004EE2">
        <w:t>1,2</w:t>
      </w:r>
      <w:r>
        <w:t xml:space="preserve">/100 = </w:t>
      </w:r>
      <w:r w:rsidRPr="00C44B2E">
        <w:rPr>
          <w:b/>
          <w:bCs/>
        </w:rPr>
        <w:t>10 9</w:t>
      </w:r>
      <w:r w:rsidR="00004EE2" w:rsidRPr="00C44B2E">
        <w:rPr>
          <w:b/>
          <w:bCs/>
        </w:rPr>
        <w:t>3</w:t>
      </w:r>
      <w:r w:rsidRPr="00C44B2E">
        <w:rPr>
          <w:b/>
          <w:bCs/>
        </w:rPr>
        <w:t>0 2</w:t>
      </w:r>
      <w:r w:rsidR="00004EE2" w:rsidRPr="00C44B2E">
        <w:rPr>
          <w:b/>
          <w:bCs/>
        </w:rPr>
        <w:t>49</w:t>
      </w:r>
      <w:r w:rsidRPr="00C44B2E">
        <w:rPr>
          <w:b/>
          <w:bCs/>
        </w:rPr>
        <w:t xml:space="preserve"> Kč</w:t>
      </w:r>
    </w:p>
    <w:p w14:paraId="12859842" w14:textId="2306FCCE" w:rsidR="0041043D" w:rsidRDefault="0041043D" w:rsidP="0041043D">
      <w:pPr>
        <w:spacing w:before="0" w:line="259" w:lineRule="auto"/>
      </w:pPr>
      <w:r>
        <w:t>Bude-li skutečná míra CPI za rok 2024</w:t>
      </w:r>
      <w:r w:rsidR="00C44B2E">
        <w:t>:</w:t>
      </w:r>
      <w:r w:rsidR="00C44B2E">
        <w:tab/>
      </w:r>
      <w:r>
        <w:t xml:space="preserve"> 2,1%, pak platí:</w:t>
      </w:r>
    </w:p>
    <w:p w14:paraId="6D9030C3" w14:textId="148AA257" w:rsidR="0041043D" w:rsidRDefault="0041043D" w:rsidP="0041043D">
      <w:pPr>
        <w:spacing w:before="0" w:line="259" w:lineRule="auto"/>
      </w:pPr>
      <w:r>
        <w:t>Pachtovné pro 1 – 4Q 2025</w:t>
      </w:r>
      <w:r w:rsidR="00C44B2E">
        <w:t>:</w:t>
      </w:r>
      <w:r w:rsidR="00C44B2E">
        <w:tab/>
      </w:r>
      <w:r w:rsidR="00C44B2E">
        <w:tab/>
      </w:r>
      <w:r w:rsidR="00C44B2E">
        <w:tab/>
      </w:r>
      <w:r w:rsidR="00004EE2" w:rsidRPr="0041043D">
        <w:t>10 9</w:t>
      </w:r>
      <w:r w:rsidR="00004EE2">
        <w:t>3</w:t>
      </w:r>
      <w:r w:rsidR="00004EE2" w:rsidRPr="0041043D">
        <w:t>0</w:t>
      </w:r>
      <w:r w:rsidR="00004EE2">
        <w:t> </w:t>
      </w:r>
      <w:r w:rsidR="00004EE2" w:rsidRPr="0041043D">
        <w:t>2</w:t>
      </w:r>
      <w:r w:rsidR="00004EE2">
        <w:t xml:space="preserve">49 </w:t>
      </w:r>
      <w:r>
        <w:t xml:space="preserve">Kč * </w:t>
      </w:r>
      <w:r w:rsidR="00AE0B09">
        <w:t>102,1</w:t>
      </w:r>
      <w:r>
        <w:t xml:space="preserve">/100 = </w:t>
      </w:r>
      <w:r w:rsidR="00AE0B09" w:rsidRPr="00C44B2E">
        <w:rPr>
          <w:b/>
          <w:bCs/>
        </w:rPr>
        <w:t>11 1</w:t>
      </w:r>
      <w:r w:rsidR="00761E23" w:rsidRPr="00C44B2E">
        <w:rPr>
          <w:b/>
          <w:bCs/>
        </w:rPr>
        <w:t xml:space="preserve">59 785 </w:t>
      </w:r>
      <w:r w:rsidRPr="00C44B2E">
        <w:rPr>
          <w:b/>
          <w:bCs/>
        </w:rPr>
        <w:t>Kč</w:t>
      </w:r>
    </w:p>
    <w:p w14:paraId="4404DCB7" w14:textId="77777777" w:rsidR="0041043D" w:rsidRDefault="0041043D" w:rsidP="00F01931">
      <w:pPr>
        <w:spacing w:before="0" w:line="259" w:lineRule="auto"/>
      </w:pPr>
    </w:p>
    <w:sectPr w:rsidR="004104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9FCB7" w14:textId="77777777" w:rsidR="00C11ACE" w:rsidRDefault="00C11ACE" w:rsidP="003C05C1">
      <w:pPr>
        <w:spacing w:before="0" w:after="0" w:line="240" w:lineRule="auto"/>
      </w:pPr>
      <w:r>
        <w:separator/>
      </w:r>
    </w:p>
  </w:endnote>
  <w:endnote w:type="continuationSeparator" w:id="0">
    <w:p w14:paraId="712C0724" w14:textId="77777777" w:rsidR="00C11ACE" w:rsidRDefault="00C11ACE" w:rsidP="003C05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647079"/>
      <w:docPartObj>
        <w:docPartGallery w:val="Page Numbers (Bottom of Page)"/>
        <w:docPartUnique/>
      </w:docPartObj>
    </w:sdtPr>
    <w:sdtEndPr/>
    <w:sdtContent>
      <w:p w14:paraId="5E1FC9F2" w14:textId="0BCF03C2" w:rsidR="003C05C1" w:rsidRDefault="003C05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264">
          <w:rPr>
            <w:noProof/>
          </w:rPr>
          <w:t>2</w:t>
        </w:r>
        <w:r>
          <w:fldChar w:fldCharType="end"/>
        </w:r>
      </w:p>
    </w:sdtContent>
  </w:sdt>
  <w:p w14:paraId="7D64733E" w14:textId="77777777" w:rsidR="003C05C1" w:rsidRDefault="003C05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91FA8" w14:textId="77777777" w:rsidR="00C11ACE" w:rsidRDefault="00C11ACE" w:rsidP="003C05C1">
      <w:pPr>
        <w:spacing w:before="0" w:after="0" w:line="240" w:lineRule="auto"/>
      </w:pPr>
      <w:r>
        <w:separator/>
      </w:r>
    </w:p>
  </w:footnote>
  <w:footnote w:type="continuationSeparator" w:id="0">
    <w:p w14:paraId="6E44A8AE" w14:textId="77777777" w:rsidR="00C11ACE" w:rsidRDefault="00C11ACE" w:rsidP="003C05C1">
      <w:pPr>
        <w:spacing w:before="0" w:after="0" w:line="240" w:lineRule="auto"/>
      </w:pPr>
      <w:r>
        <w:continuationSeparator/>
      </w:r>
    </w:p>
  </w:footnote>
  <w:footnote w:id="1">
    <w:p w14:paraId="2DDC721B" w14:textId="15C5F875" w:rsidR="001336EA" w:rsidRDefault="001336E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737E7C" w:rsidRPr="008809BB">
          <w:rPr>
            <w:rStyle w:val="Hypertextovodkaz"/>
          </w:rPr>
          <w:t>https://www.cnb.cz/cs/menova-politika/prognoza/</w:t>
        </w:r>
      </w:hyperlink>
      <w:r w:rsidR="00737E7C">
        <w:t xml:space="preserve"> - prognóza zveřejněná 3. 5. 2023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674"/>
    <w:multiLevelType w:val="hybridMultilevel"/>
    <w:tmpl w:val="F5B4B1FE"/>
    <w:lvl w:ilvl="0" w:tplc="FA90FB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35967"/>
    <w:multiLevelType w:val="hybridMultilevel"/>
    <w:tmpl w:val="2B62A0D0"/>
    <w:lvl w:ilvl="0" w:tplc="FA90FB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C550AB"/>
    <w:multiLevelType w:val="multilevel"/>
    <w:tmpl w:val="8C24A278"/>
    <w:lvl w:ilvl="0">
      <w:start w:val="1"/>
      <w:numFmt w:val="decimal"/>
      <w:pStyle w:val="Nadpis2"/>
      <w:lvlText w:val="%1."/>
      <w:lvlJc w:val="left"/>
      <w:pPr>
        <w:tabs>
          <w:tab w:val="num" w:pos="823"/>
        </w:tabs>
        <w:ind w:left="567" w:hanging="567"/>
      </w:pPr>
      <w:rPr>
        <w:rFonts w:ascii="Segoe UI" w:hAnsi="Segoe UI" w:cs="Segoe UI" w:hint="default"/>
        <w:b/>
        <w:bCs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567" w:hanging="567"/>
      </w:pPr>
      <w:rPr>
        <w:rFonts w:ascii="Segoe UI" w:hAnsi="Segoe U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851" w:hanging="284"/>
      </w:pPr>
      <w:rPr>
        <w:rFonts w:ascii="Segoe UI" w:eastAsiaTheme="majorEastAsia" w:hAnsi="Segoe UI" w:cstheme="majorBidi"/>
        <w:b w:val="0"/>
        <w:bCs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bullet"/>
      <w:lvlRestart w:val="0"/>
      <w:lvlText w:val="-"/>
      <w:lvlJc w:val="left"/>
      <w:pPr>
        <w:tabs>
          <w:tab w:val="num" w:pos="3232"/>
        </w:tabs>
        <w:ind w:left="1134" w:hanging="283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B661C6"/>
    <w:multiLevelType w:val="hybridMultilevel"/>
    <w:tmpl w:val="4B824F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1001A5"/>
    <w:multiLevelType w:val="hybridMultilevel"/>
    <w:tmpl w:val="AAB2DDCC"/>
    <w:lvl w:ilvl="0" w:tplc="FA90FB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6231EA"/>
    <w:multiLevelType w:val="hybridMultilevel"/>
    <w:tmpl w:val="348E810C"/>
    <w:lvl w:ilvl="0" w:tplc="ADA87C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A722B"/>
    <w:multiLevelType w:val="hybridMultilevel"/>
    <w:tmpl w:val="65FC0EB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A90FB7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BB5CE2"/>
    <w:multiLevelType w:val="hybridMultilevel"/>
    <w:tmpl w:val="64C696A6"/>
    <w:lvl w:ilvl="0" w:tplc="FA90FB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BC1157"/>
    <w:multiLevelType w:val="hybridMultilevel"/>
    <w:tmpl w:val="E2161D7C"/>
    <w:lvl w:ilvl="0" w:tplc="FA90FB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7536A7"/>
    <w:multiLevelType w:val="hybridMultilevel"/>
    <w:tmpl w:val="F0A0E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F061F"/>
    <w:multiLevelType w:val="hybridMultilevel"/>
    <w:tmpl w:val="295AC344"/>
    <w:lvl w:ilvl="0" w:tplc="9724A936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7755582D"/>
    <w:multiLevelType w:val="hybridMultilevel"/>
    <w:tmpl w:val="1C623114"/>
    <w:lvl w:ilvl="0" w:tplc="FA90FB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6D"/>
    <w:rsid w:val="00004EE2"/>
    <w:rsid w:val="0002340C"/>
    <w:rsid w:val="000255B3"/>
    <w:rsid w:val="000430AA"/>
    <w:rsid w:val="00055A48"/>
    <w:rsid w:val="000B5A99"/>
    <w:rsid w:val="000D2CCA"/>
    <w:rsid w:val="000E0DA7"/>
    <w:rsid w:val="000F4C6C"/>
    <w:rsid w:val="00121A14"/>
    <w:rsid w:val="001336EA"/>
    <w:rsid w:val="00171848"/>
    <w:rsid w:val="0017443A"/>
    <w:rsid w:val="001B70A9"/>
    <w:rsid w:val="001C59DC"/>
    <w:rsid w:val="001E147B"/>
    <w:rsid w:val="001E5B94"/>
    <w:rsid w:val="00205998"/>
    <w:rsid w:val="002650FD"/>
    <w:rsid w:val="0028492A"/>
    <w:rsid w:val="002B7B39"/>
    <w:rsid w:val="002D1499"/>
    <w:rsid w:val="002D675D"/>
    <w:rsid w:val="003104AD"/>
    <w:rsid w:val="00310913"/>
    <w:rsid w:val="003148E4"/>
    <w:rsid w:val="00316035"/>
    <w:rsid w:val="00333365"/>
    <w:rsid w:val="00335F09"/>
    <w:rsid w:val="00343CF5"/>
    <w:rsid w:val="00367983"/>
    <w:rsid w:val="003844F8"/>
    <w:rsid w:val="00393264"/>
    <w:rsid w:val="003C05C1"/>
    <w:rsid w:val="003D49DC"/>
    <w:rsid w:val="003F6AEF"/>
    <w:rsid w:val="0041043D"/>
    <w:rsid w:val="00413AD2"/>
    <w:rsid w:val="0041751A"/>
    <w:rsid w:val="004317FF"/>
    <w:rsid w:val="00461823"/>
    <w:rsid w:val="0047489D"/>
    <w:rsid w:val="0049019D"/>
    <w:rsid w:val="004B4ED0"/>
    <w:rsid w:val="004C319B"/>
    <w:rsid w:val="004D7AAA"/>
    <w:rsid w:val="004D7CBF"/>
    <w:rsid w:val="004E10F6"/>
    <w:rsid w:val="004F3401"/>
    <w:rsid w:val="005025E3"/>
    <w:rsid w:val="0050384E"/>
    <w:rsid w:val="00521DC9"/>
    <w:rsid w:val="00532E12"/>
    <w:rsid w:val="00533270"/>
    <w:rsid w:val="0054237D"/>
    <w:rsid w:val="005440AE"/>
    <w:rsid w:val="00544BCC"/>
    <w:rsid w:val="0055474A"/>
    <w:rsid w:val="005628F8"/>
    <w:rsid w:val="005A75F1"/>
    <w:rsid w:val="005C0026"/>
    <w:rsid w:val="005D1BFA"/>
    <w:rsid w:val="006406A4"/>
    <w:rsid w:val="0064110A"/>
    <w:rsid w:val="006417B1"/>
    <w:rsid w:val="00646684"/>
    <w:rsid w:val="006549EF"/>
    <w:rsid w:val="00666D5D"/>
    <w:rsid w:val="00677EF5"/>
    <w:rsid w:val="00687A37"/>
    <w:rsid w:val="0069126C"/>
    <w:rsid w:val="00695DE8"/>
    <w:rsid w:val="006A34F1"/>
    <w:rsid w:val="006D3C6B"/>
    <w:rsid w:val="006D3FC4"/>
    <w:rsid w:val="006D7EA0"/>
    <w:rsid w:val="006E4BA6"/>
    <w:rsid w:val="006F0563"/>
    <w:rsid w:val="006F3BD5"/>
    <w:rsid w:val="006F69F5"/>
    <w:rsid w:val="0070590E"/>
    <w:rsid w:val="00710F96"/>
    <w:rsid w:val="00737E7C"/>
    <w:rsid w:val="0074204A"/>
    <w:rsid w:val="0074228A"/>
    <w:rsid w:val="007433F8"/>
    <w:rsid w:val="00761E23"/>
    <w:rsid w:val="00763C8E"/>
    <w:rsid w:val="00776DC1"/>
    <w:rsid w:val="007A76F9"/>
    <w:rsid w:val="007B13B4"/>
    <w:rsid w:val="007C336D"/>
    <w:rsid w:val="007D2AFA"/>
    <w:rsid w:val="00802A67"/>
    <w:rsid w:val="00811F0E"/>
    <w:rsid w:val="00817AEA"/>
    <w:rsid w:val="00836159"/>
    <w:rsid w:val="00841C6A"/>
    <w:rsid w:val="008622EB"/>
    <w:rsid w:val="0086246E"/>
    <w:rsid w:val="008A72DF"/>
    <w:rsid w:val="008C1F02"/>
    <w:rsid w:val="008C7B6B"/>
    <w:rsid w:val="008F6015"/>
    <w:rsid w:val="009107D0"/>
    <w:rsid w:val="00961C24"/>
    <w:rsid w:val="0099555F"/>
    <w:rsid w:val="009D56ED"/>
    <w:rsid w:val="009F098D"/>
    <w:rsid w:val="00A15F5D"/>
    <w:rsid w:val="00A44466"/>
    <w:rsid w:val="00A45E1E"/>
    <w:rsid w:val="00A6142A"/>
    <w:rsid w:val="00A83961"/>
    <w:rsid w:val="00AA4C13"/>
    <w:rsid w:val="00AB595E"/>
    <w:rsid w:val="00AD4378"/>
    <w:rsid w:val="00AE0B09"/>
    <w:rsid w:val="00AF3E0A"/>
    <w:rsid w:val="00B06203"/>
    <w:rsid w:val="00B47DC7"/>
    <w:rsid w:val="00B5084D"/>
    <w:rsid w:val="00B53568"/>
    <w:rsid w:val="00B675C3"/>
    <w:rsid w:val="00BA7072"/>
    <w:rsid w:val="00BB2600"/>
    <w:rsid w:val="00BB411B"/>
    <w:rsid w:val="00BF3842"/>
    <w:rsid w:val="00BF5091"/>
    <w:rsid w:val="00C115DD"/>
    <w:rsid w:val="00C11ACE"/>
    <w:rsid w:val="00C206C4"/>
    <w:rsid w:val="00C42F72"/>
    <w:rsid w:val="00C44B2E"/>
    <w:rsid w:val="00C44C18"/>
    <w:rsid w:val="00C55AA7"/>
    <w:rsid w:val="00C8300C"/>
    <w:rsid w:val="00CB63B0"/>
    <w:rsid w:val="00CC405C"/>
    <w:rsid w:val="00D62D5D"/>
    <w:rsid w:val="00D64B61"/>
    <w:rsid w:val="00D923B7"/>
    <w:rsid w:val="00D95082"/>
    <w:rsid w:val="00DA23F0"/>
    <w:rsid w:val="00DA69EB"/>
    <w:rsid w:val="00DB08A9"/>
    <w:rsid w:val="00DD7202"/>
    <w:rsid w:val="00DE4811"/>
    <w:rsid w:val="00E10F4C"/>
    <w:rsid w:val="00E45D4E"/>
    <w:rsid w:val="00E62B50"/>
    <w:rsid w:val="00E82E21"/>
    <w:rsid w:val="00E846C7"/>
    <w:rsid w:val="00E85D05"/>
    <w:rsid w:val="00E9019D"/>
    <w:rsid w:val="00E92B65"/>
    <w:rsid w:val="00EC29BC"/>
    <w:rsid w:val="00EE090D"/>
    <w:rsid w:val="00EF0639"/>
    <w:rsid w:val="00EF6D8D"/>
    <w:rsid w:val="00EF70DD"/>
    <w:rsid w:val="00F01931"/>
    <w:rsid w:val="00F2783C"/>
    <w:rsid w:val="00F361A4"/>
    <w:rsid w:val="00F45BCF"/>
    <w:rsid w:val="00F51D46"/>
    <w:rsid w:val="00F63764"/>
    <w:rsid w:val="00F831AE"/>
    <w:rsid w:val="00F8320C"/>
    <w:rsid w:val="00F91347"/>
    <w:rsid w:val="00FD26A2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DA4F"/>
  <w15:chartTrackingRefBased/>
  <w15:docId w15:val="{2932BCCA-52B0-4534-9E37-7AAAE329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36D"/>
    <w:pPr>
      <w:spacing w:before="120" w:after="120" w:line="276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link w:val="Nadpis1Char"/>
    <w:uiPriority w:val="9"/>
    <w:qFormat/>
    <w:rsid w:val="007C336D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adpis1"/>
    <w:next w:val="Nadpis1"/>
    <w:link w:val="Nadpis2Char"/>
    <w:uiPriority w:val="9"/>
    <w:unhideWhenUsed/>
    <w:qFormat/>
    <w:rsid w:val="007C336D"/>
    <w:pPr>
      <w:keepNext w:val="0"/>
      <w:keepLines w:val="0"/>
      <w:numPr>
        <w:numId w:val="1"/>
      </w:numPr>
      <w:outlineLvl w:val="1"/>
    </w:pPr>
    <w:rPr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336D"/>
    <w:rPr>
      <w:rFonts w:ascii="Segoe UI" w:eastAsiaTheme="majorEastAsia" w:hAnsi="Segoe UI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C336D"/>
    <w:rPr>
      <w:rFonts w:ascii="Segoe UI" w:eastAsiaTheme="majorEastAsia" w:hAnsi="Segoe UI" w:cstheme="majorBidi"/>
      <w:b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C336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7C336D"/>
    <w:rPr>
      <w:rFonts w:ascii="Segoe UI" w:hAnsi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8C7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7B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7B6B"/>
    <w:rPr>
      <w:rFonts w:ascii="Segoe UI" w:hAnsi="Segoe U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B6B"/>
    <w:rPr>
      <w:rFonts w:ascii="Segoe UI" w:hAnsi="Segoe U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05C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5C1"/>
    <w:rPr>
      <w:rFonts w:ascii="Segoe UI" w:hAnsi="Segoe UI"/>
    </w:rPr>
  </w:style>
  <w:style w:type="paragraph" w:styleId="Zpat">
    <w:name w:val="footer"/>
    <w:basedOn w:val="Normln"/>
    <w:link w:val="ZpatChar"/>
    <w:uiPriority w:val="99"/>
    <w:unhideWhenUsed/>
    <w:rsid w:val="003C05C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5C1"/>
    <w:rPr>
      <w:rFonts w:ascii="Segoe UI" w:hAnsi="Segoe UI"/>
    </w:rPr>
  </w:style>
  <w:style w:type="paragraph" w:styleId="Revize">
    <w:name w:val="Revision"/>
    <w:hidden/>
    <w:uiPriority w:val="99"/>
    <w:semiHidden/>
    <w:rsid w:val="00666D5D"/>
    <w:pPr>
      <w:spacing w:after="0" w:line="240" w:lineRule="auto"/>
    </w:pPr>
    <w:rPr>
      <w:rFonts w:ascii="Segoe UI" w:hAnsi="Segoe U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10A"/>
    <w:pPr>
      <w:spacing w:before="0"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10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08A9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08A9"/>
    <w:rPr>
      <w:rFonts w:ascii="Segoe UI" w:hAnsi="Segoe U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08A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37E7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7E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37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b.cz/cs/menova-politika/prognoz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4AE7-53F4-4D79-A8E4-7995063A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Starečková</dc:creator>
  <cp:keywords/>
  <dc:description/>
  <cp:lastModifiedBy>Schlauchová Iveta</cp:lastModifiedBy>
  <cp:revision>2</cp:revision>
  <dcterms:created xsi:type="dcterms:W3CDTF">2023-11-01T13:27:00Z</dcterms:created>
  <dcterms:modified xsi:type="dcterms:W3CDTF">2023-11-01T13:27:00Z</dcterms:modified>
</cp:coreProperties>
</file>