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2CAC" w14:textId="77777777" w:rsidR="008B0FD4" w:rsidRDefault="008B0FD4">
      <w:pPr>
        <w:spacing w:line="240" w:lineRule="exact"/>
        <w:rPr>
          <w:sz w:val="19"/>
          <w:szCs w:val="19"/>
        </w:rPr>
      </w:pPr>
    </w:p>
    <w:p w14:paraId="487BA1CB" w14:textId="77777777" w:rsidR="008B0FD4" w:rsidRDefault="008B0FD4">
      <w:pPr>
        <w:spacing w:line="240" w:lineRule="exact"/>
        <w:rPr>
          <w:sz w:val="19"/>
          <w:szCs w:val="19"/>
        </w:rPr>
      </w:pPr>
    </w:p>
    <w:p w14:paraId="49FAC462" w14:textId="77777777" w:rsidR="008B0FD4" w:rsidRDefault="008B0FD4">
      <w:pPr>
        <w:spacing w:line="240" w:lineRule="exact"/>
        <w:rPr>
          <w:sz w:val="19"/>
          <w:szCs w:val="19"/>
        </w:rPr>
      </w:pPr>
    </w:p>
    <w:p w14:paraId="344CC310" w14:textId="77777777" w:rsidR="008B0FD4" w:rsidRDefault="008B0FD4">
      <w:pPr>
        <w:spacing w:line="240" w:lineRule="exact"/>
        <w:rPr>
          <w:sz w:val="19"/>
          <w:szCs w:val="19"/>
        </w:rPr>
      </w:pPr>
    </w:p>
    <w:p w14:paraId="7FE40005" w14:textId="77777777" w:rsidR="008B0FD4" w:rsidRDefault="008B0FD4">
      <w:pPr>
        <w:spacing w:line="240" w:lineRule="exact"/>
        <w:rPr>
          <w:sz w:val="19"/>
          <w:szCs w:val="19"/>
        </w:rPr>
      </w:pPr>
    </w:p>
    <w:p w14:paraId="68E1BD65" w14:textId="77777777" w:rsidR="008B0FD4" w:rsidRDefault="008B0FD4">
      <w:pPr>
        <w:spacing w:line="240" w:lineRule="exact"/>
        <w:rPr>
          <w:sz w:val="19"/>
          <w:szCs w:val="19"/>
        </w:rPr>
      </w:pPr>
    </w:p>
    <w:p w14:paraId="372BB604" w14:textId="77777777" w:rsidR="008B0FD4" w:rsidRDefault="008B0FD4">
      <w:pPr>
        <w:spacing w:before="89" w:after="89" w:line="240" w:lineRule="exact"/>
        <w:rPr>
          <w:sz w:val="19"/>
          <w:szCs w:val="19"/>
        </w:rPr>
      </w:pPr>
    </w:p>
    <w:p w14:paraId="22F287A1" w14:textId="77777777" w:rsidR="008B0FD4" w:rsidRDefault="008B0FD4">
      <w:pPr>
        <w:spacing w:line="1" w:lineRule="exact"/>
        <w:sectPr w:rsidR="008B0FD4">
          <w:pgSz w:w="11900" w:h="16840"/>
          <w:pgMar w:top="1113" w:right="988" w:bottom="688" w:left="969" w:header="0" w:footer="3" w:gutter="0"/>
          <w:pgNumType w:start="1"/>
          <w:cols w:space="720"/>
          <w:noEndnote/>
          <w:docGrid w:linePitch="360"/>
        </w:sectPr>
      </w:pPr>
    </w:p>
    <w:p w14:paraId="4D49EC9A" w14:textId="77777777" w:rsidR="008B0FD4" w:rsidRDefault="00000000">
      <w:pPr>
        <w:pStyle w:val="Heading110"/>
        <w:keepNext/>
        <w:keepLines/>
        <w:spacing w:after="0"/>
      </w:pPr>
      <w:bookmarkStart w:id="0" w:name="bookmark0"/>
      <w:r>
        <w:rPr>
          <w:rStyle w:val="Heading11"/>
        </w:rPr>
        <w:t>OBECNÉ</w:t>
      </w:r>
      <w:bookmarkEnd w:id="0"/>
    </w:p>
    <w:p w14:paraId="2806A3DE" w14:textId="77777777" w:rsidR="008B0FD4" w:rsidRDefault="00000000">
      <w:pPr>
        <w:pStyle w:val="Heading110"/>
        <w:keepNext/>
        <w:keepLines/>
        <w:spacing w:after="480"/>
      </w:pPr>
      <w:r>
        <w:rPr>
          <w:rStyle w:val="Heading11"/>
        </w:rPr>
        <w:t>OBCHODNÍ PODMÍNKY</w:t>
      </w:r>
    </w:p>
    <w:p w14:paraId="21C93FE9" w14:textId="77777777" w:rsidR="008B0FD4" w:rsidRDefault="00000000">
      <w:pPr>
        <w:pStyle w:val="Bodytext30"/>
        <w:spacing w:after="4780" w:line="240" w:lineRule="auto"/>
        <w:ind w:left="0"/>
        <w:rPr>
          <w:sz w:val="28"/>
          <w:szCs w:val="28"/>
        </w:rPr>
      </w:pPr>
      <w:r>
        <w:rPr>
          <w:rStyle w:val="Bodytext3"/>
          <w:sz w:val="28"/>
          <w:szCs w:val="28"/>
        </w:rPr>
        <w:t>Platné od 1. 3. 2022</w:t>
      </w:r>
    </w:p>
    <w:p w14:paraId="40A59354" w14:textId="77777777" w:rsidR="008B0FD4" w:rsidRDefault="00000000">
      <w:pPr>
        <w:pStyle w:val="Heading210"/>
        <w:keepNext/>
        <w:keepLines/>
        <w:spacing w:after="0"/>
      </w:pPr>
      <w:bookmarkStart w:id="1" w:name="bookmark3"/>
      <w:r>
        <w:rPr>
          <w:rStyle w:val="Heading21"/>
        </w:rPr>
        <w:t>Bank</w:t>
      </w:r>
      <w:bookmarkEnd w:id="1"/>
    </w:p>
    <w:p w14:paraId="2B11D482" w14:textId="77777777" w:rsidR="008B0FD4" w:rsidRDefault="00000000">
      <w:pPr>
        <w:pStyle w:val="Heading210"/>
        <w:keepNext/>
        <w:keepLines/>
        <w:spacing w:after="3600"/>
      </w:pPr>
      <w:r>
        <w:rPr>
          <w:rStyle w:val="Heading21"/>
        </w:rPr>
        <w:t>jubile and Slovakia, a.s.</w:t>
      </w:r>
    </w:p>
    <w:p w14:paraId="661254A5" w14:textId="77777777" w:rsidR="008B0FD4" w:rsidRDefault="00000000">
      <w:pPr>
        <w:pStyle w:val="Bodytext30"/>
        <w:spacing w:after="0"/>
      </w:pPr>
      <w:r>
        <w:rPr>
          <w:noProof/>
        </w:rPr>
        <mc:AlternateContent>
          <mc:Choice Requires="wps">
            <w:drawing>
              <wp:anchor distT="0" distB="0" distL="114300" distR="114300" simplePos="0" relativeHeight="125829378" behindDoc="0" locked="0" layoutInCell="1" allowOverlap="1" wp14:anchorId="7477FD84" wp14:editId="3A45A3BE">
                <wp:simplePos x="0" y="0"/>
                <wp:positionH relativeFrom="page">
                  <wp:posOffset>4757420</wp:posOffset>
                </wp:positionH>
                <wp:positionV relativeFrom="paragraph">
                  <wp:posOffset>50800</wp:posOffset>
                </wp:positionV>
                <wp:extent cx="2121535" cy="3702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121535" cy="370205"/>
                        </a:xfrm>
                        <a:prstGeom prst="rect">
                          <a:avLst/>
                        </a:prstGeom>
                        <a:noFill/>
                      </wps:spPr>
                      <wps:txbx>
                        <w:txbxContent>
                          <w:p w14:paraId="1CA2F48B" w14:textId="77777777" w:rsidR="008B0FD4" w:rsidRDefault="00000000">
                            <w:pPr>
                              <w:pStyle w:val="Bodytext60"/>
                            </w:pPr>
                            <w:r>
                              <w:rPr>
                                <w:rStyle w:val="Bodytext6"/>
                                <w:b/>
                                <w:bCs/>
                              </w:rPr>
                              <w:t>UniCredit Bank</w:t>
                            </w:r>
                          </w:p>
                        </w:txbxContent>
                      </wps:txbx>
                      <wps:bodyPr wrap="none" lIns="0" tIns="0" rIns="0" bIns="0"/>
                    </wps:wsp>
                  </a:graphicData>
                </a:graphic>
              </wp:anchor>
            </w:drawing>
          </mc:Choice>
          <mc:Fallback>
            <w:pict>
              <v:shapetype w14:anchorId="7477FD84" id="_x0000_t202" coordsize="21600,21600" o:spt="202" path="m,l,21600r21600,l21600,xe">
                <v:stroke joinstyle="miter"/>
                <v:path gradientshapeok="t" o:connecttype="rect"/>
              </v:shapetype>
              <v:shape id="Shape 1" o:spid="_x0000_s1026" type="#_x0000_t202" style="position:absolute;left:0;text-align:left;margin-left:374.6pt;margin-top:4pt;width:167.05pt;height:29.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" filled="f" stroked="f">
                <v:textbox inset="0,0,0,0">
                  <w:txbxContent>
                    <w:p w14:paraId="1CA2F48B" w14:textId="77777777" w:rsidR="008B0FD4" w:rsidRDefault="00000000">
                      <w:pPr>
                        <w:pStyle w:val="Bodytext60"/>
                      </w:pPr>
                      <w:r>
                        <w:rPr>
                          <w:rStyle w:val="Bodytext6"/>
                          <w:b/>
                          <w:bCs/>
                        </w:rPr>
                        <w:t>UniCredit Bank</w:t>
                      </w:r>
                    </w:p>
                  </w:txbxContent>
                </v:textbox>
                <w10:wrap type="square" side="left" anchorx="page"/>
              </v:shape>
            </w:pict>
          </mc:Fallback>
        </mc:AlternateContent>
      </w:r>
      <w:r>
        <w:rPr>
          <w:rStyle w:val="Bodytext3"/>
        </w:rPr>
        <w:t>Banka pro všechno, na čem záleží.</w:t>
      </w:r>
    </w:p>
    <w:p w14:paraId="68461A7A" w14:textId="77777777" w:rsidR="008B0FD4" w:rsidRDefault="00000000">
      <w:pPr>
        <w:pStyle w:val="Heading310"/>
        <w:keepNext/>
        <w:keepLines/>
        <w:spacing w:after="0"/>
        <w:ind w:left="0"/>
      </w:pPr>
      <w:bookmarkStart w:id="2" w:name="bookmark6"/>
      <w:r>
        <w:rPr>
          <w:rStyle w:val="Heading31"/>
          <w:color w:val="000000"/>
        </w:rPr>
        <w:lastRenderedPageBreak/>
        <w:t>OBECNE OBCHODNÍ PODMÍNKY</w:t>
      </w:r>
      <w:bookmarkEnd w:id="2"/>
    </w:p>
    <w:p w14:paraId="6472A0AC" w14:textId="77777777" w:rsidR="008B0FD4" w:rsidRDefault="00000000">
      <w:pPr>
        <w:pStyle w:val="Heading310"/>
        <w:keepNext/>
        <w:keepLines/>
        <w:spacing w:line="228" w:lineRule="auto"/>
        <w:ind w:left="0"/>
      </w:pPr>
      <w:r>
        <w:rPr>
          <w:rStyle w:val="Heading31"/>
        </w:rPr>
        <w:t>UNICREDIT BANK CZECH REPUBLIC AND SLOVAKIA, A.S.</w:t>
      </w:r>
    </w:p>
    <w:p w14:paraId="1C8AC4F9" w14:textId="77777777" w:rsidR="008B0FD4" w:rsidRDefault="00000000">
      <w:pPr>
        <w:pStyle w:val="Bodytext50"/>
      </w:pPr>
      <w:r>
        <w:rPr>
          <w:rStyle w:val="Bodytext5"/>
        </w:rPr>
        <w:t>Platné od 1.3.2022</w:t>
      </w:r>
    </w:p>
    <w:p w14:paraId="12B339CF" w14:textId="77777777" w:rsidR="008B0FD4" w:rsidRDefault="00000000">
      <w:pPr>
        <w:pStyle w:val="Heading310"/>
        <w:keepNext/>
        <w:keepLines/>
        <w:spacing w:after="540"/>
        <w:ind w:left="1260"/>
        <w:rPr>
          <w:sz w:val="42"/>
          <w:szCs w:val="42"/>
        </w:rPr>
      </w:pPr>
      <w:bookmarkStart w:id="3" w:name="bookmark9"/>
      <w:r>
        <w:rPr>
          <w:rStyle w:val="Heading31"/>
          <w:color w:val="000000"/>
          <w:sz w:val="42"/>
          <w:szCs w:val="42"/>
        </w:rPr>
        <w:t>Obsah</w:t>
      </w:r>
      <w:bookmarkEnd w:id="3"/>
    </w:p>
    <w:p w14:paraId="00BD7A44" w14:textId="77777777" w:rsidR="008B0FD4" w:rsidRDefault="00000000">
      <w:pPr>
        <w:pStyle w:val="Bodytext40"/>
        <w:numPr>
          <w:ilvl w:val="0"/>
          <w:numId w:val="1"/>
        </w:numPr>
        <w:tabs>
          <w:tab w:val="left" w:pos="1620"/>
        </w:tabs>
      </w:pPr>
      <w:r>
        <w:rPr>
          <w:rStyle w:val="Bodytext4"/>
        </w:rPr>
        <w:t>PŮSOBNOST A PLATNOST OBECNÝCH OBCHODNÍCH PODMÍNEK</w:t>
      </w:r>
    </w:p>
    <w:p w14:paraId="000841CC" w14:textId="77777777" w:rsidR="008B0FD4" w:rsidRDefault="00000000">
      <w:pPr>
        <w:pStyle w:val="Tableofcontents10"/>
        <w:tabs>
          <w:tab w:val="right" w:pos="8623"/>
        </w:tabs>
        <w:ind w:left="1620"/>
        <w:jc w:val="both"/>
        <w:rPr>
          <w:sz w:val="20"/>
          <w:szCs w:val="20"/>
        </w:rPr>
      </w:pPr>
      <w:r>
        <w:fldChar w:fldCharType="begin"/>
      </w:r>
      <w:r>
        <w:instrText xml:space="preserve"> TOC \o "1-5" \h \z </w:instrText>
      </w:r>
      <w:r>
        <w:fldChar w:fldCharType="separate"/>
      </w:r>
      <w:r>
        <w:rPr>
          <w:rStyle w:val="Tableofcontents1"/>
        </w:rPr>
        <w:t>A PRODUKTOVÝCH PODMÍNEK</w:t>
      </w:r>
      <w:r>
        <w:rPr>
          <w:rStyle w:val="Tableofcontents1"/>
        </w:rPr>
        <w:tab/>
      </w:r>
      <w:r>
        <w:rPr>
          <w:rStyle w:val="Tableofcontents1"/>
          <w:sz w:val="20"/>
          <w:szCs w:val="20"/>
        </w:rPr>
        <w:t>3</w:t>
      </w:r>
    </w:p>
    <w:p w14:paraId="57D0E056" w14:textId="77777777" w:rsidR="008B0FD4" w:rsidRDefault="00000000">
      <w:pPr>
        <w:pStyle w:val="Tableofcontents10"/>
        <w:numPr>
          <w:ilvl w:val="0"/>
          <w:numId w:val="1"/>
        </w:numPr>
        <w:tabs>
          <w:tab w:val="left" w:pos="1620"/>
          <w:tab w:val="right" w:pos="8623"/>
        </w:tabs>
        <w:rPr>
          <w:sz w:val="20"/>
          <w:szCs w:val="20"/>
        </w:rPr>
      </w:pPr>
      <w:r>
        <w:rPr>
          <w:rStyle w:val="Tableofcontents1"/>
        </w:rPr>
        <w:t>OBCHODNÍ MÍSTA BANKY</w:t>
      </w:r>
      <w:r>
        <w:rPr>
          <w:rStyle w:val="Tableofcontents1"/>
        </w:rPr>
        <w:tab/>
      </w:r>
      <w:r>
        <w:rPr>
          <w:rStyle w:val="Tableofcontents1"/>
          <w:sz w:val="20"/>
          <w:szCs w:val="20"/>
        </w:rPr>
        <w:t>3</w:t>
      </w:r>
    </w:p>
    <w:p w14:paraId="033B358C" w14:textId="77777777" w:rsidR="008B0FD4" w:rsidRDefault="00000000">
      <w:pPr>
        <w:pStyle w:val="Tableofcontents10"/>
        <w:numPr>
          <w:ilvl w:val="0"/>
          <w:numId w:val="1"/>
        </w:numPr>
        <w:tabs>
          <w:tab w:val="left" w:pos="1620"/>
          <w:tab w:val="right" w:pos="8623"/>
        </w:tabs>
        <w:rPr>
          <w:sz w:val="20"/>
          <w:szCs w:val="20"/>
        </w:rPr>
      </w:pPr>
      <w:r>
        <w:rPr>
          <w:rStyle w:val="Tableofcontents1"/>
        </w:rPr>
        <w:t>ZMĚNY OBECNÝCH OBCHODNÍCH PODMÍNEK</w:t>
      </w:r>
      <w:r>
        <w:rPr>
          <w:rStyle w:val="Tableofcontents1"/>
        </w:rPr>
        <w:tab/>
      </w:r>
      <w:r>
        <w:rPr>
          <w:rStyle w:val="Tableofcontents1"/>
          <w:sz w:val="20"/>
          <w:szCs w:val="20"/>
        </w:rPr>
        <w:t>3</w:t>
      </w:r>
    </w:p>
    <w:p w14:paraId="1181F136" w14:textId="77777777" w:rsidR="008B0FD4" w:rsidRDefault="00000000">
      <w:pPr>
        <w:pStyle w:val="Tableofcontents10"/>
        <w:numPr>
          <w:ilvl w:val="0"/>
          <w:numId w:val="1"/>
        </w:numPr>
        <w:tabs>
          <w:tab w:val="left" w:pos="1620"/>
          <w:tab w:val="right" w:pos="8623"/>
        </w:tabs>
        <w:rPr>
          <w:sz w:val="20"/>
          <w:szCs w:val="20"/>
        </w:rPr>
      </w:pPr>
      <w:r>
        <w:rPr>
          <w:rStyle w:val="Tableofcontents1"/>
        </w:rPr>
        <w:t>JAZYK PRÁVNÍCH LISTIN</w:t>
      </w:r>
      <w:r>
        <w:rPr>
          <w:rStyle w:val="Tableofcontents1"/>
        </w:rPr>
        <w:tab/>
      </w:r>
      <w:r>
        <w:rPr>
          <w:rStyle w:val="Tableofcontents1"/>
          <w:sz w:val="20"/>
          <w:szCs w:val="20"/>
        </w:rPr>
        <w:t>3</w:t>
      </w:r>
    </w:p>
    <w:p w14:paraId="410F64AF" w14:textId="77777777" w:rsidR="008B0FD4" w:rsidRDefault="00000000">
      <w:pPr>
        <w:pStyle w:val="Tableofcontents10"/>
        <w:numPr>
          <w:ilvl w:val="0"/>
          <w:numId w:val="1"/>
        </w:numPr>
        <w:tabs>
          <w:tab w:val="left" w:pos="1620"/>
          <w:tab w:val="right" w:pos="8623"/>
        </w:tabs>
        <w:rPr>
          <w:sz w:val="20"/>
          <w:szCs w:val="20"/>
        </w:rPr>
      </w:pPr>
      <w:r>
        <w:rPr>
          <w:rStyle w:val="Tableofcontents1"/>
        </w:rPr>
        <w:t>KLIENTI</w:t>
      </w:r>
      <w:r>
        <w:rPr>
          <w:rStyle w:val="Tableofcontents1"/>
        </w:rPr>
        <w:tab/>
      </w:r>
      <w:r>
        <w:rPr>
          <w:rStyle w:val="Tableofcontents1"/>
          <w:sz w:val="20"/>
          <w:szCs w:val="20"/>
        </w:rPr>
        <w:t>4</w:t>
      </w:r>
    </w:p>
    <w:p w14:paraId="069663AC" w14:textId="77777777" w:rsidR="008B0FD4" w:rsidRDefault="00000000">
      <w:pPr>
        <w:pStyle w:val="Tableofcontents10"/>
        <w:numPr>
          <w:ilvl w:val="0"/>
          <w:numId w:val="1"/>
        </w:numPr>
        <w:tabs>
          <w:tab w:val="left" w:pos="1620"/>
          <w:tab w:val="right" w:pos="8623"/>
        </w:tabs>
        <w:rPr>
          <w:sz w:val="20"/>
          <w:szCs w:val="20"/>
        </w:rPr>
      </w:pPr>
      <w:r>
        <w:rPr>
          <w:rStyle w:val="Tableofcontents1"/>
        </w:rPr>
        <w:t>JEDNÁNÍ KLIENTA</w:t>
      </w:r>
      <w:r>
        <w:rPr>
          <w:rStyle w:val="Tableofcontents1"/>
        </w:rPr>
        <w:tab/>
      </w:r>
      <w:r>
        <w:rPr>
          <w:rStyle w:val="Tableofcontents1"/>
          <w:sz w:val="20"/>
          <w:szCs w:val="20"/>
        </w:rPr>
        <w:t>4</w:t>
      </w:r>
    </w:p>
    <w:p w14:paraId="527A65A5" w14:textId="77777777" w:rsidR="008B0FD4" w:rsidRDefault="00000000">
      <w:pPr>
        <w:pStyle w:val="Tableofcontents10"/>
        <w:numPr>
          <w:ilvl w:val="0"/>
          <w:numId w:val="1"/>
        </w:numPr>
        <w:tabs>
          <w:tab w:val="left" w:pos="1620"/>
          <w:tab w:val="right" w:pos="8623"/>
        </w:tabs>
        <w:rPr>
          <w:sz w:val="20"/>
          <w:szCs w:val="20"/>
        </w:rPr>
      </w:pPr>
      <w:r>
        <w:rPr>
          <w:rStyle w:val="Tableofcontents1"/>
        </w:rPr>
        <w:t>VZNIK, ZMĚNY A ZÁNIK SMLUVNÍHO VZTAHU</w:t>
      </w:r>
      <w:r>
        <w:rPr>
          <w:rStyle w:val="Tableofcontents1"/>
        </w:rPr>
        <w:tab/>
      </w:r>
      <w:r>
        <w:rPr>
          <w:rStyle w:val="Tableofcontents1"/>
          <w:sz w:val="20"/>
          <w:szCs w:val="20"/>
        </w:rPr>
        <w:t>4</w:t>
      </w:r>
    </w:p>
    <w:p w14:paraId="3C9A5291" w14:textId="77777777" w:rsidR="008B0FD4" w:rsidRDefault="00000000">
      <w:pPr>
        <w:pStyle w:val="Tableofcontents10"/>
        <w:numPr>
          <w:ilvl w:val="0"/>
          <w:numId w:val="1"/>
        </w:numPr>
        <w:tabs>
          <w:tab w:val="left" w:pos="1620"/>
          <w:tab w:val="right" w:pos="8623"/>
        </w:tabs>
        <w:rPr>
          <w:sz w:val="20"/>
          <w:szCs w:val="20"/>
        </w:rPr>
      </w:pPr>
      <w:r>
        <w:rPr>
          <w:rStyle w:val="Tableofcontents1"/>
        </w:rPr>
        <w:t>ODMĚNY ZA SLUŽBY A NÁHRADA NÁKLADŮ</w:t>
      </w:r>
      <w:r>
        <w:rPr>
          <w:rStyle w:val="Tableofcontents1"/>
        </w:rPr>
        <w:tab/>
      </w:r>
      <w:r>
        <w:rPr>
          <w:rStyle w:val="Tableofcontents1"/>
          <w:sz w:val="20"/>
          <w:szCs w:val="20"/>
        </w:rPr>
        <w:t>5</w:t>
      </w:r>
    </w:p>
    <w:p w14:paraId="075E6689" w14:textId="77777777" w:rsidR="008B0FD4" w:rsidRDefault="00000000">
      <w:pPr>
        <w:pStyle w:val="Tableofcontents10"/>
        <w:numPr>
          <w:ilvl w:val="0"/>
          <w:numId w:val="1"/>
        </w:numPr>
        <w:tabs>
          <w:tab w:val="left" w:pos="1620"/>
          <w:tab w:val="right" w:pos="8623"/>
        </w:tabs>
        <w:rPr>
          <w:sz w:val="20"/>
          <w:szCs w:val="20"/>
        </w:rPr>
      </w:pPr>
      <w:r>
        <w:rPr>
          <w:rStyle w:val="Tableofcontents1"/>
        </w:rPr>
        <w:t>ÚHRADA POHLEDÁVEK BANKY, ZAPOČTENÍ A PROMLČENÍ</w:t>
      </w:r>
      <w:r>
        <w:rPr>
          <w:rStyle w:val="Tableofcontents1"/>
        </w:rPr>
        <w:tab/>
      </w:r>
      <w:r>
        <w:rPr>
          <w:rStyle w:val="Tableofcontents1"/>
          <w:sz w:val="20"/>
          <w:szCs w:val="20"/>
        </w:rPr>
        <w:t>5</w:t>
      </w:r>
    </w:p>
    <w:p w14:paraId="4B9051C9" w14:textId="77777777" w:rsidR="008B0FD4" w:rsidRDefault="00000000">
      <w:pPr>
        <w:pStyle w:val="Tableofcontents10"/>
        <w:numPr>
          <w:ilvl w:val="0"/>
          <w:numId w:val="1"/>
        </w:numPr>
        <w:tabs>
          <w:tab w:val="left" w:pos="1719"/>
          <w:tab w:val="right" w:pos="8623"/>
        </w:tabs>
        <w:rPr>
          <w:sz w:val="20"/>
          <w:szCs w:val="20"/>
        </w:rPr>
      </w:pPr>
      <w:r>
        <w:rPr>
          <w:rStyle w:val="Tableofcontents1"/>
        </w:rPr>
        <w:t>ZAJIŠTĚNÍ</w:t>
      </w:r>
      <w:r>
        <w:rPr>
          <w:rStyle w:val="Tableofcontents1"/>
        </w:rPr>
        <w:tab/>
      </w:r>
      <w:r>
        <w:rPr>
          <w:rStyle w:val="Tableofcontents1"/>
          <w:sz w:val="20"/>
          <w:szCs w:val="20"/>
        </w:rPr>
        <w:t>6</w:t>
      </w:r>
    </w:p>
    <w:p w14:paraId="7A9E78D0" w14:textId="77777777" w:rsidR="008B0FD4" w:rsidRDefault="00000000">
      <w:pPr>
        <w:pStyle w:val="Tableofcontents10"/>
        <w:numPr>
          <w:ilvl w:val="0"/>
          <w:numId w:val="1"/>
        </w:numPr>
        <w:tabs>
          <w:tab w:val="left" w:pos="1712"/>
          <w:tab w:val="center" w:pos="6098"/>
          <w:tab w:val="right" w:pos="8623"/>
        </w:tabs>
        <w:rPr>
          <w:sz w:val="20"/>
          <w:szCs w:val="20"/>
        </w:rPr>
      </w:pPr>
      <w:r>
        <w:rPr>
          <w:rStyle w:val="Tableofcontents1"/>
        </w:rPr>
        <w:t>BANKOVNÍ TAJEMSTVÍ A OCHRANA OSOBNÍCH</w:t>
      </w:r>
      <w:r>
        <w:rPr>
          <w:rStyle w:val="Tableofcontents1"/>
        </w:rPr>
        <w:tab/>
        <w:t>ÚDAJŮ</w:t>
      </w:r>
      <w:r>
        <w:rPr>
          <w:rStyle w:val="Tableofcontents1"/>
        </w:rPr>
        <w:tab/>
      </w:r>
      <w:r>
        <w:rPr>
          <w:rStyle w:val="Tableofcontents1"/>
          <w:sz w:val="20"/>
          <w:szCs w:val="20"/>
        </w:rPr>
        <w:t>6</w:t>
      </w:r>
    </w:p>
    <w:p w14:paraId="2C8DB9E0" w14:textId="77777777" w:rsidR="008B0FD4" w:rsidRDefault="00000000">
      <w:pPr>
        <w:pStyle w:val="Tableofcontents10"/>
        <w:numPr>
          <w:ilvl w:val="0"/>
          <w:numId w:val="1"/>
        </w:numPr>
        <w:tabs>
          <w:tab w:val="left" w:pos="1712"/>
          <w:tab w:val="right" w:pos="8623"/>
        </w:tabs>
        <w:rPr>
          <w:sz w:val="20"/>
          <w:szCs w:val="20"/>
        </w:rPr>
      </w:pPr>
      <w:r>
        <w:rPr>
          <w:rStyle w:val="Tableofcontents1"/>
        </w:rPr>
        <w:t>ODPOVĚDNOST</w:t>
      </w:r>
      <w:r>
        <w:rPr>
          <w:rStyle w:val="Tableofcontents1"/>
        </w:rPr>
        <w:tab/>
      </w:r>
      <w:r>
        <w:rPr>
          <w:rStyle w:val="Tableofcontents1"/>
          <w:sz w:val="20"/>
          <w:szCs w:val="20"/>
        </w:rPr>
        <w:t>6</w:t>
      </w:r>
    </w:p>
    <w:p w14:paraId="54209905" w14:textId="77777777" w:rsidR="008B0FD4" w:rsidRDefault="00000000">
      <w:pPr>
        <w:pStyle w:val="Tableofcontents10"/>
        <w:numPr>
          <w:ilvl w:val="0"/>
          <w:numId w:val="1"/>
        </w:numPr>
        <w:tabs>
          <w:tab w:val="left" w:pos="1712"/>
          <w:tab w:val="right" w:pos="8623"/>
        </w:tabs>
        <w:rPr>
          <w:sz w:val="20"/>
          <w:szCs w:val="20"/>
        </w:rPr>
      </w:pPr>
      <w:r>
        <w:rPr>
          <w:rStyle w:val="Tableofcontents1"/>
        </w:rPr>
        <w:t>ZPŮSOB KOMUNIKACE, DORUČOVÁNÍ, REKLAMACE</w:t>
      </w:r>
      <w:r>
        <w:rPr>
          <w:rStyle w:val="Tableofcontents1"/>
        </w:rPr>
        <w:tab/>
      </w:r>
      <w:r>
        <w:rPr>
          <w:rStyle w:val="Tableofcontents1"/>
          <w:sz w:val="20"/>
          <w:szCs w:val="20"/>
        </w:rPr>
        <w:t>6</w:t>
      </w:r>
    </w:p>
    <w:p w14:paraId="019B3C12" w14:textId="77777777" w:rsidR="008B0FD4" w:rsidRDefault="00000000">
      <w:pPr>
        <w:pStyle w:val="Tableofcontents10"/>
        <w:numPr>
          <w:ilvl w:val="0"/>
          <w:numId w:val="1"/>
        </w:numPr>
        <w:tabs>
          <w:tab w:val="left" w:pos="1712"/>
        </w:tabs>
        <w:spacing w:after="40"/>
      </w:pPr>
      <w:r>
        <w:rPr>
          <w:rStyle w:val="Tableofcontents1"/>
        </w:rPr>
        <w:t>ROZHODNÉ PRÁVO, SOUDNÍ MÍSTO A SUBJEKT MIMOSOUDNÍHO ŘEŠENÍ</w:t>
      </w:r>
    </w:p>
    <w:p w14:paraId="3B5C3D8E" w14:textId="77777777" w:rsidR="008B0FD4" w:rsidRDefault="00000000">
      <w:pPr>
        <w:pStyle w:val="Tableofcontents10"/>
        <w:tabs>
          <w:tab w:val="right" w:pos="8623"/>
        </w:tabs>
        <w:ind w:left="1620"/>
        <w:jc w:val="both"/>
        <w:rPr>
          <w:sz w:val="20"/>
          <w:szCs w:val="20"/>
        </w:rPr>
      </w:pPr>
      <w:r>
        <w:rPr>
          <w:rStyle w:val="Tableofcontents1"/>
        </w:rPr>
        <w:t>SPOTŘEBITELSKÝCH SPORŮ</w:t>
      </w:r>
      <w:r>
        <w:rPr>
          <w:rStyle w:val="Tableofcontents1"/>
        </w:rPr>
        <w:tab/>
      </w:r>
      <w:r>
        <w:rPr>
          <w:rStyle w:val="Tableofcontents1"/>
          <w:sz w:val="20"/>
          <w:szCs w:val="20"/>
        </w:rPr>
        <w:t>7</w:t>
      </w:r>
    </w:p>
    <w:p w14:paraId="5CB24135" w14:textId="77777777" w:rsidR="008B0FD4" w:rsidRDefault="00000000">
      <w:pPr>
        <w:pStyle w:val="Tableofcontents10"/>
        <w:numPr>
          <w:ilvl w:val="0"/>
          <w:numId w:val="1"/>
        </w:numPr>
        <w:tabs>
          <w:tab w:val="left" w:pos="1712"/>
          <w:tab w:val="right" w:pos="8623"/>
        </w:tabs>
        <w:jc w:val="both"/>
        <w:rPr>
          <w:sz w:val="20"/>
          <w:szCs w:val="20"/>
        </w:rPr>
        <w:sectPr w:rsidR="008B0FD4">
          <w:type w:val="continuous"/>
          <w:pgSz w:w="11900" w:h="16840"/>
          <w:pgMar w:top="1113" w:right="988" w:bottom="688" w:left="969" w:header="685" w:footer="260" w:gutter="0"/>
          <w:cols w:space="720"/>
          <w:noEndnote/>
          <w:docGrid w:linePitch="360"/>
        </w:sectPr>
      </w:pPr>
      <w:r>
        <w:rPr>
          <w:rStyle w:val="Tableofcontents1"/>
        </w:rPr>
        <w:t>MĚNY A BANKOVNÍ DEN</w:t>
      </w:r>
      <w:r>
        <w:rPr>
          <w:rStyle w:val="Tableofcontents1"/>
        </w:rPr>
        <w:tab/>
      </w:r>
      <w:r>
        <w:rPr>
          <w:rStyle w:val="Tableofcontents1"/>
          <w:sz w:val="20"/>
          <w:szCs w:val="20"/>
        </w:rPr>
        <w:t>8</w:t>
      </w:r>
      <w:r>
        <w:fldChar w:fldCharType="end"/>
      </w:r>
    </w:p>
    <w:p w14:paraId="3D7C84A4" w14:textId="77777777" w:rsidR="008B0FD4" w:rsidRDefault="00000000">
      <w:pPr>
        <w:pStyle w:val="Bodytext10"/>
        <w:numPr>
          <w:ilvl w:val="0"/>
          <w:numId w:val="2"/>
        </w:numPr>
        <w:tabs>
          <w:tab w:val="left" w:pos="499"/>
          <w:tab w:val="left" w:pos="5108"/>
        </w:tabs>
        <w:spacing w:after="0"/>
      </w:pPr>
      <w:r>
        <w:rPr>
          <w:rStyle w:val="Bodytext1"/>
          <w:color w:val="CC5E72"/>
        </w:rPr>
        <w:lastRenderedPageBreak/>
        <w:t>PŮSOBNOST A PLATNOST OBECNÝCH OBCHODNÍCH</w:t>
      </w:r>
      <w:r>
        <w:rPr>
          <w:rStyle w:val="Bodytext1"/>
          <w:color w:val="CC5E72"/>
        </w:rPr>
        <w:tab/>
        <w:t>2.2</w:t>
      </w:r>
    </w:p>
    <w:p w14:paraId="6CF9611D" w14:textId="77777777" w:rsidR="008B0FD4" w:rsidRDefault="00000000">
      <w:pPr>
        <w:pStyle w:val="Bodytext10"/>
        <w:ind w:firstLine="520"/>
      </w:pPr>
      <w:r>
        <w:rPr>
          <w:rStyle w:val="Bodytext1"/>
          <w:color w:val="CC5E72"/>
        </w:rPr>
        <w:t>PODMÍNEK A PRODUKTOVÝCH PODMÍNEK</w:t>
      </w:r>
    </w:p>
    <w:p w14:paraId="360F9810" w14:textId="77777777" w:rsidR="008B0FD4" w:rsidRDefault="00000000">
      <w:pPr>
        <w:pStyle w:val="Bodytext10"/>
        <w:numPr>
          <w:ilvl w:val="1"/>
          <w:numId w:val="2"/>
        </w:numPr>
        <w:tabs>
          <w:tab w:val="left" w:pos="499"/>
        </w:tabs>
        <w:spacing w:after="0"/>
        <w:ind w:left="520" w:hanging="520"/>
        <w:jc w:val="both"/>
      </w:pPr>
      <w:r>
        <w:rPr>
          <w:rStyle w:val="Bodytext1"/>
        </w:rPr>
        <w:t>Obecné obchodní podmínky UniCredit Bank Czech Republic and Slovakia, a.s. (dále jen „Obecné obchodní podmínky" a „Banka") platí pro všechny smluvní vztahy mezi Bankou na straně jedné a fyzickými osobami, právnickými osobami a dalšími subjekty práva (dále jen „Klient“) na straně druhé týkající se bankovních služeb nebo vznikající v souvislosti s bankovními službami a pro všechna jednání o takových smluvních vztazích, a to od okamži</w:t>
      </w:r>
      <w:r>
        <w:rPr>
          <w:rStyle w:val="Bodytext1"/>
        </w:rPr>
        <w:softHyphen/>
        <w:t>ku, kdy se poprvé staly součástí jakékoliv smlouvy mezi Bankou a Klientem, nebylo-li výslovně dohodnuto jinak.</w:t>
      </w:r>
    </w:p>
    <w:p w14:paraId="0F49617A" w14:textId="77777777" w:rsidR="008B0FD4" w:rsidRDefault="00000000">
      <w:pPr>
        <w:pStyle w:val="Bodytext10"/>
        <w:numPr>
          <w:ilvl w:val="1"/>
          <w:numId w:val="2"/>
        </w:numPr>
        <w:tabs>
          <w:tab w:val="left" w:pos="499"/>
        </w:tabs>
        <w:spacing w:line="312" w:lineRule="auto"/>
        <w:ind w:left="520" w:hanging="520"/>
      </w:pPr>
      <w:r>
        <w:rPr>
          <w:rStyle w:val="Bodytext1"/>
        </w:rPr>
        <w:t xml:space="preserve">Obecné obchodní podmínky platí do doby úplného vypořádání </w:t>
      </w:r>
      <w:r>
        <w:rPr>
          <w:rStyle w:val="Bodytext1"/>
          <w:vertAlign w:val="superscript"/>
        </w:rPr>
        <w:t xml:space="preserve">31 </w:t>
      </w:r>
      <w:r>
        <w:rPr>
          <w:rStyle w:val="Bodytext1"/>
        </w:rPr>
        <w:t>všech pohledávek vzniklých mezi Bankou a Klientem, a to ve zně</w:t>
      </w:r>
      <w:r>
        <w:rPr>
          <w:rStyle w:val="Bodytext1"/>
        </w:rPr>
        <w:softHyphen/>
        <w:t xml:space="preserve">ní platném k okamžiku vzniku smluvního vztahu, pokud nedojde </w:t>
      </w:r>
      <w:proofErr w:type="spellStart"/>
      <w:r>
        <w:rPr>
          <w:rStyle w:val="Bodytext1"/>
        </w:rPr>
        <w:t>kjejich</w:t>
      </w:r>
      <w:proofErr w:type="spellEnd"/>
      <w:r>
        <w:rPr>
          <w:rStyle w:val="Bodytext1"/>
        </w:rPr>
        <w:t xml:space="preserve"> změně dle </w:t>
      </w:r>
      <w:proofErr w:type="spellStart"/>
      <w:r>
        <w:rPr>
          <w:rStyle w:val="Bodytext1"/>
        </w:rPr>
        <w:t>ust</w:t>
      </w:r>
      <w:proofErr w:type="spellEnd"/>
      <w:r>
        <w:rPr>
          <w:rStyle w:val="Bodytext1"/>
        </w:rPr>
        <w:t>. 3 Obecných obchodních podmínek.</w:t>
      </w:r>
    </w:p>
    <w:p w14:paraId="0D2D39A0" w14:textId="77777777" w:rsidR="008B0FD4" w:rsidRDefault="00000000">
      <w:pPr>
        <w:pStyle w:val="Bodytext10"/>
        <w:numPr>
          <w:ilvl w:val="1"/>
          <w:numId w:val="2"/>
        </w:numPr>
        <w:tabs>
          <w:tab w:val="left" w:pos="499"/>
        </w:tabs>
        <w:spacing w:line="307" w:lineRule="auto"/>
        <w:ind w:left="520" w:hanging="520"/>
        <w:jc w:val="both"/>
      </w:pPr>
      <w:r>
        <w:rPr>
          <w:rStyle w:val="Bodytext1"/>
        </w:rPr>
        <w:t>Banka dále vydává, pokud to považuje za účelné, zvláštní ob</w:t>
      </w:r>
      <w:r>
        <w:rPr>
          <w:rStyle w:val="Bodytext1"/>
        </w:rPr>
        <w:softHyphen/>
        <w:t>chodní podmínky, které doplňují podmínky stanovené v Obec</w:t>
      </w:r>
      <w:r>
        <w:rPr>
          <w:rStyle w:val="Bodytext1"/>
        </w:rPr>
        <w:softHyphen/>
        <w:t>ných obchodních podmínkách nebo některou problematiku upra</w:t>
      </w:r>
      <w:r>
        <w:rPr>
          <w:rStyle w:val="Bodytext1"/>
        </w:rPr>
        <w:softHyphen/>
        <w:t>vují odchylně (dále jen „produktové podmínky“).</w:t>
      </w:r>
    </w:p>
    <w:p w14:paraId="1B085A5C" w14:textId="77777777" w:rsidR="008B0FD4" w:rsidRDefault="00000000">
      <w:pPr>
        <w:pStyle w:val="Bodytext10"/>
        <w:numPr>
          <w:ilvl w:val="1"/>
          <w:numId w:val="2"/>
        </w:numPr>
        <w:tabs>
          <w:tab w:val="left" w:pos="499"/>
        </w:tabs>
        <w:spacing w:line="317" w:lineRule="auto"/>
        <w:ind w:left="520" w:hanging="520"/>
        <w:jc w:val="both"/>
      </w:pPr>
      <w:r>
        <w:rPr>
          <w:rStyle w:val="Bodytext1"/>
        </w:rPr>
        <w:t>Platnost produktových podmínek a postup pro jejich případné změny či doplnění jsou upraveny v příslušných produktových podmínkách.</w:t>
      </w:r>
    </w:p>
    <w:p w14:paraId="2A7F4DD8" w14:textId="77777777" w:rsidR="008B0FD4" w:rsidRDefault="00000000">
      <w:pPr>
        <w:pStyle w:val="Bodytext10"/>
        <w:numPr>
          <w:ilvl w:val="1"/>
          <w:numId w:val="2"/>
        </w:numPr>
        <w:tabs>
          <w:tab w:val="left" w:pos="499"/>
        </w:tabs>
        <w:ind w:left="520" w:hanging="520"/>
        <w:jc w:val="both"/>
      </w:pPr>
      <w:r>
        <w:rPr>
          <w:rStyle w:val="Bodytext1"/>
        </w:rPr>
        <w:t>V rámci smluvního vztahu mezi Bankou a Klientem týkajícího se konkrétního obchodu nebo služby se v případě rozporu mezi příslušnou smlouvou, příslušnými produktovými podmínkami a Obecnými obchodními podmínkami použije přednostně úprava obsažená v příslušné smlouvě, poté případná úprava obsažená v příslušných produktových podmínkách a až poté úprava obsa</w:t>
      </w:r>
      <w:r>
        <w:rPr>
          <w:rStyle w:val="Bodytext1"/>
        </w:rPr>
        <w:softHyphen/>
        <w:t>žená v Obecných obchodních podmínkách.</w:t>
      </w:r>
    </w:p>
    <w:p w14:paraId="70DA29D0" w14:textId="77777777" w:rsidR="008B0FD4" w:rsidRDefault="00000000">
      <w:pPr>
        <w:pStyle w:val="Bodytext10"/>
        <w:numPr>
          <w:ilvl w:val="1"/>
          <w:numId w:val="2"/>
        </w:numPr>
        <w:tabs>
          <w:tab w:val="left" w:pos="499"/>
        </w:tabs>
        <w:ind w:left="520" w:hanging="520"/>
        <w:jc w:val="both"/>
      </w:pPr>
      <w:r>
        <w:rPr>
          <w:rStyle w:val="Bodytext1"/>
        </w:rPr>
        <w:t>Pokud se kterékoli ustanovení Obecných obchodních podmínek, produktových podmínek nebo konkrétní smlouvy ukáže být nebo se stane neplatným nebo neúčinným nebo se k němu ze záko</w:t>
      </w:r>
      <w:r>
        <w:rPr>
          <w:rStyle w:val="Bodytext1"/>
        </w:rPr>
        <w:softHyphen/>
        <w:t>na nebude přihlížet, nebude tím dotčena platnost, účinnost ani právní bezvadnost zbývajících ustanovení. Klient je v takovém případě povinen bez zbytečného odkladu po obdržení výzvy Banky uzavřít s Bankou dohodu, jejímž obsahem bude nahrazení takového neplatného nebo neúčinného ustanovení nebo ustano</w:t>
      </w:r>
      <w:r>
        <w:rPr>
          <w:rStyle w:val="Bodytext1"/>
        </w:rPr>
        <w:softHyphen/>
        <w:t>vení, k němuž se nepřihlíží, ustanovením, které co možná nejvíce odpovídá smyslu a účelu původního ustanovení.</w:t>
      </w:r>
    </w:p>
    <w:p w14:paraId="7C83024D" w14:textId="77777777" w:rsidR="008B0FD4" w:rsidRDefault="00000000">
      <w:pPr>
        <w:pStyle w:val="Bodytext10"/>
        <w:numPr>
          <w:ilvl w:val="1"/>
          <w:numId w:val="2"/>
        </w:numPr>
        <w:tabs>
          <w:tab w:val="left" w:pos="499"/>
        </w:tabs>
        <w:ind w:left="520" w:hanging="520"/>
        <w:jc w:val="both"/>
      </w:pPr>
      <w:r>
        <w:rPr>
          <w:rStyle w:val="Bodytext1"/>
        </w:rPr>
        <w:t>Klient obdrží Obecné obchodní podmínky a produktové podmín</w:t>
      </w:r>
      <w:r>
        <w:rPr>
          <w:rStyle w:val="Bodytext1"/>
        </w:rPr>
        <w:softHyphen/>
        <w:t xml:space="preserve">ky na trvalém nosiči dat umožňujícím Klientovi jejich využití po </w:t>
      </w:r>
      <w:proofErr w:type="gramStart"/>
      <w:r>
        <w:rPr>
          <w:rStyle w:val="Bodytext1"/>
          <w:vertAlign w:val="subscript"/>
        </w:rPr>
        <w:t>3</w:t>
      </w:r>
      <w:r>
        <w:rPr>
          <w:rStyle w:val="Bodytext1"/>
        </w:rPr>
        <w:t xml:space="preserve"> .</w:t>
      </w:r>
      <w:proofErr w:type="gramEnd"/>
      <w:r>
        <w:rPr>
          <w:rStyle w:val="Bodytext1"/>
        </w:rPr>
        <w:t xml:space="preserve"> dobu přiměřenou jejich účelu a umožňujícím jejich reprodukci v nezměněné podobě, ledaže se s Bankou dohodl jinak. Klient má právo obdržet Obecné obchodní podmínky a produktové pod</w:t>
      </w:r>
      <w:r>
        <w:rPr>
          <w:rStyle w:val="Bodytext1"/>
        </w:rPr>
        <w:softHyphen/>
        <w:t>mínky též písemně v listinné podobě, pokud by tuto podobu po</w:t>
      </w:r>
      <w:r>
        <w:rPr>
          <w:rStyle w:val="Bodytext1"/>
        </w:rPr>
        <w:softHyphen/>
        <w:t>skytnutí upřednostnil, a to na vyžádání na obchodních místech Banky.</w:t>
      </w:r>
    </w:p>
    <w:p w14:paraId="48FC39FC" w14:textId="77777777" w:rsidR="008B0FD4" w:rsidRDefault="00000000">
      <w:pPr>
        <w:pStyle w:val="Bodytext10"/>
        <w:numPr>
          <w:ilvl w:val="1"/>
          <w:numId w:val="2"/>
        </w:numPr>
        <w:tabs>
          <w:tab w:val="left" w:pos="499"/>
        </w:tabs>
        <w:spacing w:line="312" w:lineRule="auto"/>
        <w:ind w:left="520" w:hanging="520"/>
        <w:jc w:val="both"/>
      </w:pPr>
      <w:r>
        <w:rPr>
          <w:rStyle w:val="Bodytext1"/>
        </w:rPr>
        <w:t xml:space="preserve">Obecné obchodní podmínky ani produktové podmínky neplatí </w:t>
      </w:r>
      <w:r>
        <w:rPr>
          <w:rStyle w:val="Bodytext1"/>
          <w:color w:val="CC5E72"/>
        </w:rPr>
        <w:t xml:space="preserve">4. </w:t>
      </w:r>
      <w:r>
        <w:rPr>
          <w:rStyle w:val="Bodytext1"/>
        </w:rPr>
        <w:t xml:space="preserve">pro smluvní vztahy mezi Bankou a Klientem v případě uzavření </w:t>
      </w:r>
      <w:proofErr w:type="gramStart"/>
      <w:r>
        <w:rPr>
          <w:rStyle w:val="Bodytext1"/>
          <w:vertAlign w:val="subscript"/>
        </w:rPr>
        <w:t xml:space="preserve">( </w:t>
      </w:r>
      <w:r>
        <w:rPr>
          <w:rStyle w:val="Bodytext1"/>
        </w:rPr>
        <w:t>smluvního</w:t>
      </w:r>
      <w:proofErr w:type="gramEnd"/>
      <w:r>
        <w:rPr>
          <w:rStyle w:val="Bodytext1"/>
        </w:rPr>
        <w:t xml:space="preserve"> vztahu prostřednictvím UniCredit Bank Czech Repub</w:t>
      </w:r>
      <w:r>
        <w:rPr>
          <w:rStyle w:val="Bodytext1"/>
        </w:rPr>
        <w:softHyphen/>
        <w:t>lic and Slovakia, a.s., pobočky zahraniční banky v SR.</w:t>
      </w:r>
    </w:p>
    <w:p w14:paraId="0F4955B0" w14:textId="77777777" w:rsidR="008B0FD4" w:rsidRDefault="00000000">
      <w:pPr>
        <w:pStyle w:val="Bodytext10"/>
        <w:numPr>
          <w:ilvl w:val="1"/>
          <w:numId w:val="2"/>
        </w:numPr>
        <w:tabs>
          <w:tab w:val="left" w:pos="499"/>
        </w:tabs>
        <w:spacing w:after="400"/>
      </w:pPr>
      <w:r>
        <w:rPr>
          <w:rStyle w:val="Bodytext1"/>
        </w:rPr>
        <w:t>Obecné obchodní podmínky jsou platné od 1. března 2022.</w:t>
      </w:r>
    </w:p>
    <w:p w14:paraId="0B68EBF3" w14:textId="77777777" w:rsidR="008B0FD4" w:rsidRDefault="00000000">
      <w:pPr>
        <w:pStyle w:val="Bodytext10"/>
        <w:numPr>
          <w:ilvl w:val="0"/>
          <w:numId w:val="2"/>
        </w:numPr>
        <w:tabs>
          <w:tab w:val="left" w:pos="499"/>
          <w:tab w:val="left" w:pos="5108"/>
        </w:tabs>
      </w:pPr>
      <w:r>
        <w:rPr>
          <w:rStyle w:val="Bodytext1"/>
          <w:color w:val="CC5E72"/>
        </w:rPr>
        <w:t>OBCHODNÍ MÍSTA BANKY</w:t>
      </w:r>
      <w:r>
        <w:rPr>
          <w:rStyle w:val="Bodytext1"/>
          <w:color w:val="CC5E72"/>
        </w:rPr>
        <w:tab/>
      </w:r>
      <w:r>
        <w:rPr>
          <w:rStyle w:val="Bodytext1"/>
          <w:color w:val="CC5E72"/>
          <w:vertAlign w:val="subscript"/>
        </w:rPr>
        <w:t>42</w:t>
      </w:r>
    </w:p>
    <w:p w14:paraId="533086CB" w14:textId="77777777" w:rsidR="008B0FD4" w:rsidRDefault="00000000">
      <w:pPr>
        <w:pStyle w:val="Bodytext10"/>
        <w:numPr>
          <w:ilvl w:val="1"/>
          <w:numId w:val="2"/>
        </w:numPr>
        <w:tabs>
          <w:tab w:val="left" w:pos="499"/>
        </w:tabs>
        <w:spacing w:after="460" w:line="307" w:lineRule="auto"/>
        <w:ind w:left="520" w:hanging="520"/>
        <w:jc w:val="both"/>
      </w:pPr>
      <w:r>
        <w:rPr>
          <w:rStyle w:val="Bodytext1"/>
        </w:rPr>
        <w:t>Banka uzavírá bankovní obchody na svých obchodních místech (dále jen „obchodní místo Banky") v prostorách obvyklých k podni</w:t>
      </w:r>
      <w:r>
        <w:rPr>
          <w:rStyle w:val="Bodytext1"/>
        </w:rPr>
        <w:softHyphen/>
        <w:t xml:space="preserve">kání Banky. Banka dále uzavírá bankovní obchody prostřednictvím sítí elektronických komunikací, případně prostřednictvím svých </w:t>
      </w:r>
      <w:r>
        <w:rPr>
          <w:rStyle w:val="Bodytext1"/>
          <w:color w:val="CC5E72"/>
          <w:vertAlign w:val="subscript"/>
        </w:rPr>
        <w:t xml:space="preserve">4 3 </w:t>
      </w:r>
      <w:r>
        <w:rPr>
          <w:rStyle w:val="Bodytext1"/>
        </w:rPr>
        <w:t>smluvních partnerů mimo obchodní místa Banky (dále jen „distri</w:t>
      </w:r>
      <w:r>
        <w:rPr>
          <w:rStyle w:val="Bodytext1"/>
        </w:rPr>
        <w:softHyphen/>
        <w:t>buční kanály") za podmínek stanovených příslušnými produktový</w:t>
      </w:r>
      <w:r>
        <w:rPr>
          <w:rStyle w:val="Bodytext1"/>
        </w:rPr>
        <w:softHyphen/>
        <w:t xml:space="preserve">mi podmínkami </w:t>
      </w:r>
      <w:proofErr w:type="gramStart"/>
      <w:r>
        <w:rPr>
          <w:rStyle w:val="Bodytext1"/>
        </w:rPr>
        <w:t>a nebo</w:t>
      </w:r>
      <w:proofErr w:type="gramEnd"/>
      <w:r>
        <w:rPr>
          <w:rStyle w:val="Bodytext1"/>
        </w:rPr>
        <w:t xml:space="preserve"> příslušným smluvním ujednáním.</w:t>
      </w:r>
    </w:p>
    <w:p w14:paraId="07AFF876" w14:textId="77777777" w:rsidR="008B0FD4" w:rsidRDefault="00000000">
      <w:pPr>
        <w:pStyle w:val="Bodytext20"/>
        <w:spacing w:after="100"/>
        <w:sectPr w:rsidR="008B0FD4">
          <w:footerReference w:type="even" r:id="rId7"/>
          <w:footerReference w:type="default" r:id="rId8"/>
          <w:pgSz w:w="11900" w:h="16840"/>
          <w:pgMar w:top="1113" w:right="988" w:bottom="688" w:left="969" w:header="685" w:footer="3" w:gutter="0"/>
          <w:cols w:space="720"/>
          <w:noEndnote/>
          <w:docGrid w:linePitch="360"/>
        </w:sectPr>
      </w:pPr>
      <w:r>
        <w:rPr>
          <w:noProof/>
        </w:rPr>
        <mc:AlternateContent>
          <mc:Choice Requires="wps">
            <w:drawing>
              <wp:anchor distT="0" distB="0" distL="114300" distR="114300" simplePos="0" relativeHeight="125829380" behindDoc="0" locked="0" layoutInCell="1" allowOverlap="1" wp14:anchorId="1CA7945B" wp14:editId="63F322D9">
                <wp:simplePos x="0" y="0"/>
                <wp:positionH relativeFrom="page">
                  <wp:posOffset>4181475</wp:posOffset>
                </wp:positionH>
                <wp:positionV relativeFrom="margin">
                  <wp:posOffset>13970</wp:posOffset>
                </wp:positionV>
                <wp:extent cx="2825750" cy="881951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825750" cy="8819515"/>
                        </a:xfrm>
                        <a:prstGeom prst="rect">
                          <a:avLst/>
                        </a:prstGeom>
                        <a:noFill/>
                      </wps:spPr>
                      <wps:txbx>
                        <w:txbxContent>
                          <w:p w14:paraId="48572BEB" w14:textId="77777777" w:rsidR="008B0FD4" w:rsidRDefault="00000000">
                            <w:pPr>
                              <w:pStyle w:val="Bodytext10"/>
                              <w:spacing w:after="400"/>
                              <w:jc w:val="both"/>
                            </w:pPr>
                            <w:r>
                              <w:rPr>
                                <w:rStyle w:val="Bodytext1"/>
                              </w:rPr>
                              <w:t>Na některých obchodních místech Banky (označených např. „UniCredit Bank Expres") může být rozsah poskytovaných služeb či nabízených produktů omezen nebo některá služba může být zcela vyloučena. Na takový omezený rozsah poskytovaných slu</w:t>
                            </w:r>
                            <w:r>
                              <w:rPr>
                                <w:rStyle w:val="Bodytext1"/>
                              </w:rPr>
                              <w:softHyphen/>
                              <w:t>žeb bude Klient vhodným způsobem upozorněn zejména v pro</w:t>
                            </w:r>
                            <w:r>
                              <w:rPr>
                                <w:rStyle w:val="Bodytext1"/>
                              </w:rPr>
                              <w:softHyphen/>
                              <w:t>storách příslušného obchodního místa Banky a/nebo na interne</w:t>
                            </w:r>
                            <w:r>
                              <w:rPr>
                                <w:rStyle w:val="Bodytext1"/>
                              </w:rPr>
                              <w:softHyphen/>
                              <w:t>tových stránkách Banky. Stejným způsobem může být omezena i nabídka některých distribučních kanálů.</w:t>
                            </w:r>
                          </w:p>
                          <w:p w14:paraId="533CBE72" w14:textId="77777777" w:rsidR="008B0FD4" w:rsidRDefault="00000000">
                            <w:pPr>
                              <w:pStyle w:val="Bodytext10"/>
                              <w:jc w:val="both"/>
                            </w:pPr>
                            <w:r>
                              <w:rPr>
                                <w:rStyle w:val="Bodytext1"/>
                                <w:color w:val="CC5E72"/>
                              </w:rPr>
                              <w:t>ZMĚNY OBECNÝCH OBCHODNÍCH PODMÍNEK</w:t>
                            </w:r>
                          </w:p>
                          <w:p w14:paraId="5C6300B7" w14:textId="77777777" w:rsidR="008B0FD4" w:rsidRDefault="00000000">
                            <w:pPr>
                              <w:pStyle w:val="Bodytext10"/>
                              <w:jc w:val="both"/>
                            </w:pPr>
                            <w:r>
                              <w:rPr>
                                <w:rStyle w:val="Bodytext1"/>
                              </w:rPr>
                              <w:t>Banka je oprávněna Obecné obchodní podmínky změnit nebo do Obecných obchodních podmínek doplnit nové ustanovení, a to zejména pokud jde o působnost a platnost Obecných ob</w:t>
                            </w:r>
                            <w:r>
                              <w:rPr>
                                <w:rStyle w:val="Bodytext1"/>
                              </w:rPr>
                              <w:softHyphen/>
                              <w:t>chodních podmínek a produktových podmínek, rozsah změn Obecných obchodních podmínek a pravidla pro realizaci těchto změn, identifikaci a jednání Klienta, jednání Banky, vznik, změnu a zánik smluvního vztahu, pravidla pro realizaci změn Sazebníku odměn za poskytování bankovních služeb (dále jen „Sazebník“), úhradu pohledávek Banky, započtení a promlčení, zajištění, od</w:t>
                            </w:r>
                            <w:r>
                              <w:rPr>
                                <w:rStyle w:val="Bodytext1"/>
                              </w:rPr>
                              <w:softHyphen/>
                              <w:t>povědnost, komunikaci a doručování. Banka je oprávněna Obec</w:t>
                            </w:r>
                            <w:r>
                              <w:rPr>
                                <w:rStyle w:val="Bodytext1"/>
                              </w:rPr>
                              <w:softHyphen/>
                              <w:t>né obchodní podmínky změnit nebo do Obecných obchodních podmínek doplnit nové ustanovení, vyvstane-li rozumná potřeba takové změny nebo doplnění, například potřeba změnit či nově výslovně upravit určitá práva a povinnosti stran v návaznosti na změnu právního předpisu, dostupných technologií, situace na finančních trzích nebo obchodní politiky Banky. Znění změn a doplňků nebo úplné znění takto novelizovaných Obecných ob</w:t>
                            </w:r>
                            <w:r>
                              <w:rPr>
                                <w:rStyle w:val="Bodytext1"/>
                              </w:rPr>
                              <w:softHyphen/>
                              <w:t>chodních podmínek Banka zašle Klientovi nejpozději 2 měsíce před datem navrhované účinnosti takové novelizace jakýmkoli způsobem dohodnutým pro komunikaci mezi Bankou a Klientem v rámci příslušného smluvního vztahu. Pokud Klient s navrženou novelizací Obecných obchodních podmínek nebude souhlasit, je oprávněn z tohoto důvodu příslušný smluvní vztah vypovědět s účinností k datu bezprostředně předcházejícímu datu účinnosti navrhované novelizace nebo, pokud takové právo Klientovi za</w:t>
                            </w:r>
                            <w:r>
                              <w:rPr>
                                <w:rStyle w:val="Bodytext1"/>
                              </w:rPr>
                              <w:softHyphen/>
                              <w:t>kládá zákon, s okamžitou účinností. Pokud Klient takto smluvní vztah nevypoví, stává se nové znění Obecných obchodních pod</w:t>
                            </w:r>
                            <w:r>
                              <w:rPr>
                                <w:rStyle w:val="Bodytext1"/>
                              </w:rPr>
                              <w:softHyphen/>
                              <w:t>mínek závazným pro uzavřený smluvní vztah jako změna pů</w:t>
                            </w:r>
                            <w:r>
                              <w:rPr>
                                <w:rStyle w:val="Bodytext1"/>
                              </w:rPr>
                              <w:softHyphen/>
                              <w:t>vodně sjednaných podmínek smluvního vztahu, a to s účinností ode dne uvedeného v příslušné novelizaci Obecných obchodních podmínek jako den nabytí platnosti nového znění Obecných ob</w:t>
                            </w:r>
                            <w:r>
                              <w:rPr>
                                <w:rStyle w:val="Bodytext1"/>
                              </w:rPr>
                              <w:softHyphen/>
                              <w:t>chodních podmínek.</w:t>
                            </w:r>
                          </w:p>
                          <w:p w14:paraId="5D1F5C7F" w14:textId="77777777" w:rsidR="008B0FD4" w:rsidRDefault="00000000">
                            <w:pPr>
                              <w:pStyle w:val="Bodytext10"/>
                              <w:spacing w:after="400" w:line="312" w:lineRule="auto"/>
                              <w:jc w:val="both"/>
                            </w:pPr>
                            <w:r>
                              <w:rPr>
                                <w:rStyle w:val="Bodytext1"/>
                              </w:rPr>
                              <w:t>V případě, že se práva a povinnosti stran upravená Obecnými ob</w:t>
                            </w:r>
                            <w:r>
                              <w:rPr>
                                <w:rStyle w:val="Bodytext1"/>
                              </w:rPr>
                              <w:softHyphen/>
                              <w:t xml:space="preserve">chodními podmínkami změní přímo v důsledku změny právního předpisu, od něhož se nelze smluvně odchýlit, nepostupuje se podle </w:t>
                            </w:r>
                            <w:proofErr w:type="spellStart"/>
                            <w:r>
                              <w:rPr>
                                <w:rStyle w:val="Bodytext1"/>
                              </w:rPr>
                              <w:t>ust</w:t>
                            </w:r>
                            <w:proofErr w:type="spellEnd"/>
                            <w:r>
                              <w:rPr>
                                <w:rStyle w:val="Bodytext1"/>
                              </w:rPr>
                              <w:t>. 3.1 Obecných obchodních podmínek. O takové změně bude Banka Klienta informovat.</w:t>
                            </w:r>
                          </w:p>
                          <w:p w14:paraId="172C632F" w14:textId="77777777" w:rsidR="008B0FD4" w:rsidRDefault="00000000">
                            <w:pPr>
                              <w:pStyle w:val="Bodytext10"/>
                              <w:jc w:val="both"/>
                            </w:pPr>
                            <w:r>
                              <w:rPr>
                                <w:rStyle w:val="Bodytext1"/>
                                <w:color w:val="CC5E72"/>
                              </w:rPr>
                              <w:t>JAZYK PRÁVNÍCH LISTIN</w:t>
                            </w:r>
                          </w:p>
                          <w:p w14:paraId="1CE5BCE5" w14:textId="77777777" w:rsidR="008B0FD4" w:rsidRDefault="00000000">
                            <w:pPr>
                              <w:pStyle w:val="Bodytext10"/>
                              <w:spacing w:line="307" w:lineRule="auto"/>
                              <w:jc w:val="both"/>
                            </w:pPr>
                            <w:r>
                              <w:rPr>
                                <w:rStyle w:val="Bodytext1"/>
                              </w:rPr>
                              <w:t>Obecné obchodní podmínky a jiné dokumenty související s ban</w:t>
                            </w:r>
                            <w:r>
                              <w:rPr>
                                <w:rStyle w:val="Bodytext1"/>
                              </w:rPr>
                              <w:softHyphen/>
                              <w:t>kovními službami poskytovanými Bankou Klientovi mohou být přeloženy do cizích jazyků. Není-li v konkrétním případě dohod</w:t>
                            </w:r>
                            <w:r>
                              <w:rPr>
                                <w:rStyle w:val="Bodytext1"/>
                              </w:rPr>
                              <w:softHyphen/>
                              <w:t>nuto jinak, je rozhodnou řečí český jazyk a rozhodným dokument v českém jazyce. Není-li vyhotovena česká verze dokumentu, sta</w:t>
                            </w:r>
                            <w:r>
                              <w:rPr>
                                <w:rStyle w:val="Bodytext1"/>
                              </w:rPr>
                              <w:softHyphen/>
                              <w:t>noví rozhodný jazyk Banka.</w:t>
                            </w:r>
                          </w:p>
                          <w:p w14:paraId="348C6739" w14:textId="77777777" w:rsidR="008B0FD4" w:rsidRDefault="00000000">
                            <w:pPr>
                              <w:pStyle w:val="Bodytext10"/>
                              <w:spacing w:line="312" w:lineRule="auto"/>
                              <w:jc w:val="both"/>
                            </w:pPr>
                            <w:r>
                              <w:rPr>
                                <w:rStyle w:val="Bodytext1"/>
                              </w:rPr>
                              <w:t>Pokud se na žádost Klienta vyhotovuje dokument v jiném než českém jazyce, je Klient povinen na žádost Banky bez zbytečného odkladu na vlastní náklady opatřit jeho úředně ověřený překlad do českého jazyka.</w:t>
                            </w:r>
                          </w:p>
                          <w:p w14:paraId="0960BADF" w14:textId="77777777" w:rsidR="008B0FD4" w:rsidRDefault="00000000">
                            <w:pPr>
                              <w:pStyle w:val="Bodytext10"/>
                              <w:spacing w:line="312" w:lineRule="auto"/>
                              <w:jc w:val="both"/>
                            </w:pPr>
                            <w:r>
                              <w:rPr>
                                <w:rStyle w:val="Bodytext1"/>
                              </w:rPr>
                              <w:t xml:space="preserve">Banka není povinna akceptovat dokument doručený Klientem v jiném než českém jazyce. </w:t>
                            </w:r>
                            <w:proofErr w:type="spellStart"/>
                            <w:r>
                              <w:rPr>
                                <w:rStyle w:val="Bodytext1"/>
                              </w:rPr>
                              <w:t>Baňkaje</w:t>
                            </w:r>
                            <w:proofErr w:type="spellEnd"/>
                            <w:r>
                              <w:rPr>
                                <w:rStyle w:val="Bodytext1"/>
                              </w:rPr>
                              <w:t xml:space="preserve"> oprávněna požadovat úřed</w:t>
                            </w:r>
                            <w:r>
                              <w:rPr>
                                <w:rStyle w:val="Bodytext1"/>
                              </w:rPr>
                              <w:softHyphen/>
                              <w:t>ně ověřený překlad cizojazyčného dokumentu do českého jazyka.</w:t>
                            </w:r>
                          </w:p>
                        </w:txbxContent>
                      </wps:txbx>
                      <wps:bodyPr lIns="0" tIns="0" rIns="0" bIns="0"/>
                    </wps:wsp>
                  </a:graphicData>
                </a:graphic>
              </wp:anchor>
            </w:drawing>
          </mc:Choice>
          <mc:Fallback>
            <w:pict>
              <v:shape w14:anchorId="1CA7945B" id="Shape 7" o:spid="_x0000_s1027" type="#_x0000_t202" style="position:absolute;margin-left:329.25pt;margin-top:1.1pt;width:222.5pt;height:694.45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" filled="f" stroked="f">
                <v:textbox inset="0,0,0,0">
                  <w:txbxContent>
                    <w:p w14:paraId="48572BEB" w14:textId="77777777" w:rsidR="008B0FD4" w:rsidRDefault="00000000">
                      <w:pPr>
                        <w:pStyle w:val="Bodytext10"/>
                        <w:spacing w:after="400"/>
                        <w:jc w:val="both"/>
                      </w:pPr>
                      <w:r>
                        <w:rPr>
                          <w:rStyle w:val="Bodytext1"/>
                        </w:rPr>
                        <w:t>Na některých obchodních místech Banky (označených např. „UniCredit Bank Expres") může být rozsah poskytovaných služeb či nabízených produktů omezen nebo některá služba může být zcela vyloučena. Na takový omezený rozsah poskytovaných slu</w:t>
                      </w:r>
                      <w:r>
                        <w:rPr>
                          <w:rStyle w:val="Bodytext1"/>
                        </w:rPr>
                        <w:softHyphen/>
                        <w:t>žeb bude Klient vhodným způsobem upozorněn zejména v pro</w:t>
                      </w:r>
                      <w:r>
                        <w:rPr>
                          <w:rStyle w:val="Bodytext1"/>
                        </w:rPr>
                        <w:softHyphen/>
                        <w:t>storách příslušného obchodního místa Banky a/nebo na interne</w:t>
                      </w:r>
                      <w:r>
                        <w:rPr>
                          <w:rStyle w:val="Bodytext1"/>
                        </w:rPr>
                        <w:softHyphen/>
                        <w:t>tových stránkách Banky. Stejným způsobem může být omezena i nabídka některých distribučních kanálů.</w:t>
                      </w:r>
                    </w:p>
                    <w:p w14:paraId="533CBE72" w14:textId="77777777" w:rsidR="008B0FD4" w:rsidRDefault="00000000">
                      <w:pPr>
                        <w:pStyle w:val="Bodytext10"/>
                        <w:jc w:val="both"/>
                      </w:pPr>
                      <w:r>
                        <w:rPr>
                          <w:rStyle w:val="Bodytext1"/>
                          <w:color w:val="CC5E72"/>
                        </w:rPr>
                        <w:t>ZMĚNY OBECNÝCH OBCHODNÍCH PODMÍNEK</w:t>
                      </w:r>
                    </w:p>
                    <w:p w14:paraId="5C6300B7" w14:textId="77777777" w:rsidR="008B0FD4" w:rsidRDefault="00000000">
                      <w:pPr>
                        <w:pStyle w:val="Bodytext10"/>
                        <w:jc w:val="both"/>
                      </w:pPr>
                      <w:r>
                        <w:rPr>
                          <w:rStyle w:val="Bodytext1"/>
                        </w:rPr>
                        <w:t>Banka je oprávněna Obecné obchodní podmínky změnit nebo do Obecných obchodních podmínek doplnit nové ustanovení, a to zejména pokud jde o působnost a platnost Obecných ob</w:t>
                      </w:r>
                      <w:r>
                        <w:rPr>
                          <w:rStyle w:val="Bodytext1"/>
                        </w:rPr>
                        <w:softHyphen/>
                        <w:t>chodních podmínek a produktových podmínek, rozsah změn Obecných obchodních podmínek a pravidla pro realizaci těchto změn, identifikaci a jednání Klienta, jednání Banky, vznik, změnu a zánik smluvního vztahu, pravidla pro realizaci změn Sazebníku odměn za poskytování bankovních služeb (dále jen „Sazebník“), úhradu pohledávek Banky, započtení a promlčení, zajištění, od</w:t>
                      </w:r>
                      <w:r>
                        <w:rPr>
                          <w:rStyle w:val="Bodytext1"/>
                        </w:rPr>
                        <w:softHyphen/>
                        <w:t>povědnost, komunikaci a doručování. Banka je oprávněna Obec</w:t>
                      </w:r>
                      <w:r>
                        <w:rPr>
                          <w:rStyle w:val="Bodytext1"/>
                        </w:rPr>
                        <w:softHyphen/>
                        <w:t>né obchodní podmínky změnit nebo do Obecných obchodních podmínek doplnit nové ustanovení, vyvstane-li rozumná potřeba takové změny nebo doplnění, například potřeba změnit či nově výslovně upravit určitá práva a povinnosti stran v návaznosti na změnu právního předpisu, dostupných technologií, situace na finančních trzích nebo obchodní politiky Banky. Znění změn a doplňků nebo úplné znění takto novelizovaných Obecných ob</w:t>
                      </w:r>
                      <w:r>
                        <w:rPr>
                          <w:rStyle w:val="Bodytext1"/>
                        </w:rPr>
                        <w:softHyphen/>
                        <w:t>chodních podmínek Banka zašle Klientovi nejpozději 2 měsíce před datem navrhované účinnosti takové novelizace jakýmkoli způsobem dohodnutým pro komunikaci mezi Bankou a Klientem v rámci příslušného smluvního vztahu. Pokud Klient s navrženou novelizací Obecných obchodních podmínek nebude souhlasit, je oprávněn z tohoto důvodu příslušný smluvní vztah vypovědět s účinností k datu bezprostředně předcházejícímu datu účinnosti navrhované novelizace nebo, pokud takové právo Klientovi za</w:t>
                      </w:r>
                      <w:r>
                        <w:rPr>
                          <w:rStyle w:val="Bodytext1"/>
                        </w:rPr>
                        <w:softHyphen/>
                        <w:t>kládá zákon, s okamžitou účinností. Pokud Klient takto smluvní vztah nevypoví, stává se nové znění Obecných obchodních pod</w:t>
                      </w:r>
                      <w:r>
                        <w:rPr>
                          <w:rStyle w:val="Bodytext1"/>
                        </w:rPr>
                        <w:softHyphen/>
                        <w:t>mínek závazným pro uzavřený smluvní vztah jako změna pů</w:t>
                      </w:r>
                      <w:r>
                        <w:rPr>
                          <w:rStyle w:val="Bodytext1"/>
                        </w:rPr>
                        <w:softHyphen/>
                        <w:t>vodně sjednaných podmínek smluvního vztahu, a to s účinností ode dne uvedeného v příslušné novelizaci Obecných obchodních podmínek jako den nabytí platnosti nového znění Obecných ob</w:t>
                      </w:r>
                      <w:r>
                        <w:rPr>
                          <w:rStyle w:val="Bodytext1"/>
                        </w:rPr>
                        <w:softHyphen/>
                        <w:t>chodních podmínek.</w:t>
                      </w:r>
                    </w:p>
                    <w:p w14:paraId="5D1F5C7F" w14:textId="77777777" w:rsidR="008B0FD4" w:rsidRDefault="00000000">
                      <w:pPr>
                        <w:pStyle w:val="Bodytext10"/>
                        <w:spacing w:after="400" w:line="312" w:lineRule="auto"/>
                        <w:jc w:val="both"/>
                      </w:pPr>
                      <w:r>
                        <w:rPr>
                          <w:rStyle w:val="Bodytext1"/>
                        </w:rPr>
                        <w:t>V případě, že se práva a povinnosti stran upravená Obecnými ob</w:t>
                      </w:r>
                      <w:r>
                        <w:rPr>
                          <w:rStyle w:val="Bodytext1"/>
                        </w:rPr>
                        <w:softHyphen/>
                        <w:t xml:space="preserve">chodními podmínkami změní přímo v důsledku změny právního předpisu, od něhož se nelze smluvně odchýlit, nepostupuje se podle </w:t>
                      </w:r>
                      <w:proofErr w:type="spellStart"/>
                      <w:r>
                        <w:rPr>
                          <w:rStyle w:val="Bodytext1"/>
                        </w:rPr>
                        <w:t>ust</w:t>
                      </w:r>
                      <w:proofErr w:type="spellEnd"/>
                      <w:r>
                        <w:rPr>
                          <w:rStyle w:val="Bodytext1"/>
                        </w:rPr>
                        <w:t>. 3.1 Obecných obchodních podmínek. O takové změně bude Banka Klienta informovat.</w:t>
                      </w:r>
                    </w:p>
                    <w:p w14:paraId="172C632F" w14:textId="77777777" w:rsidR="008B0FD4" w:rsidRDefault="00000000">
                      <w:pPr>
                        <w:pStyle w:val="Bodytext10"/>
                        <w:jc w:val="both"/>
                      </w:pPr>
                      <w:r>
                        <w:rPr>
                          <w:rStyle w:val="Bodytext1"/>
                          <w:color w:val="CC5E72"/>
                        </w:rPr>
                        <w:t>JAZYK PRÁVNÍCH LISTIN</w:t>
                      </w:r>
                    </w:p>
                    <w:p w14:paraId="1CE5BCE5" w14:textId="77777777" w:rsidR="008B0FD4" w:rsidRDefault="00000000">
                      <w:pPr>
                        <w:pStyle w:val="Bodytext10"/>
                        <w:spacing w:line="307" w:lineRule="auto"/>
                        <w:jc w:val="both"/>
                      </w:pPr>
                      <w:r>
                        <w:rPr>
                          <w:rStyle w:val="Bodytext1"/>
                        </w:rPr>
                        <w:t>Obecné obchodní podmínky a jiné dokumenty související s ban</w:t>
                      </w:r>
                      <w:r>
                        <w:rPr>
                          <w:rStyle w:val="Bodytext1"/>
                        </w:rPr>
                        <w:softHyphen/>
                        <w:t>kovními službami poskytovanými Bankou Klientovi mohou být přeloženy do cizích jazyků. Není-li v konkrétním případě dohod</w:t>
                      </w:r>
                      <w:r>
                        <w:rPr>
                          <w:rStyle w:val="Bodytext1"/>
                        </w:rPr>
                        <w:softHyphen/>
                        <w:t>nuto jinak, je rozhodnou řečí český jazyk a rozhodným dokument v českém jazyce. Není-li vyhotovena česká verze dokumentu, sta</w:t>
                      </w:r>
                      <w:r>
                        <w:rPr>
                          <w:rStyle w:val="Bodytext1"/>
                        </w:rPr>
                        <w:softHyphen/>
                        <w:t>noví rozhodný jazyk Banka.</w:t>
                      </w:r>
                    </w:p>
                    <w:p w14:paraId="348C6739" w14:textId="77777777" w:rsidR="008B0FD4" w:rsidRDefault="00000000">
                      <w:pPr>
                        <w:pStyle w:val="Bodytext10"/>
                        <w:spacing w:line="312" w:lineRule="auto"/>
                        <w:jc w:val="both"/>
                      </w:pPr>
                      <w:r>
                        <w:rPr>
                          <w:rStyle w:val="Bodytext1"/>
                        </w:rPr>
                        <w:t>Pokud se na žádost Klienta vyhotovuje dokument v jiném než českém jazyce, je Klient povinen na žádost Banky bez zbytečného odkladu na vlastní náklady opatřit jeho úředně ověřený překlad do českého jazyka.</w:t>
                      </w:r>
                    </w:p>
                    <w:p w14:paraId="0960BADF" w14:textId="77777777" w:rsidR="008B0FD4" w:rsidRDefault="00000000">
                      <w:pPr>
                        <w:pStyle w:val="Bodytext10"/>
                        <w:spacing w:line="312" w:lineRule="auto"/>
                        <w:jc w:val="both"/>
                      </w:pPr>
                      <w:r>
                        <w:rPr>
                          <w:rStyle w:val="Bodytext1"/>
                        </w:rPr>
                        <w:t xml:space="preserve">Banka není povinna akceptovat dokument doručený Klientem v jiném než českém jazyce. </w:t>
                      </w:r>
                      <w:proofErr w:type="spellStart"/>
                      <w:r>
                        <w:rPr>
                          <w:rStyle w:val="Bodytext1"/>
                        </w:rPr>
                        <w:t>Baňkaje</w:t>
                      </w:r>
                      <w:proofErr w:type="spellEnd"/>
                      <w:r>
                        <w:rPr>
                          <w:rStyle w:val="Bodytext1"/>
                        </w:rPr>
                        <w:t xml:space="preserve"> oprávněna požadovat úřed</w:t>
                      </w:r>
                      <w:r>
                        <w:rPr>
                          <w:rStyle w:val="Bodytext1"/>
                        </w:rPr>
                        <w:softHyphen/>
                        <w:t>ně ověřený překlad cizojazyčného dokumentu do českého jazyka.</w:t>
                      </w:r>
                    </w:p>
                  </w:txbxContent>
                </v:textbox>
                <w10:wrap type="square" anchorx="page" anchory="margin"/>
              </v:shape>
            </w:pict>
          </mc:Fallback>
        </mc:AlternateContent>
      </w:r>
      <w:r>
        <w:rPr>
          <w:rStyle w:val="Bodytext2"/>
        </w:rPr>
        <w:t xml:space="preserve">UniCredit Bank Czech Republic and Slovakia, a.s., Želetavská 1525/1,140 92 Praha 4 - Michle, IČO 64948242, zapsaná v obchodním rejstříku vedeném Městským soudem v Praze, oddíl B, vložka 3608, </w:t>
      </w:r>
      <w:hyperlink r:id="rId9" w:history="1">
        <w:r>
          <w:rPr>
            <w:rStyle w:val="Bodytext2"/>
            <w:lang w:val="en-US" w:eastAsia="en-US" w:bidi="en-US"/>
          </w:rPr>
          <w:t>www.unicreditbank.cz</w:t>
        </w:r>
      </w:hyperlink>
      <w:r>
        <w:rPr>
          <w:rStyle w:val="Bodytext2"/>
          <w:lang w:val="en-US" w:eastAsia="en-US" w:bidi="en-US"/>
        </w:rPr>
        <w:t>.</w:t>
      </w:r>
    </w:p>
    <w:p w14:paraId="04DB6AC3" w14:textId="77777777" w:rsidR="008B0FD4" w:rsidRDefault="00000000">
      <w:pPr>
        <w:pStyle w:val="Bodytext10"/>
        <w:numPr>
          <w:ilvl w:val="0"/>
          <w:numId w:val="3"/>
        </w:numPr>
        <w:tabs>
          <w:tab w:val="left" w:pos="485"/>
        </w:tabs>
        <w:spacing w:line="307" w:lineRule="auto"/>
        <w:jc w:val="both"/>
      </w:pPr>
      <w:r>
        <w:rPr>
          <w:rStyle w:val="Bodytext1"/>
          <w:color w:val="CC5E72"/>
        </w:rPr>
        <w:lastRenderedPageBreak/>
        <w:t>KLIENTI</w:t>
      </w:r>
    </w:p>
    <w:p w14:paraId="709B6E8A" w14:textId="77777777" w:rsidR="008B0FD4" w:rsidRDefault="00000000">
      <w:pPr>
        <w:pStyle w:val="Bodytext10"/>
        <w:numPr>
          <w:ilvl w:val="1"/>
          <w:numId w:val="3"/>
        </w:numPr>
        <w:tabs>
          <w:tab w:val="left" w:pos="485"/>
        </w:tabs>
        <w:spacing w:line="307" w:lineRule="auto"/>
        <w:ind w:left="460" w:hanging="460"/>
        <w:jc w:val="both"/>
      </w:pPr>
      <w:r>
        <w:rPr>
          <w:rStyle w:val="Bodytext1"/>
        </w:rPr>
        <w:t>Při uzavírání smluvního vztahu a kdykoli za jeho trvání je Klient povinen Bance předložit dokumentaci a doklady osvědčující vznik a existenci Klienta, resp. prokazující totožnost Klienta.</w:t>
      </w:r>
    </w:p>
    <w:p w14:paraId="15EC8AB6" w14:textId="77777777" w:rsidR="008B0FD4" w:rsidRDefault="00000000">
      <w:pPr>
        <w:pStyle w:val="Bodytext10"/>
        <w:numPr>
          <w:ilvl w:val="1"/>
          <w:numId w:val="3"/>
        </w:numPr>
        <w:tabs>
          <w:tab w:val="left" w:pos="485"/>
        </w:tabs>
        <w:spacing w:line="307" w:lineRule="auto"/>
        <w:ind w:left="460" w:hanging="460"/>
        <w:jc w:val="both"/>
      </w:pPr>
      <w:r>
        <w:rPr>
          <w:rStyle w:val="Bodytext1"/>
        </w:rPr>
        <w:t>Pokud Klient jedná jako svěřenský správce, je povinen to Bance sdělit a označit svěřenský fond, na jehož účet jedná. Klient je dále povinen předložit na vyžádání Banky i další dokumenty a doklady podle požadavků Banky. Klient je povinen vždy předkládat platné doklady a dokumenty ve formě stanovené Bankou, přičemž výpisy a opisy z příslušných registrů je povinen Bance předkládat ve vy</w:t>
      </w:r>
      <w:r>
        <w:rPr>
          <w:rStyle w:val="Bodytext1"/>
        </w:rPr>
        <w:softHyphen/>
        <w:t>hotovení ne starším než 3 měsíce. V případě pochybností Banky o platnosti předložených dokumentů z důvodu jejich stáří nebo jiných důvodů je Banka oprávněna takový dokument odmítnout.</w:t>
      </w:r>
    </w:p>
    <w:p w14:paraId="2E923538" w14:textId="77777777" w:rsidR="008B0FD4" w:rsidRDefault="00000000">
      <w:pPr>
        <w:pStyle w:val="Bodytext10"/>
        <w:numPr>
          <w:ilvl w:val="1"/>
          <w:numId w:val="3"/>
        </w:numPr>
        <w:tabs>
          <w:tab w:val="left" w:pos="485"/>
        </w:tabs>
        <w:spacing w:line="312" w:lineRule="auto"/>
        <w:ind w:left="460" w:hanging="460"/>
        <w:jc w:val="both"/>
      </w:pPr>
      <w:r>
        <w:rPr>
          <w:rStyle w:val="Bodytext1"/>
        </w:rPr>
        <w:t xml:space="preserve">Na základě požadavku Banky Klient zajistí vyhotovení doložky </w:t>
      </w:r>
      <w:proofErr w:type="spellStart"/>
      <w:r>
        <w:rPr>
          <w:rStyle w:val="Bodytext1"/>
        </w:rPr>
        <w:t>Apostille</w:t>
      </w:r>
      <w:proofErr w:type="spellEnd"/>
      <w:r>
        <w:rPr>
          <w:rStyle w:val="Bodytext1"/>
        </w:rPr>
        <w:t xml:space="preserve"> (dle Haagské úmluvy o zrušení požadavku ověřování cizích veřejných listin z roku 1961) na dokladu, který byl vydán nebo jehož pravost byla ověřena v zahraničí, případně zajistí </w:t>
      </w:r>
      <w:proofErr w:type="spellStart"/>
      <w:proofErr w:type="gramStart"/>
      <w:r>
        <w:rPr>
          <w:rStyle w:val="Bodytext1"/>
        </w:rPr>
        <w:t>su</w:t>
      </w:r>
      <w:proofErr w:type="spellEnd"/>
      <w:r>
        <w:rPr>
          <w:rStyle w:val="Bodytext1"/>
        </w:rPr>
        <w:t xml:space="preserve">- </w:t>
      </w:r>
      <w:proofErr w:type="spellStart"/>
      <w:r>
        <w:rPr>
          <w:rStyle w:val="Bodytext1"/>
        </w:rPr>
        <w:t>perlegalizaci</w:t>
      </w:r>
      <w:proofErr w:type="spellEnd"/>
      <w:proofErr w:type="gramEnd"/>
      <w:r>
        <w:rPr>
          <w:rStyle w:val="Bodytext1"/>
        </w:rPr>
        <w:t xml:space="preserve"> tohoto dokladu.</w:t>
      </w:r>
    </w:p>
    <w:p w14:paraId="3A107BA9" w14:textId="77777777" w:rsidR="008B0FD4" w:rsidRDefault="00000000">
      <w:pPr>
        <w:pStyle w:val="Bodytext10"/>
        <w:numPr>
          <w:ilvl w:val="1"/>
          <w:numId w:val="3"/>
        </w:numPr>
        <w:tabs>
          <w:tab w:val="left" w:pos="485"/>
        </w:tabs>
        <w:spacing w:line="307" w:lineRule="auto"/>
        <w:jc w:val="both"/>
      </w:pPr>
      <w:r>
        <w:rPr>
          <w:rStyle w:val="Bodytext1"/>
        </w:rPr>
        <w:t>ZRUŠENO</w:t>
      </w:r>
    </w:p>
    <w:p w14:paraId="2564E5D4" w14:textId="77777777" w:rsidR="008B0FD4" w:rsidRDefault="00000000">
      <w:pPr>
        <w:pStyle w:val="Bodytext10"/>
        <w:numPr>
          <w:ilvl w:val="1"/>
          <w:numId w:val="3"/>
        </w:numPr>
        <w:tabs>
          <w:tab w:val="left" w:pos="485"/>
        </w:tabs>
        <w:ind w:left="460" w:hanging="460"/>
        <w:jc w:val="both"/>
      </w:pPr>
      <w:r>
        <w:rPr>
          <w:rStyle w:val="Bodytext1"/>
        </w:rPr>
        <w:t>Před vstupem do smluvního vztahu, na základě kterého vzniká nebo může vzniknout Klientův peněžní dluh vůči Bance, a kdyko</w:t>
      </w:r>
      <w:r>
        <w:rPr>
          <w:rStyle w:val="Bodytext1"/>
        </w:rPr>
        <w:softHyphen/>
        <w:t>liv v době trvání takového smluvního vztahuje Klient na vyžádá</w:t>
      </w:r>
      <w:r>
        <w:rPr>
          <w:rStyle w:val="Bodytext1"/>
        </w:rPr>
        <w:softHyphen/>
        <w:t>ní Banky povinen předložit čestné prohlášení o svých příjmech a o svých dluzích vůči státu či jinému subjektu z titulu povinných plateb na základě právního předpisu, ze kterého vyplývá, zda není v prodlení s úhradou daní či poplatků pojistného na sociální zabezpečení a zdravotní pojištění, cla a jiných povinných plateb, a dále potvrzení správce daně, správy sociálního zabezpečení, případně jiného příslušného subjektu, o řádném splnění svých splatných dluhů. Prohlášení a potvrzení předkládaná Bance ne</w:t>
      </w:r>
      <w:r>
        <w:rPr>
          <w:rStyle w:val="Bodytext1"/>
        </w:rPr>
        <w:softHyphen/>
        <w:t>smí být starší než 30 dní.</w:t>
      </w:r>
    </w:p>
    <w:p w14:paraId="2AD1AAEB" w14:textId="77777777" w:rsidR="008B0FD4" w:rsidRDefault="00000000">
      <w:pPr>
        <w:pStyle w:val="Bodytext10"/>
        <w:numPr>
          <w:ilvl w:val="1"/>
          <w:numId w:val="3"/>
        </w:numPr>
        <w:tabs>
          <w:tab w:val="left" w:pos="485"/>
        </w:tabs>
        <w:spacing w:line="307" w:lineRule="auto"/>
        <w:ind w:left="460" w:hanging="460"/>
        <w:jc w:val="both"/>
      </w:pPr>
      <w:r>
        <w:rPr>
          <w:rStyle w:val="Bodytext1"/>
        </w:rPr>
        <w:t>Klient vstupující do obchodního vztahu s Bankou je povinen se před uzavřením bankovního obchodu, a kdykoli o to během jeho trvání Banka požádá, podrobit identifikaci a kontrole Klienta. Identifikace a kontrola Klienta je v Bance prováděna zejména na základě zákona o bankách a zákona o některých opatřeních proti legalizaci výnosů z trestné činnosti a financování terorismu. Pro Banku provádí identifikaci Klienta také osoby spolupracující s Bankou, k čemuž jsou Bankou písemně zmocněny.</w:t>
      </w:r>
    </w:p>
    <w:p w14:paraId="4896B5FD" w14:textId="77777777" w:rsidR="008B0FD4" w:rsidRDefault="00000000">
      <w:pPr>
        <w:pStyle w:val="Bodytext10"/>
        <w:numPr>
          <w:ilvl w:val="1"/>
          <w:numId w:val="3"/>
        </w:numPr>
        <w:tabs>
          <w:tab w:val="left" w:pos="485"/>
        </w:tabs>
        <w:spacing w:after="0" w:line="307" w:lineRule="auto"/>
        <w:jc w:val="both"/>
      </w:pPr>
      <w:r>
        <w:rPr>
          <w:rStyle w:val="Bodytext1"/>
        </w:rPr>
        <w:t>Klient je povinen Bance písemně, případně jinou vhodnou Bankou</w:t>
      </w:r>
    </w:p>
    <w:p w14:paraId="58D082BA" w14:textId="77777777" w:rsidR="008B0FD4" w:rsidRDefault="00000000">
      <w:pPr>
        <w:pStyle w:val="Bodytext10"/>
        <w:spacing w:line="307" w:lineRule="auto"/>
        <w:ind w:left="460" w:firstLine="20"/>
        <w:jc w:val="both"/>
      </w:pPr>
      <w:r>
        <w:rPr>
          <w:rStyle w:val="Bodytext1"/>
        </w:rPr>
        <w:t>stanovenou formou, oznámit skutečnosti, které jej spojují s jiný</w:t>
      </w:r>
      <w:r>
        <w:rPr>
          <w:rStyle w:val="Bodytext1"/>
        </w:rPr>
        <w:softHyphen/>
        <w:t>mi subjekty v ekonomicky spjatou skupinu ve smyslu příslušných právních předpisů, případně které by z něj činily osobu, která má zvláštní vztah k Bance dle příslušného právního předpisu.</w:t>
      </w:r>
    </w:p>
    <w:p w14:paraId="5233EEEA" w14:textId="77777777" w:rsidR="008B0FD4" w:rsidRDefault="00000000">
      <w:pPr>
        <w:pStyle w:val="Bodytext10"/>
        <w:numPr>
          <w:ilvl w:val="1"/>
          <w:numId w:val="3"/>
        </w:numPr>
        <w:tabs>
          <w:tab w:val="left" w:pos="485"/>
        </w:tabs>
        <w:spacing w:after="400" w:line="307" w:lineRule="auto"/>
        <w:ind w:left="460" w:hanging="460"/>
        <w:jc w:val="both"/>
      </w:pPr>
      <w:r>
        <w:rPr>
          <w:rStyle w:val="Bodytext1"/>
        </w:rPr>
        <w:t>Klient je povinen písemně, případně jinou vhodnou Bankou sta</w:t>
      </w:r>
      <w:r>
        <w:rPr>
          <w:rStyle w:val="Bodytext1"/>
        </w:rPr>
        <w:softHyphen/>
        <w:t>novenou formou, oznámit Bance změny údajů jí předaných při uzavření smluvní dokumentace či jiném jednání zajišťujícím po</w:t>
      </w:r>
      <w:r>
        <w:rPr>
          <w:rStyle w:val="Bodytext1"/>
        </w:rPr>
        <w:softHyphen/>
        <w:t>hledávky Banky, resp. údajů následně sdělených, a to vždy bez zbytečného odkladu poté, co k takové změně došlo. Zejména je povinen neprodleně Bance oznámit změny svého názvu nebo jména, sídla nebo bydliště, změny ve složení statutárního orgánu a změny osob oprávněných za Klienta jednat.</w:t>
      </w:r>
    </w:p>
    <w:p w14:paraId="2D615C94" w14:textId="77777777" w:rsidR="008B0FD4" w:rsidRDefault="00000000">
      <w:pPr>
        <w:pStyle w:val="Bodytext10"/>
        <w:numPr>
          <w:ilvl w:val="0"/>
          <w:numId w:val="3"/>
        </w:numPr>
        <w:tabs>
          <w:tab w:val="left" w:pos="485"/>
        </w:tabs>
        <w:spacing w:line="307" w:lineRule="auto"/>
        <w:jc w:val="both"/>
      </w:pPr>
      <w:r>
        <w:rPr>
          <w:rStyle w:val="Bodytext1"/>
          <w:color w:val="CC5E72"/>
        </w:rPr>
        <w:t>JEDNÁNÍ KLIENTA</w:t>
      </w:r>
    </w:p>
    <w:p w14:paraId="0B295DE1" w14:textId="77777777" w:rsidR="008B0FD4" w:rsidRDefault="00000000">
      <w:pPr>
        <w:pStyle w:val="Bodytext10"/>
        <w:numPr>
          <w:ilvl w:val="1"/>
          <w:numId w:val="3"/>
        </w:numPr>
        <w:tabs>
          <w:tab w:val="left" w:pos="485"/>
        </w:tabs>
        <w:spacing w:line="307" w:lineRule="auto"/>
        <w:jc w:val="both"/>
      </w:pPr>
      <w:r>
        <w:rPr>
          <w:rStyle w:val="Bodytext1"/>
        </w:rPr>
        <w:t xml:space="preserve">Klient s Bankou jedná </w:t>
      </w:r>
      <w:proofErr w:type="spellStart"/>
      <w:r>
        <w:rPr>
          <w:rStyle w:val="Bodytext1"/>
        </w:rPr>
        <w:t>buďosobně</w:t>
      </w:r>
      <w:proofErr w:type="spellEnd"/>
      <w:r>
        <w:rPr>
          <w:rStyle w:val="Bodytext1"/>
        </w:rPr>
        <w:t>, nebo za něj jedná zástupce.</w:t>
      </w:r>
    </w:p>
    <w:p w14:paraId="4D03387C" w14:textId="77777777" w:rsidR="008B0FD4" w:rsidRDefault="00000000">
      <w:pPr>
        <w:pStyle w:val="Bodytext10"/>
        <w:numPr>
          <w:ilvl w:val="1"/>
          <w:numId w:val="3"/>
        </w:numPr>
        <w:tabs>
          <w:tab w:val="left" w:pos="485"/>
        </w:tabs>
        <w:ind w:left="460" w:hanging="460"/>
        <w:jc w:val="both"/>
      </w:pPr>
      <w:r>
        <w:rPr>
          <w:rStyle w:val="Bodytext1"/>
        </w:rPr>
        <w:t>Jedná-li za Klienta zástupce na základě zmocnění, je Banka oprávněna požadovat, aby na plné moci byla pravost podpisu Klienta ověřena úředně nebo aby byla ověřena jiným způsobem akceptovaným v konkrétním případě Bankou a aby rozsah opráv</w:t>
      </w:r>
      <w:r>
        <w:rPr>
          <w:rStyle w:val="Bodytext1"/>
        </w:rPr>
        <w:softHyphen/>
        <w:t>nění byl v plné moci specifikován (zvláštní plná moc).</w:t>
      </w:r>
    </w:p>
    <w:p w14:paraId="0F9ACC49" w14:textId="77777777" w:rsidR="008B0FD4" w:rsidRDefault="00000000">
      <w:pPr>
        <w:pStyle w:val="Bodytext10"/>
        <w:numPr>
          <w:ilvl w:val="1"/>
          <w:numId w:val="3"/>
        </w:numPr>
        <w:tabs>
          <w:tab w:val="left" w:pos="485"/>
        </w:tabs>
        <w:spacing w:line="312" w:lineRule="auto"/>
        <w:ind w:left="460" w:hanging="460"/>
        <w:jc w:val="both"/>
      </w:pPr>
      <w:r>
        <w:rPr>
          <w:rStyle w:val="Bodytext1"/>
        </w:rPr>
        <w:t xml:space="preserve">V případě pochybností Banky o tom. kdo je oprávněn za Klienta jednat, je Banka oprávněna příkazy, pokyny Klienta nebo plnění ve prospěch </w:t>
      </w:r>
      <w:r>
        <w:rPr>
          <w:rStyle w:val="Bodytext1"/>
        </w:rPr>
        <w:t>Klienta odmítnout do doby, kdy jí bude způsob jed</w:t>
      </w:r>
      <w:r>
        <w:rPr>
          <w:rStyle w:val="Bodytext1"/>
        </w:rPr>
        <w:softHyphen/>
        <w:t>nání za Klienta hodnověrně prokázán.</w:t>
      </w:r>
    </w:p>
    <w:p w14:paraId="409BBAD3" w14:textId="77777777" w:rsidR="008B0FD4" w:rsidRDefault="00000000">
      <w:pPr>
        <w:pStyle w:val="Bodytext10"/>
        <w:numPr>
          <w:ilvl w:val="1"/>
          <w:numId w:val="3"/>
        </w:numPr>
        <w:tabs>
          <w:tab w:val="left" w:pos="484"/>
        </w:tabs>
        <w:ind w:left="480" w:hanging="480"/>
        <w:jc w:val="both"/>
      </w:pPr>
      <w:r>
        <w:rPr>
          <w:rStyle w:val="Bodytext1"/>
        </w:rPr>
        <w:t>Klient je povinen písemně, případně jinou vhodnou Bankou sta</w:t>
      </w:r>
      <w:r>
        <w:rPr>
          <w:rStyle w:val="Bodytext1"/>
        </w:rPr>
        <w:softHyphen/>
        <w:t xml:space="preserve">novenou formou, oznámit Bance odvolání, částečné odvolání či jakoukoli změnu zmocnění, na </w:t>
      </w:r>
      <w:proofErr w:type="gramStart"/>
      <w:r>
        <w:rPr>
          <w:rStyle w:val="Bodytext1"/>
        </w:rPr>
        <w:t>základě</w:t>
      </w:r>
      <w:proofErr w:type="gramEnd"/>
      <w:r>
        <w:rPr>
          <w:rStyle w:val="Bodytext1"/>
        </w:rPr>
        <w:t xml:space="preserve"> kterého jedná Klientův zástupce s Bankou. Banka nenese odpovědnost za důsledky vy</w:t>
      </w:r>
      <w:r>
        <w:rPr>
          <w:rStyle w:val="Bodytext1"/>
        </w:rPr>
        <w:softHyphen/>
        <w:t>volané Klientovým neoznámením výše uvedených skutečností.</w:t>
      </w:r>
    </w:p>
    <w:p w14:paraId="315B143C" w14:textId="77777777" w:rsidR="008B0FD4" w:rsidRDefault="00000000">
      <w:pPr>
        <w:pStyle w:val="Bodytext10"/>
        <w:numPr>
          <w:ilvl w:val="1"/>
          <w:numId w:val="3"/>
        </w:numPr>
        <w:tabs>
          <w:tab w:val="left" w:pos="484"/>
        </w:tabs>
        <w:ind w:left="480" w:hanging="480"/>
        <w:jc w:val="both"/>
      </w:pPr>
      <w:r>
        <w:rPr>
          <w:rStyle w:val="Bodytext1"/>
        </w:rPr>
        <w:t>Banka je oprávněna nejednat podle pokynu nebo jiného právní</w:t>
      </w:r>
      <w:r>
        <w:rPr>
          <w:rStyle w:val="Bodytext1"/>
        </w:rPr>
        <w:softHyphen/>
        <w:t>ho jednání Klienta, pokud má důvod pochybovat o jeho opráv</w:t>
      </w:r>
      <w:r>
        <w:rPr>
          <w:rStyle w:val="Bodytext1"/>
        </w:rPr>
        <w:softHyphen/>
        <w:t>něnosti nebo platnosti, pokud má důvod se domnívat, že nemá všechny náležitosti, nebo pokud by v důsledku takového jejího jednání mohl být porušen právní předpis. O tom, že nejednala, Banka Klienta bez zbytečného odkladu vyrozumí.</w:t>
      </w:r>
    </w:p>
    <w:p w14:paraId="0E2404A3" w14:textId="77777777" w:rsidR="008B0FD4" w:rsidRDefault="00000000">
      <w:pPr>
        <w:pStyle w:val="Bodytext10"/>
        <w:numPr>
          <w:ilvl w:val="1"/>
          <w:numId w:val="3"/>
        </w:numPr>
        <w:tabs>
          <w:tab w:val="left" w:pos="484"/>
        </w:tabs>
        <w:spacing w:after="400"/>
        <w:ind w:left="480" w:hanging="480"/>
        <w:jc w:val="both"/>
      </w:pPr>
      <w:r>
        <w:rPr>
          <w:rStyle w:val="Bodytext1"/>
        </w:rPr>
        <w:t>V případech, kdy se vyžaduje ověření totožnosti osoby, resp. úřed</w:t>
      </w:r>
      <w:r>
        <w:rPr>
          <w:rStyle w:val="Bodytext1"/>
        </w:rPr>
        <w:softHyphen/>
        <w:t>ní ověření pravosti jejího podpisu, může Banka ověřit totožnost osoby též sama nebo může namísto úředního ověření pravosti jejího podpisu uznat jiné ověření učiněné ve formě a osobami akceptovanými Bankou.</w:t>
      </w:r>
    </w:p>
    <w:p w14:paraId="16D29598" w14:textId="77777777" w:rsidR="008B0FD4" w:rsidRDefault="00000000">
      <w:pPr>
        <w:pStyle w:val="Bodytext10"/>
        <w:numPr>
          <w:ilvl w:val="0"/>
          <w:numId w:val="3"/>
        </w:numPr>
        <w:tabs>
          <w:tab w:val="left" w:pos="484"/>
        </w:tabs>
        <w:spacing w:line="307" w:lineRule="auto"/>
        <w:jc w:val="both"/>
      </w:pPr>
      <w:r>
        <w:rPr>
          <w:rStyle w:val="Bodytext1"/>
          <w:color w:val="CC5E72"/>
        </w:rPr>
        <w:t>VZNIK, ZMĚNY A ZÁNIK SMLUVNÍHO VZTAHU</w:t>
      </w:r>
    </w:p>
    <w:p w14:paraId="27C19A6C" w14:textId="77777777" w:rsidR="008B0FD4" w:rsidRDefault="00000000">
      <w:pPr>
        <w:pStyle w:val="Bodytext10"/>
        <w:numPr>
          <w:ilvl w:val="1"/>
          <w:numId w:val="3"/>
        </w:numPr>
        <w:tabs>
          <w:tab w:val="left" w:pos="484"/>
        </w:tabs>
        <w:spacing w:line="307" w:lineRule="auto"/>
        <w:ind w:left="480" w:hanging="480"/>
        <w:jc w:val="both"/>
      </w:pPr>
      <w:r>
        <w:rPr>
          <w:rStyle w:val="Bodytext1"/>
        </w:rPr>
        <w:t xml:space="preserve">Pokud smlouva, Obecné obchodní podmínky nebo příslušné </w:t>
      </w:r>
      <w:proofErr w:type="gramStart"/>
      <w:r>
        <w:rPr>
          <w:rStyle w:val="Bodytext1"/>
        </w:rPr>
        <w:t xml:space="preserve">pro- </w:t>
      </w:r>
      <w:proofErr w:type="spellStart"/>
      <w:r>
        <w:rPr>
          <w:rStyle w:val="Bodytext1"/>
        </w:rPr>
        <w:t>duktové</w:t>
      </w:r>
      <w:proofErr w:type="spellEnd"/>
      <w:proofErr w:type="gramEnd"/>
      <w:r>
        <w:rPr>
          <w:rStyle w:val="Bodytext1"/>
        </w:rPr>
        <w:t xml:space="preserve"> podmínky nestanoví jinak, může smlouva nebo závazek mezi Bankou a Klientem vzniknout, být změněn nebo být zrušen jen písemně, a to v elektronické podobě s uznávaným elektronic</w:t>
      </w:r>
      <w:r>
        <w:rPr>
          <w:rStyle w:val="Bodytext1"/>
        </w:rPr>
        <w:softHyphen/>
        <w:t xml:space="preserve">kým podpisem nebo v listinné podobě. To platí i v případech, kdy písemná forma není vyžadována právními předpisy. Pokud Banka nestanoví nebo nebylo ujednáno jinak, právní jednání v </w:t>
      </w:r>
      <w:proofErr w:type="gramStart"/>
      <w:r>
        <w:rPr>
          <w:rStyle w:val="Bodytext1"/>
        </w:rPr>
        <w:t>jiné</w:t>
      </w:r>
      <w:proofErr w:type="gramEnd"/>
      <w:r>
        <w:rPr>
          <w:rStyle w:val="Bodytext1"/>
        </w:rPr>
        <w:t xml:space="preserve"> než písemné formě Banku nezavazuje. Banka vylučuje přijetí návrhu na uzavření smlouvy nebo dohody s jakýmkoli dodatkem či od</w:t>
      </w:r>
      <w:r>
        <w:rPr>
          <w:rStyle w:val="Bodytext1"/>
        </w:rPr>
        <w:softHyphen/>
        <w:t>chylkou; odpověď na nabídku s dodatkem či odchylkou se nepo</w:t>
      </w:r>
      <w:r>
        <w:rPr>
          <w:rStyle w:val="Bodytext1"/>
        </w:rPr>
        <w:softHyphen/>
        <w:t>važuje za přijetí nabídky, ale za nový návrh.</w:t>
      </w:r>
    </w:p>
    <w:p w14:paraId="494DEF89" w14:textId="77777777" w:rsidR="008B0FD4" w:rsidRDefault="00000000">
      <w:pPr>
        <w:pStyle w:val="Bodytext10"/>
        <w:numPr>
          <w:ilvl w:val="1"/>
          <w:numId w:val="3"/>
        </w:numPr>
        <w:tabs>
          <w:tab w:val="left" w:pos="484"/>
        </w:tabs>
        <w:spacing w:line="307" w:lineRule="auto"/>
        <w:ind w:left="480" w:hanging="480"/>
        <w:jc w:val="both"/>
      </w:pPr>
      <w:r>
        <w:rPr>
          <w:rStyle w:val="Bodytext1"/>
        </w:rPr>
        <w:t xml:space="preserve">Klient akceptací Obecných obchodních podmínek souhlasí s tím, že </w:t>
      </w:r>
      <w:proofErr w:type="spellStart"/>
      <w:r>
        <w:rPr>
          <w:rStyle w:val="Bodytext1"/>
        </w:rPr>
        <w:t>Baňkaje</w:t>
      </w:r>
      <w:proofErr w:type="spellEnd"/>
      <w:r>
        <w:rPr>
          <w:rStyle w:val="Bodytext1"/>
        </w:rPr>
        <w:t xml:space="preserve"> oprávněna postoupit jakoukoli svou pohledávku za Klientem i celou smlouvu s Klientem třetí osobě a že Klient při postoupení smlouvy bude oprávněn odmítnout osvobození Ban</w:t>
      </w:r>
      <w:r>
        <w:rPr>
          <w:rStyle w:val="Bodytext1"/>
        </w:rPr>
        <w:softHyphen/>
        <w:t>ky od jejích povinností, jen pokud by příslušná třetí osoba (</w:t>
      </w:r>
      <w:proofErr w:type="gramStart"/>
      <w:r>
        <w:rPr>
          <w:rStyle w:val="Bodytext1"/>
        </w:rPr>
        <w:t>po- stupník</w:t>
      </w:r>
      <w:proofErr w:type="gramEnd"/>
      <w:r>
        <w:rPr>
          <w:rStyle w:val="Bodytext1"/>
        </w:rPr>
        <w:t>) měla mít z postoupené smlouvy vůči Klientovi peněžitý dluh a v okamžiku postoupení byla její schopnost tento dluh spl</w:t>
      </w:r>
      <w:r>
        <w:rPr>
          <w:rStyle w:val="Bodytext1"/>
        </w:rPr>
        <w:softHyphen/>
        <w:t>nit menší, než byla schopnost Banky.</w:t>
      </w:r>
    </w:p>
    <w:p w14:paraId="4DEB2D7D" w14:textId="77777777" w:rsidR="008B0FD4" w:rsidRDefault="00000000">
      <w:pPr>
        <w:pStyle w:val="Bodytext10"/>
        <w:numPr>
          <w:ilvl w:val="1"/>
          <w:numId w:val="3"/>
        </w:numPr>
        <w:tabs>
          <w:tab w:val="left" w:pos="484"/>
        </w:tabs>
        <w:spacing w:line="317" w:lineRule="auto"/>
        <w:ind w:left="480" w:hanging="480"/>
        <w:jc w:val="both"/>
      </w:pPr>
      <w:r>
        <w:rPr>
          <w:rStyle w:val="Bodytext1"/>
        </w:rPr>
        <w:t>Klient není bez výslovného souhlasu Banky oprávněn postoupit žádnou svoji pohledávku za Bankou ani žádnou smlouvu s Ban</w:t>
      </w:r>
      <w:r>
        <w:rPr>
          <w:rStyle w:val="Bodytext1"/>
        </w:rPr>
        <w:softHyphen/>
        <w:t>kou.</w:t>
      </w:r>
    </w:p>
    <w:p w14:paraId="523D02A1" w14:textId="77777777" w:rsidR="008B0FD4" w:rsidRDefault="00000000">
      <w:pPr>
        <w:pStyle w:val="Bodytext10"/>
        <w:numPr>
          <w:ilvl w:val="1"/>
          <w:numId w:val="3"/>
        </w:numPr>
        <w:tabs>
          <w:tab w:val="left" w:pos="484"/>
        </w:tabs>
        <w:spacing w:after="0" w:line="307" w:lineRule="auto"/>
        <w:jc w:val="both"/>
      </w:pPr>
      <w:r>
        <w:rPr>
          <w:rStyle w:val="Bodytext1"/>
        </w:rPr>
        <w:t>Klient je povinen před zánikem smluvního vztahu zprostit Banku</w:t>
      </w:r>
    </w:p>
    <w:p w14:paraId="099ABBC0" w14:textId="77777777" w:rsidR="008B0FD4" w:rsidRDefault="00000000">
      <w:pPr>
        <w:pStyle w:val="Bodytext10"/>
        <w:spacing w:line="307" w:lineRule="auto"/>
        <w:ind w:left="480" w:firstLine="20"/>
        <w:jc w:val="both"/>
      </w:pPr>
      <w:r>
        <w:rPr>
          <w:rStyle w:val="Bodytext1"/>
        </w:rPr>
        <w:t>veškerých za něho nebo na jeho příkaz přijatých dluhů a povin</w:t>
      </w:r>
      <w:r>
        <w:rPr>
          <w:rStyle w:val="Bodytext1"/>
        </w:rPr>
        <w:softHyphen/>
        <w:t>ností včetně ručení. Pokud takové zproštění nelze realizovat, je Klient povinen poskytnout Bance dostatečnou jistotu.</w:t>
      </w:r>
    </w:p>
    <w:p w14:paraId="10215F63" w14:textId="77777777" w:rsidR="008B0FD4" w:rsidRDefault="00000000">
      <w:pPr>
        <w:pStyle w:val="Bodytext10"/>
        <w:numPr>
          <w:ilvl w:val="1"/>
          <w:numId w:val="3"/>
        </w:numPr>
        <w:tabs>
          <w:tab w:val="left" w:pos="484"/>
        </w:tabs>
        <w:spacing w:line="307" w:lineRule="auto"/>
        <w:ind w:left="480" w:hanging="480"/>
        <w:jc w:val="both"/>
      </w:pPr>
      <w:r>
        <w:rPr>
          <w:rStyle w:val="Bodytext1"/>
        </w:rPr>
        <w:t>Není-li v Obecných obchodních podmínkách uvedeno jinak nebo není-li s Klientem dohodnuta doba trvání či odlišný způsob zá</w:t>
      </w:r>
      <w:r>
        <w:rPr>
          <w:rStyle w:val="Bodytext1"/>
        </w:rPr>
        <w:softHyphen/>
        <w:t>niku smluvního vztahu, jsou Banka i Klient oprávněni písemně i bez uvedení důvodů smlouvu vypovědět s jednoměsíční výpo</w:t>
      </w:r>
      <w:r>
        <w:rPr>
          <w:rStyle w:val="Bodytext1"/>
        </w:rPr>
        <w:softHyphen/>
        <w:t>vědní dobou, pokud Banka ve výpovědi nestanoví dobu delší nebo pokud není zákonem stanoveno jinak. Veškeré dosud nesplatné pohledávky Banky se stávají splatnými první pracovní den násle</w:t>
      </w:r>
      <w:r>
        <w:rPr>
          <w:rStyle w:val="Bodytext1"/>
        </w:rPr>
        <w:softHyphen/>
        <w:t>dující po dni uplynutí výpovědní doby. Pokud Bance v souvislosti s výpovědí smlouvy a ukončením smlouvy na základě této výpo</w:t>
      </w:r>
      <w:r>
        <w:rPr>
          <w:rStyle w:val="Bodytext1"/>
        </w:rPr>
        <w:softHyphen/>
        <w:t>vědi vzniknou mimořádné náklady, je Klient povinen Bance tyto náklady uhradit.</w:t>
      </w:r>
    </w:p>
    <w:p w14:paraId="6B551A00" w14:textId="77777777" w:rsidR="008B0FD4" w:rsidRDefault="00000000">
      <w:pPr>
        <w:pStyle w:val="Bodytext10"/>
        <w:numPr>
          <w:ilvl w:val="1"/>
          <w:numId w:val="3"/>
        </w:numPr>
        <w:tabs>
          <w:tab w:val="left" w:pos="484"/>
        </w:tabs>
        <w:spacing w:after="0"/>
        <w:ind w:left="480" w:hanging="480"/>
        <w:jc w:val="both"/>
        <w:sectPr w:rsidR="008B0FD4">
          <w:footerReference w:type="even" r:id="rId10"/>
          <w:footerReference w:type="default" r:id="rId11"/>
          <w:pgSz w:w="11900" w:h="16840"/>
          <w:pgMar w:top="964" w:right="943" w:bottom="923" w:left="985" w:header="536" w:footer="3" w:gutter="0"/>
          <w:cols w:num="2" w:space="166"/>
          <w:noEndnote/>
          <w:docGrid w:linePitch="360"/>
        </w:sectPr>
      </w:pPr>
      <w:r>
        <w:rPr>
          <w:rStyle w:val="Bodytext1"/>
        </w:rPr>
        <w:t>Banka je oprávněna od smlouvy odstoupit v případě, že Klient po</w:t>
      </w:r>
      <w:r>
        <w:rPr>
          <w:rStyle w:val="Bodytext1"/>
        </w:rPr>
        <w:softHyphen/>
        <w:t xml:space="preserve">ruší své smluvní či zákonné povinnosti. </w:t>
      </w:r>
      <w:proofErr w:type="spellStart"/>
      <w:r>
        <w:rPr>
          <w:rStyle w:val="Bodytext1"/>
        </w:rPr>
        <w:t>Baňkaje</w:t>
      </w:r>
      <w:proofErr w:type="spellEnd"/>
      <w:r>
        <w:rPr>
          <w:rStyle w:val="Bodytext1"/>
        </w:rPr>
        <w:t xml:space="preserve"> též oprávněna od smlouvy s Klientem odstoupit, jestliže zjistí jiné závažné skuteč</w:t>
      </w:r>
      <w:r>
        <w:rPr>
          <w:rStyle w:val="Bodytext1"/>
        </w:rPr>
        <w:softHyphen/>
        <w:t>nosti, které by mohly podstatným způsobem ohrozit schopnost Klienta splnit své dluhy ze smluvního vztahu s Bankou (např. hro</w:t>
      </w:r>
      <w:r>
        <w:rPr>
          <w:rStyle w:val="Bodytext1"/>
        </w:rPr>
        <w:softHyphen/>
        <w:t>zící zastavení plateb, hrozící úpadek, úpadek, výkon rozhodnutí</w:t>
      </w:r>
    </w:p>
    <w:p w14:paraId="3AD36551" w14:textId="77777777" w:rsidR="008B0FD4" w:rsidRDefault="00000000">
      <w:pPr>
        <w:pStyle w:val="Bodytext20"/>
        <w:sectPr w:rsidR="008B0FD4">
          <w:type w:val="continuous"/>
          <w:pgSz w:w="11900" w:h="16840"/>
          <w:pgMar w:top="964" w:right="943" w:bottom="923" w:left="978" w:header="0" w:footer="3" w:gutter="0"/>
          <w:cols w:space="720"/>
          <w:noEndnote/>
          <w:docGrid w:linePitch="360"/>
        </w:sectPr>
      </w:pPr>
      <w:r>
        <w:rPr>
          <w:rStyle w:val="Bodytext2"/>
        </w:rPr>
        <w:t xml:space="preserve">UniCredit Bank Czech Republic and Slovakia, a.s., Želetavská 1525/1,140 92 Praha 4 - Michle, IČO 649-18242, zapsaná v obchodním rejstříku vedeném Městským soudem v Praze, oddíl B, vložka 3608, </w:t>
      </w:r>
      <w:hyperlink r:id="rId12" w:history="1">
        <w:r>
          <w:rPr>
            <w:rStyle w:val="Bodytext2"/>
            <w:lang w:val="en-US" w:eastAsia="en-US" w:bidi="en-US"/>
          </w:rPr>
          <w:t>www.unicredltbank.cz</w:t>
        </w:r>
      </w:hyperlink>
      <w:r>
        <w:rPr>
          <w:rStyle w:val="Bodytext2"/>
          <w:lang w:val="en-US" w:eastAsia="en-US" w:bidi="en-US"/>
        </w:rPr>
        <w:t>.</w:t>
      </w:r>
    </w:p>
    <w:p w14:paraId="5AE29CE1" w14:textId="77777777" w:rsidR="008B0FD4" w:rsidRDefault="00000000">
      <w:pPr>
        <w:pStyle w:val="Bodytext10"/>
        <w:ind w:left="480" w:firstLine="20"/>
        <w:jc w:val="both"/>
      </w:pPr>
      <w:r>
        <w:rPr>
          <w:rStyle w:val="Bodytext1"/>
        </w:rPr>
        <w:lastRenderedPageBreak/>
        <w:t xml:space="preserve">vedený proti Klientovi apod.), nebo v případě, kdy by s ohledem na osobu Klienta nebo charakter jím prováděných transakcí podle názoru Banky další trvání smluvního vztahu mohlo ohrozit nebo poškodit její pověst a dobré jméno, nebo pokud se Klient dopustí závažného jednání, v </w:t>
      </w:r>
      <w:proofErr w:type="gramStart"/>
      <w:r>
        <w:rPr>
          <w:rStyle w:val="Bodytext1"/>
        </w:rPr>
        <w:t>důsledku</w:t>
      </w:r>
      <w:proofErr w:type="gramEnd"/>
      <w:r>
        <w:rPr>
          <w:rStyle w:val="Bodytext1"/>
        </w:rPr>
        <w:t xml:space="preserve"> kterého dojde k narušení důvěry mezi ním a Bankou (vč. poskytnutí nepravdivých prohlášení Ban</w:t>
      </w:r>
      <w:r>
        <w:rPr>
          <w:rStyle w:val="Bodytext1"/>
        </w:rPr>
        <w:softHyphen/>
        <w:t>ce, nedostatku součinnosti s Bankou apod.). Sdělení o odstoupení od smlouvy musí mít písemnou, případně jinou dohodnutou for</w:t>
      </w:r>
      <w:r>
        <w:rPr>
          <w:rStyle w:val="Bodytext1"/>
        </w:rPr>
        <w:softHyphen/>
        <w:t>mu, a musí v něm být uveden důvod odstoupení; smlouva zaniká s účinky do budoucna dnem doručení tohoto sdělení Klientovi, po</w:t>
      </w:r>
      <w:r>
        <w:rPr>
          <w:rStyle w:val="Bodytext1"/>
        </w:rPr>
        <w:softHyphen/>
        <w:t>kud Banka nestanoví ve sdělení o odstoupení jinak. Veškeré dosud nesplatné pohledávky Banky se stávají splatnými pracovní den následující po dni, kdy bylo Klientovi doručeno sdělení o odstou</w:t>
      </w:r>
      <w:r>
        <w:rPr>
          <w:rStyle w:val="Bodytext1"/>
        </w:rPr>
        <w:softHyphen/>
        <w:t>pení, pokud Banka nestanoví jinak. Pokud Bance v souvislosti s od</w:t>
      </w:r>
      <w:r>
        <w:rPr>
          <w:rStyle w:val="Bodytext1"/>
        </w:rPr>
        <w:softHyphen/>
        <w:t>stoupením od smlouvy a ukončením smlouvy na základě tohoto odstoupení vzniknou mimořádné náklady, je Klient povinen Bance tyto náklady uhradit.</w:t>
      </w:r>
    </w:p>
    <w:p w14:paraId="42A95661" w14:textId="77777777" w:rsidR="008B0FD4" w:rsidRDefault="00000000">
      <w:pPr>
        <w:pStyle w:val="Bodytext10"/>
        <w:numPr>
          <w:ilvl w:val="1"/>
          <w:numId w:val="3"/>
        </w:numPr>
        <w:tabs>
          <w:tab w:val="left" w:pos="490"/>
        </w:tabs>
        <w:spacing w:after="380" w:line="312" w:lineRule="auto"/>
        <w:ind w:left="480" w:hanging="480"/>
        <w:jc w:val="both"/>
      </w:pPr>
      <w:r>
        <w:rPr>
          <w:rStyle w:val="Bodytext1"/>
        </w:rPr>
        <w:t xml:space="preserve">Uzavření smlouvy nebo uskutečnění transakce je vázáno na získání potřebných schválení v rámci Banky anebo na </w:t>
      </w:r>
      <w:proofErr w:type="spellStart"/>
      <w:proofErr w:type="gramStart"/>
      <w:r>
        <w:rPr>
          <w:rStyle w:val="Bodytext1"/>
        </w:rPr>
        <w:t>podepsá</w:t>
      </w:r>
      <w:proofErr w:type="spellEnd"/>
      <w:r>
        <w:rPr>
          <w:rStyle w:val="Bodytext1"/>
        </w:rPr>
        <w:t>- ní</w:t>
      </w:r>
      <w:proofErr w:type="gramEnd"/>
      <w:r>
        <w:rPr>
          <w:rStyle w:val="Bodytext1"/>
        </w:rPr>
        <w:t xml:space="preserve"> příslušné smluvní dokumentace. Banka si vyhrazuje právo smlouvu neuzavřít, a to v kterékoli fázi jednání, zejména pokud nebudou získána potřebná interní schválení. Důvody neuzavře</w:t>
      </w:r>
      <w:r>
        <w:rPr>
          <w:rStyle w:val="Bodytext1"/>
        </w:rPr>
        <w:softHyphen/>
        <w:t>ní smlouvy nebo neuskutečnění transakce není Banka povinna Klientovi sdělit.</w:t>
      </w:r>
    </w:p>
    <w:p w14:paraId="75639DA1" w14:textId="77777777" w:rsidR="008B0FD4" w:rsidRDefault="00000000">
      <w:pPr>
        <w:pStyle w:val="Bodytext10"/>
        <w:numPr>
          <w:ilvl w:val="0"/>
          <w:numId w:val="3"/>
        </w:numPr>
        <w:tabs>
          <w:tab w:val="left" w:pos="490"/>
        </w:tabs>
        <w:jc w:val="both"/>
      </w:pPr>
      <w:r>
        <w:rPr>
          <w:rStyle w:val="Bodytext1"/>
          <w:color w:val="CC5E72"/>
        </w:rPr>
        <w:t>ODMĚNY ZA SLUŽBY A NÁHRADA NÁKLADŮ</w:t>
      </w:r>
    </w:p>
    <w:p w14:paraId="09A313E4" w14:textId="77777777" w:rsidR="008B0FD4" w:rsidRDefault="00000000">
      <w:pPr>
        <w:pStyle w:val="Bodytext10"/>
        <w:numPr>
          <w:ilvl w:val="1"/>
          <w:numId w:val="3"/>
        </w:numPr>
        <w:tabs>
          <w:tab w:val="left" w:pos="490"/>
        </w:tabs>
        <w:spacing w:line="312" w:lineRule="auto"/>
        <w:ind w:left="480" w:hanging="480"/>
        <w:jc w:val="both"/>
      </w:pPr>
      <w:r>
        <w:rPr>
          <w:rStyle w:val="Bodytext1"/>
        </w:rPr>
        <w:t>Není-li s Klientem dohodnuto jinak, řídí se odměny, poplatky, resp. jiné ceny za poskytnutí služby (dále jen „odměna") Sazeb</w:t>
      </w:r>
      <w:r>
        <w:rPr>
          <w:rStyle w:val="Bodytext1"/>
        </w:rPr>
        <w:softHyphen/>
        <w:t>níkem ve znění platném k okamžiku vzniku příslušného smluvní</w:t>
      </w:r>
      <w:r>
        <w:rPr>
          <w:rStyle w:val="Bodytext1"/>
        </w:rPr>
        <w:softHyphen/>
        <w:t xml:space="preserve">ho vztahu, pokud nedojde k jeho změně podle </w:t>
      </w:r>
      <w:proofErr w:type="spellStart"/>
      <w:r>
        <w:rPr>
          <w:rStyle w:val="Bodytext1"/>
        </w:rPr>
        <w:t>ust</w:t>
      </w:r>
      <w:proofErr w:type="spellEnd"/>
      <w:r>
        <w:rPr>
          <w:rStyle w:val="Bodytext1"/>
        </w:rPr>
        <w:t>. 8.3 Obecných obchodních podmínek.</w:t>
      </w:r>
    </w:p>
    <w:p w14:paraId="503EC29B" w14:textId="77777777" w:rsidR="008B0FD4" w:rsidRDefault="00000000">
      <w:pPr>
        <w:pStyle w:val="Bodytext10"/>
        <w:numPr>
          <w:ilvl w:val="1"/>
          <w:numId w:val="3"/>
        </w:numPr>
        <w:tabs>
          <w:tab w:val="left" w:pos="490"/>
        </w:tabs>
        <w:spacing w:line="307" w:lineRule="auto"/>
        <w:ind w:left="480" w:hanging="480"/>
        <w:jc w:val="both"/>
      </w:pPr>
      <w:r>
        <w:rPr>
          <w:rStyle w:val="Bodytext1"/>
        </w:rPr>
        <w:t>Sazebník je rozdělen na části, které upravují odměny platné pro jednotlivé segmenty klientely Banky. Příslušnost Klienta k seg</w:t>
      </w:r>
      <w:r>
        <w:rPr>
          <w:rStyle w:val="Bodytext1"/>
        </w:rPr>
        <w:softHyphen/>
        <w:t>mentu klientely stanovuje Banka.</w:t>
      </w:r>
    </w:p>
    <w:p w14:paraId="12BC97AB" w14:textId="77777777" w:rsidR="008B0FD4" w:rsidRDefault="00000000">
      <w:pPr>
        <w:pStyle w:val="Bodytext10"/>
        <w:numPr>
          <w:ilvl w:val="1"/>
          <w:numId w:val="3"/>
        </w:numPr>
        <w:tabs>
          <w:tab w:val="left" w:pos="490"/>
        </w:tabs>
        <w:ind w:left="480" w:hanging="480"/>
        <w:jc w:val="both"/>
      </w:pPr>
      <w:r>
        <w:rPr>
          <w:rStyle w:val="Bodytext1"/>
        </w:rPr>
        <w:t>Banka je oprávněna měnit příslušné části Sazebníku v průběhu trvání smluvního vztahu Klienta a Banky. Pro postup při změ</w:t>
      </w:r>
      <w:r>
        <w:rPr>
          <w:rStyle w:val="Bodytext1"/>
        </w:rPr>
        <w:softHyphen/>
        <w:t>ně Sazebníku, včetně možnosti Klienta při nesouhlasu s navr</w:t>
      </w:r>
      <w:r>
        <w:rPr>
          <w:rStyle w:val="Bodytext1"/>
        </w:rPr>
        <w:softHyphen/>
        <w:t xml:space="preserve">hovanou změnou smluvní vztah vypovědět, platí obdobně </w:t>
      </w:r>
      <w:proofErr w:type="spellStart"/>
      <w:r>
        <w:rPr>
          <w:rStyle w:val="Bodytext1"/>
        </w:rPr>
        <w:t>ust</w:t>
      </w:r>
      <w:proofErr w:type="spellEnd"/>
      <w:r>
        <w:rPr>
          <w:rStyle w:val="Bodytext1"/>
        </w:rPr>
        <w:t>. 3 Obecných obchodních podmínek.</w:t>
      </w:r>
    </w:p>
    <w:p w14:paraId="6813290D" w14:textId="77777777" w:rsidR="008B0FD4" w:rsidRDefault="00000000">
      <w:pPr>
        <w:pStyle w:val="Bodytext10"/>
        <w:numPr>
          <w:ilvl w:val="1"/>
          <w:numId w:val="3"/>
        </w:numPr>
        <w:tabs>
          <w:tab w:val="left" w:pos="490"/>
        </w:tabs>
        <w:ind w:left="480" w:hanging="480"/>
        <w:jc w:val="both"/>
      </w:pPr>
      <w:r>
        <w:rPr>
          <w:rStyle w:val="Bodytext1"/>
        </w:rPr>
        <w:t>Klient je kromě odměny povinen na žádost Banky uhradit nákla</w:t>
      </w:r>
      <w:r>
        <w:rPr>
          <w:rStyle w:val="Bodytext1"/>
        </w:rPr>
        <w:softHyphen/>
        <w:t>dy vynaložené v souvislosti s poskytováním služby, tj. zejména poplatky či náklady jiných tuzemských a zahraničních bank a in</w:t>
      </w:r>
      <w:r>
        <w:rPr>
          <w:rStyle w:val="Bodytext1"/>
        </w:rPr>
        <w:softHyphen/>
        <w:t>stitucí, platby za právní služby, náklady na komunikaci a poštov</w:t>
      </w:r>
      <w:r>
        <w:rPr>
          <w:rStyle w:val="Bodytext1"/>
        </w:rPr>
        <w:softHyphen/>
        <w:t xml:space="preserve">né (a to maximálně do výše pořizovací ceny služby), s výjimkou situací, kdy to neumožňuje zákon. </w:t>
      </w:r>
      <w:proofErr w:type="spellStart"/>
      <w:r>
        <w:rPr>
          <w:rStyle w:val="Bodytext1"/>
        </w:rPr>
        <w:t>Baňkaje</w:t>
      </w:r>
      <w:proofErr w:type="spellEnd"/>
      <w:r>
        <w:rPr>
          <w:rStyle w:val="Bodytext1"/>
        </w:rPr>
        <w:t xml:space="preserve"> oprávněna vyúčtovat Klientovi vynaložené náklady též souhrnnou, případně paušální, částkou ve výši stanovené dle Sazebníku.</w:t>
      </w:r>
    </w:p>
    <w:p w14:paraId="421ABED3" w14:textId="77777777" w:rsidR="008B0FD4" w:rsidRDefault="00000000">
      <w:pPr>
        <w:pStyle w:val="Bodytext10"/>
        <w:numPr>
          <w:ilvl w:val="1"/>
          <w:numId w:val="3"/>
        </w:numPr>
        <w:tabs>
          <w:tab w:val="left" w:pos="490"/>
        </w:tabs>
        <w:spacing w:line="317" w:lineRule="auto"/>
        <w:ind w:left="480" w:hanging="480"/>
        <w:jc w:val="both"/>
      </w:pPr>
      <w:r>
        <w:rPr>
          <w:rStyle w:val="Bodytext1"/>
        </w:rPr>
        <w:t>Není-li splatnost odměny, resp. náhrady nákladů vynaložených v souvislosti s poskytováním služby, sjednána, bude stanovena Bankou.</w:t>
      </w:r>
    </w:p>
    <w:p w14:paraId="17177C19" w14:textId="77777777" w:rsidR="008B0FD4" w:rsidRDefault="00000000">
      <w:pPr>
        <w:pStyle w:val="Bodytext10"/>
        <w:numPr>
          <w:ilvl w:val="1"/>
          <w:numId w:val="3"/>
        </w:numPr>
        <w:tabs>
          <w:tab w:val="left" w:pos="490"/>
        </w:tabs>
        <w:spacing w:after="380" w:line="312" w:lineRule="auto"/>
        <w:ind w:left="480" w:hanging="480"/>
        <w:jc w:val="both"/>
      </w:pPr>
      <w:r>
        <w:rPr>
          <w:rStyle w:val="Bodytext1"/>
        </w:rPr>
        <w:t>Odměny účtované k tíži účtu, který je veden v měně odlišné od měny, v níž je odměna v Sazebníku stanovena, se přepočítají do měny účtu promptním kurzem Banky „deviza nákup" platným v den zúčtování odměny.</w:t>
      </w:r>
    </w:p>
    <w:p w14:paraId="7B007D95" w14:textId="77777777" w:rsidR="008B0FD4" w:rsidRDefault="00000000">
      <w:pPr>
        <w:pStyle w:val="Bodytext10"/>
        <w:numPr>
          <w:ilvl w:val="0"/>
          <w:numId w:val="3"/>
        </w:numPr>
        <w:tabs>
          <w:tab w:val="left" w:pos="490"/>
        </w:tabs>
        <w:jc w:val="both"/>
      </w:pPr>
      <w:r>
        <w:rPr>
          <w:rStyle w:val="Bodytext1"/>
          <w:color w:val="CC5E72"/>
        </w:rPr>
        <w:t>ÚHRADA POHLEDÁVEK BANKY, ZAPOČTENÍ A PROMLČENÍ</w:t>
      </w:r>
    </w:p>
    <w:p w14:paraId="5CDEA74D" w14:textId="77777777" w:rsidR="008B0FD4" w:rsidRDefault="00000000">
      <w:pPr>
        <w:pStyle w:val="Bodytext10"/>
        <w:numPr>
          <w:ilvl w:val="1"/>
          <w:numId w:val="3"/>
        </w:numPr>
        <w:tabs>
          <w:tab w:val="left" w:pos="490"/>
        </w:tabs>
        <w:ind w:left="480" w:hanging="480"/>
        <w:jc w:val="both"/>
      </w:pPr>
      <w:r>
        <w:rPr>
          <w:rStyle w:val="Bodytext1"/>
        </w:rPr>
        <w:t>K úhradě svých dluhů vůči Bance je Klient povinen zabezpečit včas a v dostatečné výši peněžní prostředky na svém běžném, případně na jiném dohodnutém účtu. Změní-li se po uzavření smlouvy mezi Bankou a Klientem okolnosti do té míry, že se pl</w:t>
      </w:r>
      <w:r>
        <w:rPr>
          <w:rStyle w:val="Bodytext1"/>
        </w:rPr>
        <w:softHyphen/>
        <w:t xml:space="preserve">nění podle smlouvy stane pro Klienta obtížnější, nemění to nic na jeho povinnosti splnit dluh, nestanoví-li zákon, produktové podmínky nebo konkrétní smluvní ujednání jinak. Klient na sebe přebírá nebezpečí změny okolností, a </w:t>
      </w:r>
      <w:r>
        <w:rPr>
          <w:rStyle w:val="Bodytext1"/>
        </w:rPr>
        <w:t xml:space="preserve">tudíž v případě, kdy dojde ke změně okolností tak podstatné, že změna </w:t>
      </w:r>
      <w:proofErr w:type="gramStart"/>
      <w:r>
        <w:rPr>
          <w:rStyle w:val="Bodytext1"/>
        </w:rPr>
        <w:t>založí</w:t>
      </w:r>
      <w:proofErr w:type="gramEnd"/>
      <w:r>
        <w:rPr>
          <w:rStyle w:val="Bodytext1"/>
        </w:rPr>
        <w:t xml:space="preserve"> v právech a povinnostech stran zvlášť hrubý nepoměr v neprospěch Klien</w:t>
      </w:r>
      <w:r>
        <w:rPr>
          <w:rStyle w:val="Bodytext1"/>
        </w:rPr>
        <w:softHyphen/>
        <w:t>ta, nevznikne Klientovi právo domáhat se vůči Bance obnovení jednání o smlouvě, resp. změny podmínek sjednané smlouvy.</w:t>
      </w:r>
    </w:p>
    <w:p w14:paraId="64C51DA5" w14:textId="77777777" w:rsidR="008B0FD4" w:rsidRDefault="00000000">
      <w:pPr>
        <w:pStyle w:val="Bodytext10"/>
        <w:numPr>
          <w:ilvl w:val="1"/>
          <w:numId w:val="3"/>
        </w:numPr>
        <w:tabs>
          <w:tab w:val="left" w:pos="497"/>
        </w:tabs>
        <w:ind w:left="480" w:hanging="480"/>
        <w:jc w:val="both"/>
      </w:pPr>
      <w:r>
        <w:rPr>
          <w:rStyle w:val="Bodytext1"/>
        </w:rPr>
        <w:t>Banka je oprávněna k úhradě splatných dluhů Klienta vůči Ban</w:t>
      </w:r>
      <w:r>
        <w:rPr>
          <w:rStyle w:val="Bodytext1"/>
        </w:rPr>
        <w:softHyphen/>
        <w:t xml:space="preserve">ce bez dalšího odepsat z Klientova účtu příslušné částky. Pokud Banka vede Klientovi více účtů, může takto odepsat příslušné částky a provést zúčtování na kterémkoli z jeho účtů nebo na více účtech, ať už jsou vedeny pro soukromé, nebo podnikatelské účely. V případě, že disponibilní peněžní prostředky nepostačují k úhradě pohledávek Banky za Klientem v plné výši, může Banka zúčtovat rozdíl mezi výší disponibilních peněžních prostředků a výší pohledávek Banky na vrub účtu Klienta s tím, že Klient je povinen tento debetní zůstatek, tj. částku nekrytou vkladem na účtu, okamžitě uhradit. Banka bude Klienta písemně informovat, k </w:t>
      </w:r>
      <w:proofErr w:type="gramStart"/>
      <w:r>
        <w:rPr>
          <w:rStyle w:val="Bodytext1"/>
        </w:rPr>
        <w:t>úhradě</w:t>
      </w:r>
      <w:proofErr w:type="gramEnd"/>
      <w:r>
        <w:rPr>
          <w:rStyle w:val="Bodytext1"/>
        </w:rPr>
        <w:t xml:space="preserve"> kterých pohledávek a v jaké výši byly příslušné částky odepsány, a o případném debetním zůstatku.</w:t>
      </w:r>
    </w:p>
    <w:p w14:paraId="790F39A0" w14:textId="77777777" w:rsidR="008B0FD4" w:rsidRDefault="00000000">
      <w:pPr>
        <w:pStyle w:val="Bodytext10"/>
        <w:numPr>
          <w:ilvl w:val="1"/>
          <w:numId w:val="3"/>
        </w:numPr>
        <w:tabs>
          <w:tab w:val="left" w:pos="497"/>
        </w:tabs>
        <w:ind w:left="480" w:hanging="480"/>
        <w:jc w:val="both"/>
      </w:pPr>
      <w:r>
        <w:rPr>
          <w:rStyle w:val="Bodytext1"/>
        </w:rPr>
        <w:t xml:space="preserve">Částky k úhradě splatných dluhů Klienta vůči Bance odepisuje Banka z Klientova účtu zpravidla v pořadí podle termínů jejich splatnosti. </w:t>
      </w:r>
      <w:proofErr w:type="gramStart"/>
      <w:r>
        <w:rPr>
          <w:rStyle w:val="Bodytext1"/>
        </w:rPr>
        <w:t>Nestačí</w:t>
      </w:r>
      <w:proofErr w:type="gramEnd"/>
      <w:r>
        <w:rPr>
          <w:rStyle w:val="Bodytext1"/>
        </w:rPr>
        <w:t>-li disponibilní zůstatek peněžních prostředků na účtu spolu s dalšími prostředky Klienta poskytnutými Ban</w:t>
      </w:r>
      <w:r>
        <w:rPr>
          <w:rStyle w:val="Bodytext1"/>
        </w:rPr>
        <w:softHyphen/>
        <w:t>ce na úhradu všech splatných částek, určí bez ohledu na datum splatnosti či případné příkazy Klienta pořadí úhrady Banka, ne</w:t>
      </w:r>
      <w:r>
        <w:rPr>
          <w:rStyle w:val="Bodytext1"/>
        </w:rPr>
        <w:softHyphen/>
        <w:t>stanoví-li zákon jinak. Banka neodpovídá za škody na straně Kli</w:t>
      </w:r>
      <w:r>
        <w:rPr>
          <w:rStyle w:val="Bodytext1"/>
        </w:rPr>
        <w:softHyphen/>
        <w:t>enta vzniklé v důsledku neprovedených úhrad.</w:t>
      </w:r>
    </w:p>
    <w:p w14:paraId="5822A489" w14:textId="77777777" w:rsidR="008B0FD4" w:rsidRDefault="00000000">
      <w:pPr>
        <w:pStyle w:val="Bodytext10"/>
        <w:numPr>
          <w:ilvl w:val="1"/>
          <w:numId w:val="3"/>
        </w:numPr>
        <w:tabs>
          <w:tab w:val="left" w:pos="497"/>
        </w:tabs>
        <w:spacing w:line="312" w:lineRule="auto"/>
        <w:ind w:left="480" w:hanging="480"/>
        <w:jc w:val="both"/>
      </w:pPr>
      <w:r>
        <w:rPr>
          <w:rStyle w:val="Bodytext1"/>
        </w:rPr>
        <w:t>Pokud Klient řádně a včas nesplnil svůj dluh vůči Bance, je Ban</w:t>
      </w:r>
      <w:r>
        <w:rPr>
          <w:rStyle w:val="Bodytext1"/>
        </w:rPr>
        <w:softHyphen/>
        <w:t>ka dále oprávněna kdykoli započíst jakékoli své splatné peněžité pohledávky za Klientem proti jakýmkoli peněžitým pohledávkám Klienta za Bankou bez ohledu na jejich měnu, splatnost a právní vztah, ze kterého vyplývají.</w:t>
      </w:r>
    </w:p>
    <w:p w14:paraId="440F0DE3" w14:textId="77777777" w:rsidR="008B0FD4" w:rsidRDefault="00000000">
      <w:pPr>
        <w:pStyle w:val="Bodytext10"/>
        <w:numPr>
          <w:ilvl w:val="1"/>
          <w:numId w:val="3"/>
        </w:numPr>
        <w:tabs>
          <w:tab w:val="left" w:pos="497"/>
        </w:tabs>
        <w:spacing w:line="312" w:lineRule="auto"/>
        <w:ind w:left="480" w:hanging="480"/>
        <w:jc w:val="both"/>
      </w:pPr>
      <w:r>
        <w:rPr>
          <w:rStyle w:val="Bodytext1"/>
        </w:rPr>
        <w:t xml:space="preserve">Postupy dle </w:t>
      </w:r>
      <w:proofErr w:type="spellStart"/>
      <w:r>
        <w:rPr>
          <w:rStyle w:val="Bodytext1"/>
        </w:rPr>
        <w:t>ust</w:t>
      </w:r>
      <w:proofErr w:type="spellEnd"/>
      <w:r>
        <w:rPr>
          <w:rStyle w:val="Bodytext1"/>
        </w:rPr>
        <w:t xml:space="preserve">. 9.1 až 9.4 Obecných obchodních podmínek se budou aplikovat i v případě, </w:t>
      </w:r>
      <w:proofErr w:type="gramStart"/>
      <w:r>
        <w:rPr>
          <w:rStyle w:val="Bodytext1"/>
        </w:rPr>
        <w:t>končí</w:t>
      </w:r>
      <w:proofErr w:type="gramEnd"/>
      <w:r>
        <w:rPr>
          <w:rStyle w:val="Bodytext1"/>
        </w:rPr>
        <w:t>-li konkrétní smluvní vztah mezi Bankou a Klientem nebo je-li dán vážný důvod svědčící pro možnou neschopnost Klienta splatit své dluhy.</w:t>
      </w:r>
    </w:p>
    <w:p w14:paraId="10948972" w14:textId="77777777" w:rsidR="008B0FD4" w:rsidRDefault="00000000">
      <w:pPr>
        <w:pStyle w:val="Bodytext10"/>
        <w:numPr>
          <w:ilvl w:val="1"/>
          <w:numId w:val="3"/>
        </w:numPr>
        <w:tabs>
          <w:tab w:val="left" w:pos="497"/>
        </w:tabs>
        <w:ind w:left="480" w:hanging="480"/>
        <w:jc w:val="both"/>
      </w:pPr>
      <w:r>
        <w:rPr>
          <w:rStyle w:val="Bodytext1"/>
        </w:rPr>
        <w:t xml:space="preserve">Postupy dle </w:t>
      </w:r>
      <w:proofErr w:type="spellStart"/>
      <w:r>
        <w:rPr>
          <w:rStyle w:val="Bodytext1"/>
        </w:rPr>
        <w:t>ust</w:t>
      </w:r>
      <w:proofErr w:type="spellEnd"/>
      <w:r>
        <w:rPr>
          <w:rStyle w:val="Bodytext1"/>
        </w:rPr>
        <w:t>. 9.1 až 9.4 Obecných obchodních podmínek není dotčen nárok Banky požadovat bez zbytečného odkladu zaplace</w:t>
      </w:r>
      <w:r>
        <w:rPr>
          <w:rStyle w:val="Bodytext1"/>
        </w:rPr>
        <w:softHyphen/>
        <w:t>ní smluvní pokuty, pokud byla v příslušné smluvní dokumentaci uzavřené mezi Bankou a Klientem sjednána a nastaly-li podmín</w:t>
      </w:r>
      <w:r>
        <w:rPr>
          <w:rStyle w:val="Bodytext1"/>
        </w:rPr>
        <w:softHyphen/>
        <w:t>ky pro její uložení. Uplatněním nároku na uhrazení smluvní poku</w:t>
      </w:r>
      <w:r>
        <w:rPr>
          <w:rStyle w:val="Bodytext1"/>
        </w:rPr>
        <w:softHyphen/>
        <w:t>ty podle Obecných obchodních podmínek, produktových podmí</w:t>
      </w:r>
      <w:r>
        <w:rPr>
          <w:rStyle w:val="Bodytext1"/>
        </w:rPr>
        <w:softHyphen/>
        <w:t>nek nebo z jakéhokoli smluvního vztahu mezi Bankou a Klientem není dotčeno právo Banky na náhradu škody vzniklé jí porušením povinnosti, ke které se smluvní pokuta vztahuje.</w:t>
      </w:r>
    </w:p>
    <w:p w14:paraId="2D6994EF" w14:textId="77777777" w:rsidR="008B0FD4" w:rsidRDefault="00000000">
      <w:pPr>
        <w:pStyle w:val="Bodytext10"/>
        <w:numPr>
          <w:ilvl w:val="1"/>
          <w:numId w:val="3"/>
        </w:numPr>
        <w:tabs>
          <w:tab w:val="left" w:pos="497"/>
        </w:tabs>
        <w:spacing w:line="307" w:lineRule="auto"/>
        <w:ind w:left="480" w:hanging="480"/>
        <w:jc w:val="both"/>
      </w:pPr>
      <w:r>
        <w:rPr>
          <w:rStyle w:val="Bodytext1"/>
        </w:rPr>
        <w:t>Klient není bez výslovného souhlasu Banky oprávněn započíst ja</w:t>
      </w:r>
      <w:r>
        <w:rPr>
          <w:rStyle w:val="Bodytext1"/>
        </w:rPr>
        <w:softHyphen/>
        <w:t>kékoli své splatné peněžité pohledávky za Bankou proti jakýmkoli peněžitým pohledávkám Banky za Klientem bez ohledu na jejich měnu, splatnost a právní vztah, ze kterého vyplývají.</w:t>
      </w:r>
    </w:p>
    <w:p w14:paraId="46836958" w14:textId="77777777" w:rsidR="008B0FD4" w:rsidRDefault="00000000">
      <w:pPr>
        <w:pStyle w:val="Bodytext10"/>
        <w:numPr>
          <w:ilvl w:val="1"/>
          <w:numId w:val="3"/>
        </w:numPr>
        <w:tabs>
          <w:tab w:val="left" w:pos="497"/>
        </w:tabs>
        <w:spacing w:line="307" w:lineRule="auto"/>
        <w:ind w:left="480" w:hanging="480"/>
        <w:jc w:val="both"/>
      </w:pPr>
      <w:r>
        <w:rPr>
          <w:rStyle w:val="Bodytext1"/>
        </w:rPr>
        <w:t>Klient je povinen uhradit Bance vedle dlužné částky též její pří</w:t>
      </w:r>
      <w:r>
        <w:rPr>
          <w:rStyle w:val="Bodytext1"/>
        </w:rPr>
        <w:softHyphen/>
        <w:t>slušenství včetně náhrady nákladů vynaložených Bankou v sou</w:t>
      </w:r>
      <w:r>
        <w:rPr>
          <w:rStyle w:val="Bodytext1"/>
        </w:rPr>
        <w:softHyphen/>
        <w:t>vislosti s vymáháním její pohledávky (např. náhradu nákladů na právní zastoupení, mimosoudní vymáhání, soudní řízení atd.).</w:t>
      </w:r>
    </w:p>
    <w:p w14:paraId="3A6D2A9D" w14:textId="77777777" w:rsidR="008B0FD4" w:rsidRDefault="00000000">
      <w:pPr>
        <w:pStyle w:val="Bodytext10"/>
        <w:numPr>
          <w:ilvl w:val="1"/>
          <w:numId w:val="3"/>
        </w:numPr>
        <w:tabs>
          <w:tab w:val="left" w:pos="497"/>
        </w:tabs>
        <w:spacing w:after="0" w:line="307" w:lineRule="auto"/>
        <w:ind w:left="480" w:hanging="480"/>
        <w:jc w:val="both"/>
        <w:sectPr w:rsidR="008B0FD4">
          <w:footerReference w:type="even" r:id="rId13"/>
          <w:footerReference w:type="default" r:id="rId14"/>
          <w:pgSz w:w="11900" w:h="16840"/>
          <w:pgMar w:top="999" w:right="1018" w:bottom="867" w:left="852" w:header="0" w:footer="3" w:gutter="0"/>
          <w:cols w:num="2" w:space="180"/>
          <w:noEndnote/>
          <w:docGrid w:linePitch="360"/>
        </w:sectPr>
      </w:pPr>
      <w:r>
        <w:rPr>
          <w:rStyle w:val="Bodytext1"/>
        </w:rPr>
        <w:t>Není-li pohledávka zaplacena ve stanoveném nebo dohod</w:t>
      </w:r>
      <w:r>
        <w:rPr>
          <w:rStyle w:val="Bodytext1"/>
        </w:rPr>
        <w:softHyphen/>
        <w:t>nutém termínu, je Banka oprávněna úročit ji namísto sjed</w:t>
      </w:r>
      <w:r>
        <w:rPr>
          <w:rStyle w:val="Bodytext1"/>
        </w:rPr>
        <w:softHyphen/>
        <w:t>naných úroků úroky z prodlení, a to ode dne vzniku prodlení až do dne předcházejícího dni, ve kterém dojde k úplnému splacení dlužné částky. Přitom platí, že nezaplacené úroky se stávají součástí jistiny. Sazba úroků z prodlení pro pohledávky Banky v české měně je stanovena ve výši pětinásobku sazby vyhlašované Českou národní bankou jako lombardní sazba pro českou měnu v průběhu trvání prodlení. Sazba úroků z pro</w:t>
      </w:r>
      <w:r>
        <w:rPr>
          <w:rStyle w:val="Bodytext1"/>
        </w:rPr>
        <w:softHyphen/>
        <w:t>dlení pro pohledávky Banky v cizích měnách je stanovena ve výši pětinásobku sazby vyhlašované centrální bankou země</w:t>
      </w:r>
    </w:p>
    <w:p w14:paraId="0908941E" w14:textId="77777777" w:rsidR="008B0FD4" w:rsidRDefault="008B0FD4">
      <w:pPr>
        <w:spacing w:line="168" w:lineRule="exact"/>
        <w:rPr>
          <w:sz w:val="13"/>
          <w:szCs w:val="13"/>
        </w:rPr>
      </w:pPr>
    </w:p>
    <w:p w14:paraId="2926F687" w14:textId="77777777" w:rsidR="008B0FD4" w:rsidRDefault="008B0FD4">
      <w:pPr>
        <w:spacing w:line="1" w:lineRule="exact"/>
        <w:sectPr w:rsidR="008B0FD4">
          <w:type w:val="continuous"/>
          <w:pgSz w:w="11900" w:h="16840"/>
          <w:pgMar w:top="999" w:right="0" w:bottom="867" w:left="0" w:header="0" w:footer="3" w:gutter="0"/>
          <w:cols w:space="720"/>
          <w:noEndnote/>
          <w:docGrid w:linePitch="360"/>
        </w:sectPr>
      </w:pPr>
    </w:p>
    <w:p w14:paraId="56CC524A" w14:textId="77777777" w:rsidR="008B0FD4" w:rsidRDefault="00000000">
      <w:pPr>
        <w:pStyle w:val="Bodytext20"/>
        <w:spacing w:line="240" w:lineRule="auto"/>
        <w:jc w:val="both"/>
      </w:pPr>
      <w:r>
        <w:rPr>
          <w:rStyle w:val="Bodytext2"/>
        </w:rPr>
        <w:t xml:space="preserve">UniCredit Bank </w:t>
      </w:r>
      <w:proofErr w:type="spellStart"/>
      <w:r>
        <w:rPr>
          <w:rStyle w:val="Bodytext2"/>
        </w:rPr>
        <w:t>CzechRepublic</w:t>
      </w:r>
      <w:proofErr w:type="spellEnd"/>
      <w:r>
        <w:rPr>
          <w:rStyle w:val="Bodytext2"/>
        </w:rPr>
        <w:t xml:space="preserve"> and </w:t>
      </w:r>
      <w:proofErr w:type="spellStart"/>
      <w:proofErr w:type="gramStart"/>
      <w:r>
        <w:rPr>
          <w:rStyle w:val="Bodytext2"/>
        </w:rPr>
        <w:t>Slovakia,a.s.</w:t>
      </w:r>
      <w:proofErr w:type="gramEnd"/>
      <w:r>
        <w:rPr>
          <w:rStyle w:val="Bodytext2"/>
        </w:rPr>
        <w:t>,želetavská</w:t>
      </w:r>
      <w:proofErr w:type="spellEnd"/>
      <w:r>
        <w:rPr>
          <w:rStyle w:val="Bodytext2"/>
        </w:rPr>
        <w:t xml:space="preserve"> 1525/1,140 92 Praha 4- Michle, IČO 64943242, zapsaná v obchodním rejstříku vedeném Městským soudem v Praze, oddíl B, vložka 3608.</w:t>
      </w:r>
    </w:p>
    <w:p w14:paraId="777DB207" w14:textId="77777777" w:rsidR="008B0FD4" w:rsidRDefault="00000000">
      <w:pPr>
        <w:pStyle w:val="Bodytext20"/>
        <w:spacing w:line="240" w:lineRule="auto"/>
        <w:sectPr w:rsidR="008B0FD4">
          <w:type w:val="continuous"/>
          <w:pgSz w:w="11900" w:h="16840"/>
          <w:pgMar w:top="999" w:right="1018" w:bottom="867" w:left="845" w:header="0" w:footer="3" w:gutter="0"/>
          <w:cols w:space="720"/>
          <w:noEndnote/>
          <w:docGrid w:linePitch="360"/>
        </w:sectPr>
      </w:pPr>
      <w:hyperlink r:id="rId15" w:history="1">
        <w:r>
          <w:rPr>
            <w:rStyle w:val="Bodytext2"/>
            <w:lang w:val="en-US" w:eastAsia="en-US" w:bidi="en-US"/>
          </w:rPr>
          <w:t>www.unicreditbank.cz</w:t>
        </w:r>
      </w:hyperlink>
      <w:r>
        <w:rPr>
          <w:rStyle w:val="Bodytext2"/>
          <w:lang w:val="en-US" w:eastAsia="en-US" w:bidi="en-US"/>
        </w:rPr>
        <w:t>.</w:t>
      </w:r>
    </w:p>
    <w:p w14:paraId="2C23ABE2" w14:textId="77777777" w:rsidR="008B0FD4" w:rsidRDefault="008B0FD4">
      <w:pPr>
        <w:spacing w:line="240" w:lineRule="exact"/>
        <w:rPr>
          <w:sz w:val="19"/>
          <w:szCs w:val="19"/>
        </w:rPr>
      </w:pPr>
    </w:p>
    <w:p w14:paraId="6F85C1F5" w14:textId="77777777" w:rsidR="008B0FD4" w:rsidRDefault="008B0FD4">
      <w:pPr>
        <w:spacing w:before="69" w:after="69" w:line="240" w:lineRule="exact"/>
        <w:rPr>
          <w:sz w:val="19"/>
          <w:szCs w:val="19"/>
        </w:rPr>
      </w:pPr>
    </w:p>
    <w:p w14:paraId="796ED16E" w14:textId="77777777" w:rsidR="008B0FD4" w:rsidRDefault="008B0FD4">
      <w:pPr>
        <w:spacing w:line="1" w:lineRule="exact"/>
        <w:sectPr w:rsidR="008B0FD4">
          <w:pgSz w:w="11900" w:h="16840"/>
          <w:pgMar w:top="626" w:right="956" w:bottom="1196" w:left="939" w:header="0" w:footer="3" w:gutter="0"/>
          <w:cols w:num="2" w:space="169"/>
          <w:noEndnote/>
          <w:docGrid w:linePitch="360"/>
        </w:sectPr>
      </w:pPr>
    </w:p>
    <w:p w14:paraId="2B656BDD" w14:textId="77777777" w:rsidR="008B0FD4" w:rsidRDefault="00000000">
      <w:pPr>
        <w:pStyle w:val="Bodytext10"/>
        <w:spacing w:line="307" w:lineRule="auto"/>
        <w:ind w:left="480"/>
        <w:jc w:val="both"/>
      </w:pPr>
      <w:r>
        <w:rPr>
          <w:rStyle w:val="Bodytext1"/>
        </w:rPr>
        <w:t>příslušné měny jako lombardní nebojí odpovídající sazba pro danou měnu v průběhů trvání prodlení. Je-li však pětinásobek takové výše uvedené (lombardní nebo obdobné) sazby nižší než 20 % p. a., je Banka oprávněna úročit dlužné částky pev</w:t>
      </w:r>
      <w:r>
        <w:rPr>
          <w:rStyle w:val="Bodytext1"/>
        </w:rPr>
        <w:softHyphen/>
        <w:t>nou sazbou úroků z prodlení ve výši 20 % p. a. Při výpočtu úroků z prodlení se vychází z délky kalendářního roku 360 dní a skutečného počtu dní trvání prodlení.</w:t>
      </w:r>
    </w:p>
    <w:p w14:paraId="6CE7BD59" w14:textId="77777777" w:rsidR="008B0FD4" w:rsidRDefault="00000000">
      <w:pPr>
        <w:pStyle w:val="Bodytext10"/>
        <w:numPr>
          <w:ilvl w:val="1"/>
          <w:numId w:val="3"/>
        </w:numPr>
        <w:tabs>
          <w:tab w:val="left" w:pos="485"/>
        </w:tabs>
        <w:spacing w:line="300" w:lineRule="auto"/>
        <w:ind w:left="480" w:hanging="480"/>
        <w:jc w:val="both"/>
      </w:pPr>
      <w:r>
        <w:rPr>
          <w:rStyle w:val="Bodytext1"/>
        </w:rPr>
        <w:t xml:space="preserve">Úrok z prodlení je splatný denně. </w:t>
      </w:r>
      <w:proofErr w:type="spellStart"/>
      <w:r>
        <w:rPr>
          <w:rStyle w:val="Bodytext1"/>
        </w:rPr>
        <w:t>Baňkaje</w:t>
      </w:r>
      <w:proofErr w:type="spellEnd"/>
      <w:r>
        <w:rPr>
          <w:rStyle w:val="Bodytext1"/>
        </w:rPr>
        <w:t xml:space="preserve"> oprávněna úroky z pro</w:t>
      </w:r>
      <w:r>
        <w:rPr>
          <w:rStyle w:val="Bodytext1"/>
        </w:rPr>
        <w:softHyphen/>
        <w:t>dlení kdykoli vyúčtovat v plné výši za celou dobu prodlení.</w:t>
      </w:r>
    </w:p>
    <w:p w14:paraId="1157E4CA" w14:textId="77777777" w:rsidR="008B0FD4" w:rsidRDefault="00000000">
      <w:pPr>
        <w:pStyle w:val="Bodytext10"/>
        <w:numPr>
          <w:ilvl w:val="1"/>
          <w:numId w:val="3"/>
        </w:numPr>
        <w:tabs>
          <w:tab w:val="left" w:pos="485"/>
        </w:tabs>
        <w:spacing w:after="400" w:line="307" w:lineRule="auto"/>
        <w:ind w:left="480" w:hanging="480"/>
        <w:jc w:val="both"/>
      </w:pPr>
      <w:r>
        <w:rPr>
          <w:rStyle w:val="Bodytext1"/>
        </w:rPr>
        <w:t xml:space="preserve">Akceptací Obecných obchodních podmínek Klient souhlasí s tím, že práva Banky ze smluvních vztahů s Klientem nebo s takovými smluvními vztahy související se </w:t>
      </w:r>
      <w:proofErr w:type="gramStart"/>
      <w:r>
        <w:rPr>
          <w:rStyle w:val="Bodytext1"/>
        </w:rPr>
        <w:t>promlčí</w:t>
      </w:r>
      <w:proofErr w:type="gramEnd"/>
      <w:r>
        <w:rPr>
          <w:rStyle w:val="Bodytext1"/>
        </w:rPr>
        <w:t xml:space="preserve"> ve lhůtě deseti let ode dne, kdy Banka mohla takové právo uplatnit poprvé.</w:t>
      </w:r>
    </w:p>
    <w:p w14:paraId="73F0CAC2" w14:textId="77777777" w:rsidR="008B0FD4" w:rsidRDefault="00000000">
      <w:pPr>
        <w:pStyle w:val="Bodytext10"/>
        <w:numPr>
          <w:ilvl w:val="0"/>
          <w:numId w:val="3"/>
        </w:numPr>
        <w:tabs>
          <w:tab w:val="left" w:pos="485"/>
        </w:tabs>
        <w:spacing w:line="307" w:lineRule="auto"/>
        <w:jc w:val="both"/>
      </w:pPr>
      <w:r>
        <w:rPr>
          <w:rStyle w:val="Bodytext1"/>
          <w:color w:val="CC5E72"/>
        </w:rPr>
        <w:t>ZAJIŠTĚNÍ</w:t>
      </w:r>
    </w:p>
    <w:p w14:paraId="779F6936" w14:textId="77777777" w:rsidR="008B0FD4" w:rsidRDefault="00000000">
      <w:pPr>
        <w:pStyle w:val="Bodytext10"/>
        <w:numPr>
          <w:ilvl w:val="1"/>
          <w:numId w:val="3"/>
        </w:numPr>
        <w:tabs>
          <w:tab w:val="left" w:pos="485"/>
        </w:tabs>
        <w:spacing w:line="307" w:lineRule="auto"/>
        <w:ind w:left="480" w:hanging="480"/>
        <w:jc w:val="both"/>
      </w:pPr>
      <w:r>
        <w:rPr>
          <w:rStyle w:val="Bodytext1"/>
        </w:rPr>
        <w:t xml:space="preserve">Vyplývá-li z charakteru poskytované bankovní služby možnost vzniku peněžitého dluhu Klienta vůči Bance, je Banka oprávněna kdykoli v průběhu trvání smluvního vztahu požadovat zajištění, resp. </w:t>
      </w:r>
      <w:proofErr w:type="spellStart"/>
      <w:r>
        <w:rPr>
          <w:rStyle w:val="Bodytext1"/>
        </w:rPr>
        <w:t>dozajištění</w:t>
      </w:r>
      <w:proofErr w:type="spellEnd"/>
      <w:r>
        <w:rPr>
          <w:rStyle w:val="Bodytext1"/>
        </w:rPr>
        <w:t>, současných, budoucích i podmíněných dluhů Klienta. Klient je povinen opatřit jistotu, resp. dodatečnou jisto</w:t>
      </w:r>
      <w:r>
        <w:rPr>
          <w:rStyle w:val="Bodytext1"/>
        </w:rPr>
        <w:softHyphen/>
        <w:t>tu, ve formě, kvalitě a hodnotě stanovených Bankou. Banka je oprávněna požadovat zajištění případných budoucích či podmí</w:t>
      </w:r>
      <w:r>
        <w:rPr>
          <w:rStyle w:val="Bodytext1"/>
        </w:rPr>
        <w:softHyphen/>
        <w:t>něných dluhů Klienta vůči Bance jako podmínku svého plnění ve prospěch Klienta.</w:t>
      </w:r>
    </w:p>
    <w:p w14:paraId="39943CD2" w14:textId="77777777" w:rsidR="008B0FD4" w:rsidRDefault="00000000">
      <w:pPr>
        <w:pStyle w:val="Bodytext10"/>
        <w:numPr>
          <w:ilvl w:val="1"/>
          <w:numId w:val="3"/>
        </w:numPr>
        <w:tabs>
          <w:tab w:val="left" w:pos="485"/>
        </w:tabs>
        <w:ind w:left="480" w:hanging="480"/>
        <w:jc w:val="both"/>
      </w:pPr>
      <w:r>
        <w:rPr>
          <w:rStyle w:val="Bodytext1"/>
        </w:rPr>
        <w:t>Klient je povinen kdykoli na žádost Banky opatřit, a to i opakova</w:t>
      </w:r>
      <w:r>
        <w:rPr>
          <w:rStyle w:val="Bodytext1"/>
        </w:rPr>
        <w:softHyphen/>
        <w:t>ně, bez zbytečného odkladu a na vlastní náklady, ocenění jisto</w:t>
      </w:r>
      <w:r>
        <w:rPr>
          <w:rStyle w:val="Bodytext1"/>
        </w:rPr>
        <w:softHyphen/>
        <w:t>ty, a to znalcem vybraným ze seznamu vedeného Bankou nebo jiným znalcem, který byl předem Bankou odsouhlasen. Ocenění jistoty může být provedeno též Bankou. Je-li Klient nečinný, je Banka oprávněna provést ocenění jistoty sama nebo jeho pro</w:t>
      </w:r>
      <w:r>
        <w:rPr>
          <w:rStyle w:val="Bodytext1"/>
        </w:rPr>
        <w:softHyphen/>
        <w:t>vedení na náklady Klienta zajistit. V odůvodněných případech je Banka oprávněna opatřit na náklady Klienta revizní ocenění jis</w:t>
      </w:r>
      <w:r>
        <w:rPr>
          <w:rStyle w:val="Bodytext1"/>
        </w:rPr>
        <w:softHyphen/>
        <w:t xml:space="preserve">toty. Provede-li ocenění jistoty či revizi ocenění </w:t>
      </w:r>
      <w:proofErr w:type="spellStart"/>
      <w:r>
        <w:rPr>
          <w:rStyle w:val="Bodytext1"/>
        </w:rPr>
        <w:t>Baňkaje</w:t>
      </w:r>
      <w:proofErr w:type="spellEnd"/>
      <w:r>
        <w:rPr>
          <w:rStyle w:val="Bodytext1"/>
        </w:rPr>
        <w:t xml:space="preserve"> Klient povinen náklady spojené s vypracováním ocenění jistoty či revize ocenění Bance uhradit.</w:t>
      </w:r>
    </w:p>
    <w:p w14:paraId="06EE160A" w14:textId="77777777" w:rsidR="008B0FD4" w:rsidRDefault="00000000">
      <w:pPr>
        <w:pStyle w:val="Bodytext10"/>
        <w:numPr>
          <w:ilvl w:val="1"/>
          <w:numId w:val="3"/>
        </w:numPr>
        <w:tabs>
          <w:tab w:val="left" w:pos="485"/>
        </w:tabs>
        <w:spacing w:after="400" w:line="312" w:lineRule="auto"/>
        <w:ind w:left="480" w:hanging="480"/>
        <w:jc w:val="both"/>
      </w:pPr>
      <w:r>
        <w:rPr>
          <w:rStyle w:val="Bodytext1"/>
        </w:rPr>
        <w:t>Veškeré náklady, které vzniknou v souvislosti se vznikem, sprá</w:t>
      </w:r>
      <w:r>
        <w:rPr>
          <w:rStyle w:val="Bodytext1"/>
        </w:rPr>
        <w:softHyphen/>
        <w:t>vou, případně realizací jistoty (např. skladné, úschovné, pojist</w:t>
      </w:r>
      <w:r>
        <w:rPr>
          <w:rStyle w:val="Bodytext1"/>
        </w:rPr>
        <w:softHyphen/>
        <w:t>né, zprostředkovatelské provize, náklady soudního řízení), hradí Klient.</w:t>
      </w:r>
    </w:p>
    <w:p w14:paraId="76D037A0" w14:textId="77777777" w:rsidR="008B0FD4" w:rsidRDefault="00000000">
      <w:pPr>
        <w:pStyle w:val="Bodytext10"/>
        <w:numPr>
          <w:ilvl w:val="0"/>
          <w:numId w:val="3"/>
        </w:numPr>
        <w:tabs>
          <w:tab w:val="left" w:pos="485"/>
        </w:tabs>
        <w:spacing w:line="307" w:lineRule="auto"/>
        <w:jc w:val="both"/>
      </w:pPr>
      <w:r>
        <w:rPr>
          <w:rStyle w:val="Bodytext1"/>
          <w:color w:val="CC5E72"/>
        </w:rPr>
        <w:t>BANKOVNÍ TAJEMSTVÍ A OCHRANA OSOBNÍCH ÚDAJŮ</w:t>
      </w:r>
    </w:p>
    <w:p w14:paraId="2CF2E598" w14:textId="77777777" w:rsidR="008B0FD4" w:rsidRDefault="00000000">
      <w:pPr>
        <w:pStyle w:val="Bodytext10"/>
        <w:numPr>
          <w:ilvl w:val="1"/>
          <w:numId w:val="3"/>
        </w:numPr>
        <w:tabs>
          <w:tab w:val="left" w:pos="485"/>
        </w:tabs>
        <w:spacing w:line="307" w:lineRule="auto"/>
        <w:ind w:left="480" w:hanging="480"/>
        <w:jc w:val="both"/>
      </w:pPr>
      <w:r>
        <w:rPr>
          <w:rStyle w:val="Bodytext1"/>
        </w:rPr>
        <w:t>Banka zaručuje zachovávání bankovního tajemství a ochranu zákonem chráněných údajů ve smyslu aktuální právní úpravy a smlouvy s Klientem, a to i po ukončení smluvního vztahu. Klient bere na vědomí oprávnění i povinnost Banky a jiných čle</w:t>
      </w:r>
      <w:r>
        <w:rPr>
          <w:rStyle w:val="Bodytext1"/>
        </w:rPr>
        <w:softHyphen/>
        <w:t>nů skupiny UniCredit poskytovat informace v rozsahu a za pod</w:t>
      </w:r>
      <w:r>
        <w:rPr>
          <w:rStyle w:val="Bodytext1"/>
        </w:rPr>
        <w:softHyphen/>
        <w:t>mínek stanovených příslušnými tuzemskými nebo zahraničními právními předpisy. Klient akceptací Obecných obchodních pod</w:t>
      </w:r>
      <w:r>
        <w:rPr>
          <w:rStyle w:val="Bodytext1"/>
        </w:rPr>
        <w:softHyphen/>
        <w:t>mínek dále souhlasí s tím, že informace, které se týkají Klienta (vč. jeho úplné identifikace) a jsou předmětem bankovního ta</w:t>
      </w:r>
      <w:r>
        <w:rPr>
          <w:rStyle w:val="Bodytext1"/>
        </w:rPr>
        <w:softHyphen/>
        <w:t>jemství, mohou být zpřístupněny osobám spolupracujícím s Ban</w:t>
      </w:r>
      <w:r>
        <w:rPr>
          <w:rStyle w:val="Bodytext1"/>
        </w:rPr>
        <w:softHyphen/>
        <w:t>kou na plnění jejích povinností vyplývajících ze smluv uzavřených s Klientem ohledně jednotlivých bankovních obchodů. Dále je Banka za podmínek dohodnutých s Klientem oprávněna poskyt</w:t>
      </w:r>
      <w:r>
        <w:rPr>
          <w:rStyle w:val="Bodytext1"/>
        </w:rPr>
        <w:softHyphen/>
        <w:t>nout třetím osobám na jejich žádost nebo žádost Klienta takové bankovní informace, k jejichž poskytnutí dal Klient souhlas.</w:t>
      </w:r>
    </w:p>
    <w:p w14:paraId="7D5EC46B" w14:textId="77777777" w:rsidR="008B0FD4" w:rsidRDefault="00000000">
      <w:pPr>
        <w:pStyle w:val="Bodytext10"/>
        <w:numPr>
          <w:ilvl w:val="1"/>
          <w:numId w:val="3"/>
        </w:numPr>
        <w:tabs>
          <w:tab w:val="left" w:pos="485"/>
        </w:tabs>
        <w:spacing w:line="312" w:lineRule="auto"/>
        <w:ind w:left="480" w:hanging="480"/>
        <w:jc w:val="both"/>
      </w:pPr>
      <w:r>
        <w:rPr>
          <w:rStyle w:val="Bodytext1"/>
        </w:rPr>
        <w:t>Detailní informace o zpracování osobních údajů a údajů tvořících bankovní tajemství jsou obsahem dokumentu Poučení o zpraco</w:t>
      </w:r>
      <w:r>
        <w:rPr>
          <w:rStyle w:val="Bodytext1"/>
        </w:rPr>
        <w:softHyphen/>
        <w:t>vání osobních údajů, který je zveřejněn na webových stránkách Banky.</w:t>
      </w:r>
    </w:p>
    <w:p w14:paraId="37A232A9" w14:textId="77777777" w:rsidR="008B0FD4" w:rsidRDefault="00000000">
      <w:pPr>
        <w:pStyle w:val="Bodytext10"/>
        <w:numPr>
          <w:ilvl w:val="1"/>
          <w:numId w:val="3"/>
        </w:numPr>
        <w:tabs>
          <w:tab w:val="left" w:pos="478"/>
        </w:tabs>
        <w:spacing w:after="400"/>
        <w:ind w:left="460" w:hanging="460"/>
        <w:jc w:val="both"/>
      </w:pPr>
      <w:r>
        <w:rPr>
          <w:rStyle w:val="Bodytext1"/>
        </w:rPr>
        <w:t>Pravdivost údajů poskytnutých Bance je Klient povinen na její vý</w:t>
      </w:r>
      <w:r>
        <w:rPr>
          <w:rStyle w:val="Bodytext1"/>
        </w:rPr>
        <w:softHyphen/>
        <w:t>zvu a ve formě jí požadované kdykoli prokázat. Předáním jakékoli právně významné informace vztahující se k zakládanému či exis</w:t>
      </w:r>
      <w:r>
        <w:rPr>
          <w:rStyle w:val="Bodytext1"/>
        </w:rPr>
        <w:softHyphen/>
        <w:t>tujícímu smluvnímu vztahu s Bankou Klient zároveň uděluje Bance svolení k tomu, aby si uváděné údaje vhodným způsobem ověřila.</w:t>
      </w:r>
    </w:p>
    <w:p w14:paraId="647E458C" w14:textId="77777777" w:rsidR="008B0FD4" w:rsidRDefault="00000000">
      <w:pPr>
        <w:pStyle w:val="Bodytext10"/>
        <w:numPr>
          <w:ilvl w:val="0"/>
          <w:numId w:val="3"/>
        </w:numPr>
        <w:tabs>
          <w:tab w:val="left" w:pos="478"/>
        </w:tabs>
        <w:spacing w:line="307" w:lineRule="auto"/>
        <w:jc w:val="both"/>
      </w:pPr>
      <w:r>
        <w:rPr>
          <w:rStyle w:val="Bodytext1"/>
          <w:color w:val="CC5E72"/>
        </w:rPr>
        <w:t>ODPOVĚDNOST</w:t>
      </w:r>
    </w:p>
    <w:p w14:paraId="5B3F08FD" w14:textId="77777777" w:rsidR="008B0FD4" w:rsidRDefault="00000000">
      <w:pPr>
        <w:pStyle w:val="Bodytext10"/>
        <w:numPr>
          <w:ilvl w:val="1"/>
          <w:numId w:val="3"/>
        </w:numPr>
        <w:tabs>
          <w:tab w:val="left" w:pos="478"/>
        </w:tabs>
        <w:spacing w:line="307" w:lineRule="auto"/>
        <w:ind w:left="460" w:hanging="460"/>
        <w:jc w:val="both"/>
      </w:pPr>
      <w:r>
        <w:rPr>
          <w:rStyle w:val="Bodytext1"/>
        </w:rPr>
        <w:t xml:space="preserve">Nestanoví-li zákon, Obecné obchodní podmínky, případně </w:t>
      </w:r>
      <w:proofErr w:type="gramStart"/>
      <w:r>
        <w:rPr>
          <w:rStyle w:val="Bodytext1"/>
        </w:rPr>
        <w:t xml:space="preserve">pro- </w:t>
      </w:r>
      <w:proofErr w:type="spellStart"/>
      <w:r>
        <w:rPr>
          <w:rStyle w:val="Bodytext1"/>
        </w:rPr>
        <w:t>duktové</w:t>
      </w:r>
      <w:proofErr w:type="spellEnd"/>
      <w:proofErr w:type="gramEnd"/>
      <w:r>
        <w:rPr>
          <w:rStyle w:val="Bodytext1"/>
        </w:rPr>
        <w:t xml:space="preserve"> podmínky nebo konkrétní smluvní ujednání jinak, odpo</w:t>
      </w:r>
      <w:r>
        <w:rPr>
          <w:rStyle w:val="Bodytext1"/>
        </w:rPr>
        <w:softHyphen/>
        <w:t xml:space="preserve">vídá Banka pouze za skutečnou škodu, kterou způsobila úmyslně nebo z hrubé nedbalosti. </w:t>
      </w:r>
      <w:r>
        <w:rPr>
          <w:rStyle w:val="Bodytext1"/>
        </w:rPr>
        <w:t>Za ušlý zisk Banka neodpovídá.</w:t>
      </w:r>
    </w:p>
    <w:p w14:paraId="1C48B8CA" w14:textId="77777777" w:rsidR="008B0FD4" w:rsidRDefault="00000000">
      <w:pPr>
        <w:pStyle w:val="Bodytext10"/>
        <w:numPr>
          <w:ilvl w:val="1"/>
          <w:numId w:val="3"/>
        </w:numPr>
        <w:tabs>
          <w:tab w:val="left" w:pos="478"/>
        </w:tabs>
        <w:ind w:left="460" w:hanging="460"/>
        <w:jc w:val="both"/>
      </w:pPr>
      <w:r>
        <w:rPr>
          <w:rStyle w:val="Bodytext1"/>
        </w:rPr>
        <w:t>V případě neexistence zvláštních ujednání Banka nepřebírá jiné povinnosti, s výjimkou těch, které jsou uvedeny v Obecných obchodních podmínkách, případně produktových podmínkách nebo konkrétním smluvním ujednání nebo které vyplývají z obec</w:t>
      </w:r>
      <w:r>
        <w:rPr>
          <w:rStyle w:val="Bodytext1"/>
        </w:rPr>
        <w:softHyphen/>
        <w:t>ně závazných právních předpisů.</w:t>
      </w:r>
    </w:p>
    <w:p w14:paraId="2CE5DFEC" w14:textId="77777777" w:rsidR="008B0FD4" w:rsidRDefault="00000000">
      <w:pPr>
        <w:pStyle w:val="Bodytext10"/>
        <w:numPr>
          <w:ilvl w:val="1"/>
          <w:numId w:val="3"/>
        </w:numPr>
        <w:tabs>
          <w:tab w:val="left" w:pos="478"/>
        </w:tabs>
        <w:spacing w:line="307" w:lineRule="auto"/>
        <w:ind w:left="460" w:hanging="460"/>
        <w:jc w:val="both"/>
      </w:pPr>
      <w:r>
        <w:rPr>
          <w:rStyle w:val="Bodytext1"/>
        </w:rPr>
        <w:t>Banka v případě poskytování služeb prostřednictvím veřejných komunikačních sítí telekomunikačních společností, pošty nebo jiného Bankou nekontrolovaného subjektu neodpovídá za škodu vzniklou v důsledku zneužití přepravovaných informací, z důvo</w:t>
      </w:r>
      <w:r>
        <w:rPr>
          <w:rStyle w:val="Bodytext1"/>
        </w:rPr>
        <w:softHyphen/>
        <w:t>du chybných procesů, technických závad, poruch systému, pro</w:t>
      </w:r>
      <w:r>
        <w:rPr>
          <w:rStyle w:val="Bodytext1"/>
        </w:rPr>
        <w:softHyphen/>
        <w:t>tiprávní činnosti či jiných nedostatků a pochybení vzniklých na straně těchto subjektů.</w:t>
      </w:r>
    </w:p>
    <w:p w14:paraId="09CC1F9A" w14:textId="77777777" w:rsidR="008B0FD4" w:rsidRDefault="00000000">
      <w:pPr>
        <w:pStyle w:val="Bodytext10"/>
        <w:numPr>
          <w:ilvl w:val="1"/>
          <w:numId w:val="3"/>
        </w:numPr>
        <w:tabs>
          <w:tab w:val="left" w:pos="478"/>
        </w:tabs>
        <w:spacing w:line="307" w:lineRule="auto"/>
        <w:ind w:left="460" w:hanging="460"/>
        <w:jc w:val="both"/>
      </w:pPr>
      <w:r>
        <w:rPr>
          <w:rStyle w:val="Bodytext1"/>
        </w:rPr>
        <w:t>Banka neodpovídá za škodu způsobenou protiprávním jednáním Klienta nebo třetí osoby (např. byla-li jí předložena padělaná lis</w:t>
      </w:r>
      <w:r>
        <w:rPr>
          <w:rStyle w:val="Bodytext1"/>
        </w:rPr>
        <w:softHyphen/>
        <w:t>tina nebo byla-li Banka jiným způsobem uvedena v omyl), s vý</w:t>
      </w:r>
      <w:r>
        <w:rPr>
          <w:rStyle w:val="Bodytext1"/>
        </w:rPr>
        <w:softHyphen/>
        <w:t>jimkou škody vzniklé v důsledku hrubé nedbalosti Banky.</w:t>
      </w:r>
    </w:p>
    <w:p w14:paraId="76E519A1" w14:textId="77777777" w:rsidR="008B0FD4" w:rsidRDefault="00000000">
      <w:pPr>
        <w:pStyle w:val="Bodytext10"/>
        <w:numPr>
          <w:ilvl w:val="1"/>
          <w:numId w:val="3"/>
        </w:numPr>
        <w:tabs>
          <w:tab w:val="left" w:pos="478"/>
        </w:tabs>
        <w:spacing w:line="307" w:lineRule="auto"/>
        <w:ind w:left="460" w:hanging="460"/>
        <w:jc w:val="both"/>
      </w:pPr>
      <w:r>
        <w:rPr>
          <w:rStyle w:val="Bodytext1"/>
        </w:rPr>
        <w:t>Banka nenese odpovědnost za důsledky Klientových rozhodnutí a postupů, a to ani kdyby byly činěny s odvoláním na názor Ban</w:t>
      </w:r>
      <w:r>
        <w:rPr>
          <w:rStyle w:val="Bodytext1"/>
        </w:rPr>
        <w:softHyphen/>
        <w:t>ky, nestanoví-li právní předpis jinak. Banka nenese odpovědnost za podnikání Klienta ani za účel použití peněžních prostředků.</w:t>
      </w:r>
    </w:p>
    <w:p w14:paraId="4E1528A7" w14:textId="77777777" w:rsidR="008B0FD4" w:rsidRDefault="00000000">
      <w:pPr>
        <w:pStyle w:val="Bodytext10"/>
        <w:numPr>
          <w:ilvl w:val="1"/>
          <w:numId w:val="3"/>
        </w:numPr>
        <w:tabs>
          <w:tab w:val="left" w:pos="478"/>
        </w:tabs>
        <w:ind w:left="460" w:hanging="460"/>
        <w:jc w:val="both"/>
      </w:pPr>
      <w:r>
        <w:rPr>
          <w:rStyle w:val="Bodytext1"/>
        </w:rPr>
        <w:t>Banka neodpovídá za škodu vzniklou tím, že nejednala podle pokynu nebo jiného právního jednání Klienta, pokud měla dů</w:t>
      </w:r>
      <w:r>
        <w:rPr>
          <w:rStyle w:val="Bodytext1"/>
        </w:rPr>
        <w:softHyphen/>
        <w:t>vod pochybovat o jeho oprávněnosti nebo platnosti, pokud měla důvod se domnívat, že nemá všechny náležitosti, nebo pokud by v důsledku takového jejího jednání mohl být porušen právní předpis.</w:t>
      </w:r>
    </w:p>
    <w:p w14:paraId="1CC56F8D" w14:textId="77777777" w:rsidR="008B0FD4" w:rsidRDefault="00000000">
      <w:pPr>
        <w:pStyle w:val="Bodytext10"/>
        <w:numPr>
          <w:ilvl w:val="1"/>
          <w:numId w:val="3"/>
        </w:numPr>
        <w:tabs>
          <w:tab w:val="left" w:pos="478"/>
        </w:tabs>
        <w:spacing w:line="300" w:lineRule="auto"/>
        <w:ind w:left="460" w:hanging="460"/>
        <w:jc w:val="both"/>
      </w:pPr>
      <w:r>
        <w:rPr>
          <w:rStyle w:val="Bodytext1"/>
        </w:rPr>
        <w:t>Banka neodpovídá za škodu vzniklou v důsledku toho, že jí Klient včas neoznámil zánik práva zástupce za něho jednat.</w:t>
      </w:r>
    </w:p>
    <w:p w14:paraId="5D5548BE" w14:textId="77777777" w:rsidR="008B0FD4" w:rsidRDefault="00000000">
      <w:pPr>
        <w:pStyle w:val="Bodytext10"/>
        <w:numPr>
          <w:ilvl w:val="1"/>
          <w:numId w:val="3"/>
        </w:numPr>
        <w:tabs>
          <w:tab w:val="left" w:pos="478"/>
        </w:tabs>
        <w:spacing w:line="312" w:lineRule="auto"/>
        <w:ind w:left="460" w:hanging="460"/>
        <w:jc w:val="both"/>
      </w:pPr>
      <w:r>
        <w:rPr>
          <w:rStyle w:val="Bodytext1"/>
        </w:rPr>
        <w:t>Banka neodpovídá za škodu vzniklou v důsledku toho, že se včas nedozvěděla o Klientově omezení svéprávnosti či o jiných ome</w:t>
      </w:r>
      <w:r>
        <w:rPr>
          <w:rStyle w:val="Bodytext1"/>
        </w:rPr>
        <w:softHyphen/>
        <w:t>zeních oprávnění Klienta nebo osob oprávněných za Klienta práv</w:t>
      </w:r>
      <w:r>
        <w:rPr>
          <w:rStyle w:val="Bodytext1"/>
        </w:rPr>
        <w:softHyphen/>
        <w:t>ně jednat.</w:t>
      </w:r>
    </w:p>
    <w:p w14:paraId="2BD476AB" w14:textId="77777777" w:rsidR="008B0FD4" w:rsidRDefault="00000000">
      <w:pPr>
        <w:pStyle w:val="Bodytext10"/>
        <w:numPr>
          <w:ilvl w:val="1"/>
          <w:numId w:val="3"/>
        </w:numPr>
        <w:tabs>
          <w:tab w:val="left" w:pos="478"/>
        </w:tabs>
        <w:spacing w:line="307" w:lineRule="auto"/>
        <w:ind w:left="460" w:hanging="460"/>
        <w:jc w:val="both"/>
      </w:pPr>
      <w:r>
        <w:rPr>
          <w:rStyle w:val="Bodytext1"/>
        </w:rPr>
        <w:t>Banka není povinna poučit Klienta, nestanoví-li jí tuto povin</w:t>
      </w:r>
      <w:r>
        <w:rPr>
          <w:rStyle w:val="Bodytext1"/>
        </w:rPr>
        <w:softHyphen/>
        <w:t>nost právní předpis, o kurzovém riziku ani o jiných možných důsledcích jím prováděných finančních operací nebo dalších bankovních obchodů či o hodnotě předmětů předaných Bance k úschově. Ani v těchto případech Banka nenese odpovědnost za důsledky Klientových rozhodnutí a zvolených postupů.</w:t>
      </w:r>
    </w:p>
    <w:p w14:paraId="10D94934" w14:textId="77777777" w:rsidR="008B0FD4" w:rsidRDefault="00000000">
      <w:pPr>
        <w:pStyle w:val="Bodytext10"/>
        <w:numPr>
          <w:ilvl w:val="1"/>
          <w:numId w:val="3"/>
        </w:numPr>
        <w:tabs>
          <w:tab w:val="left" w:pos="529"/>
        </w:tabs>
        <w:spacing w:after="400" w:line="307" w:lineRule="auto"/>
        <w:ind w:left="460" w:hanging="460"/>
        <w:jc w:val="both"/>
      </w:pPr>
      <w:proofErr w:type="spellStart"/>
      <w:r>
        <w:rPr>
          <w:rStyle w:val="Bodytext1"/>
        </w:rPr>
        <w:t>Baňkaje</w:t>
      </w:r>
      <w:proofErr w:type="spellEnd"/>
      <w:r>
        <w:rPr>
          <w:rStyle w:val="Bodytext1"/>
        </w:rPr>
        <w:t xml:space="preserve"> oprávněna z důvodů hodných zřetele omezit nebo uza</w:t>
      </w:r>
      <w:r>
        <w:rPr>
          <w:rStyle w:val="Bodytext1"/>
        </w:rPr>
        <w:softHyphen/>
        <w:t>vřít na dobu nezbytně nutnou svůj provoz a neodpovídá za pří</w:t>
      </w:r>
      <w:r>
        <w:rPr>
          <w:rStyle w:val="Bodytext1"/>
        </w:rPr>
        <w:softHyphen/>
        <w:t>padné škody tím Klientovi způsobené.</w:t>
      </w:r>
    </w:p>
    <w:p w14:paraId="7ADA0383" w14:textId="77777777" w:rsidR="008B0FD4" w:rsidRDefault="00000000">
      <w:pPr>
        <w:pStyle w:val="Bodytext10"/>
        <w:numPr>
          <w:ilvl w:val="0"/>
          <w:numId w:val="3"/>
        </w:numPr>
        <w:tabs>
          <w:tab w:val="left" w:pos="478"/>
        </w:tabs>
        <w:spacing w:line="307" w:lineRule="auto"/>
        <w:jc w:val="both"/>
      </w:pPr>
      <w:r>
        <w:rPr>
          <w:rStyle w:val="Bodytext1"/>
          <w:color w:val="CC5E72"/>
        </w:rPr>
        <w:t>ZPŮSOB KOMUNIKACE, DORUČOVÁNÍ, REKLAMACE</w:t>
      </w:r>
    </w:p>
    <w:p w14:paraId="18C5BE90" w14:textId="77777777" w:rsidR="008B0FD4" w:rsidRDefault="00000000">
      <w:pPr>
        <w:pStyle w:val="Bodytext10"/>
        <w:numPr>
          <w:ilvl w:val="1"/>
          <w:numId w:val="3"/>
        </w:numPr>
        <w:tabs>
          <w:tab w:val="left" w:pos="478"/>
        </w:tabs>
        <w:spacing w:line="305" w:lineRule="auto"/>
        <w:ind w:left="460" w:hanging="460"/>
        <w:jc w:val="both"/>
      </w:pPr>
      <w:r>
        <w:rPr>
          <w:rStyle w:val="Bodytext1"/>
        </w:rPr>
        <w:t>Klient a Banka vzájemně komunikují osobně, písemně (v elektro</w:t>
      </w:r>
      <w:r>
        <w:rPr>
          <w:rStyle w:val="Bodytext1"/>
        </w:rPr>
        <w:softHyphen/>
        <w:t>nické podobě nebo v listinné podobě) nebo telefonicky. Pro vzá</w:t>
      </w:r>
      <w:r>
        <w:rPr>
          <w:rStyle w:val="Bodytext1"/>
        </w:rPr>
        <w:softHyphen/>
        <w:t>jemnou právně významnou komunikaci mezi Klientem a Bankou platí povinnost písemné formy, přičemž</w:t>
      </w:r>
    </w:p>
    <w:p w14:paraId="752C6B75" w14:textId="77777777" w:rsidR="008B0FD4" w:rsidRDefault="00000000">
      <w:pPr>
        <w:pStyle w:val="Bodytext10"/>
        <w:numPr>
          <w:ilvl w:val="0"/>
          <w:numId w:val="4"/>
        </w:numPr>
        <w:tabs>
          <w:tab w:val="left" w:pos="755"/>
        </w:tabs>
        <w:spacing w:line="314" w:lineRule="auto"/>
        <w:ind w:left="680" w:hanging="180"/>
        <w:jc w:val="both"/>
      </w:pPr>
      <w:r>
        <w:rPr>
          <w:rStyle w:val="Bodytext1"/>
        </w:rPr>
        <w:t>Klient tak činí v elektronické podobě s uznávaným elektro</w:t>
      </w:r>
      <w:r>
        <w:rPr>
          <w:rStyle w:val="Bodytext1"/>
        </w:rPr>
        <w:softHyphen/>
        <w:t>nickým podpisem, a to včetně případů, kdy komunikuje pro</w:t>
      </w:r>
      <w:r>
        <w:rPr>
          <w:rStyle w:val="Bodytext1"/>
        </w:rPr>
        <w:softHyphen/>
        <w:t>střednictvím informačního systému datových schránek, nebo v listinné podobě, a to na Bankou určené adresy; a</w:t>
      </w:r>
    </w:p>
    <w:p w14:paraId="44235CD7" w14:textId="77777777" w:rsidR="008B0FD4" w:rsidRDefault="00000000">
      <w:pPr>
        <w:pStyle w:val="Bodytext10"/>
        <w:numPr>
          <w:ilvl w:val="0"/>
          <w:numId w:val="4"/>
        </w:numPr>
        <w:tabs>
          <w:tab w:val="left" w:pos="755"/>
        </w:tabs>
        <w:spacing w:line="307" w:lineRule="auto"/>
        <w:ind w:left="680" w:hanging="180"/>
        <w:jc w:val="both"/>
      </w:pPr>
      <w:r>
        <w:rPr>
          <w:rStyle w:val="Bodytext1"/>
        </w:rPr>
        <w:t>Banka tak činí v elektronické podobě, a to na e-mailovou adre</w:t>
      </w:r>
      <w:r>
        <w:rPr>
          <w:rStyle w:val="Bodytext1"/>
        </w:rPr>
        <w:softHyphen/>
        <w:t>su sdělenou Klientem Bance nebo prostřednictvím informač</w:t>
      </w:r>
      <w:r>
        <w:rPr>
          <w:rStyle w:val="Bodytext1"/>
        </w:rPr>
        <w:softHyphen/>
        <w:t xml:space="preserve">ního systému datových schránek, nebo v listinné podobě, a to na adresu podle </w:t>
      </w:r>
      <w:proofErr w:type="spellStart"/>
      <w:r>
        <w:rPr>
          <w:rStyle w:val="Bodytext1"/>
        </w:rPr>
        <w:t>ust</w:t>
      </w:r>
      <w:proofErr w:type="spellEnd"/>
      <w:r>
        <w:rPr>
          <w:rStyle w:val="Bodytext1"/>
        </w:rPr>
        <w:t>. 13.5 Obecných obchodních podmínek.</w:t>
      </w:r>
    </w:p>
    <w:p w14:paraId="1BAD8F55" w14:textId="77777777" w:rsidR="008B0FD4" w:rsidRDefault="00000000">
      <w:pPr>
        <w:pStyle w:val="Bodytext10"/>
        <w:numPr>
          <w:ilvl w:val="1"/>
          <w:numId w:val="3"/>
        </w:numPr>
        <w:tabs>
          <w:tab w:val="left" w:pos="475"/>
        </w:tabs>
        <w:jc w:val="both"/>
      </w:pPr>
      <w:r>
        <w:rPr>
          <w:rStyle w:val="Bodytext1"/>
        </w:rPr>
        <w:t>ZRUŠENO</w:t>
      </w:r>
    </w:p>
    <w:p w14:paraId="6C606094" w14:textId="77777777" w:rsidR="008B0FD4" w:rsidRDefault="00000000">
      <w:pPr>
        <w:pStyle w:val="Bodytext10"/>
        <w:numPr>
          <w:ilvl w:val="1"/>
          <w:numId w:val="3"/>
        </w:numPr>
        <w:tabs>
          <w:tab w:val="left" w:pos="475"/>
        </w:tabs>
        <w:spacing w:line="312" w:lineRule="auto"/>
        <w:ind w:left="480" w:hanging="480"/>
        <w:jc w:val="both"/>
      </w:pPr>
      <w:r>
        <w:rPr>
          <w:rStyle w:val="Bodytext1"/>
        </w:rPr>
        <w:t>Má-li být Banka informována o některé skutečnosti předem, je Klient povinen podat Bance odpovídající informaci nejméně 30 dní před rozhodnou událostí, je-li to podle okolností možné; jinak bez zbytečného odkladu po zjištění, že taková skutečnost nastane. Má-li být Banka informována následně, potom je třeba informaci podat bezodkladně po zjištění příslušných skutečností.</w:t>
      </w:r>
    </w:p>
    <w:p w14:paraId="48661084" w14:textId="77777777" w:rsidR="008B0FD4" w:rsidRDefault="00000000">
      <w:pPr>
        <w:pStyle w:val="Bodytext10"/>
        <w:numPr>
          <w:ilvl w:val="1"/>
          <w:numId w:val="3"/>
        </w:numPr>
        <w:tabs>
          <w:tab w:val="left" w:pos="475"/>
        </w:tabs>
        <w:ind w:left="480" w:hanging="480"/>
        <w:jc w:val="both"/>
      </w:pPr>
      <w:r>
        <w:rPr>
          <w:rStyle w:val="Bodytext1"/>
        </w:rPr>
        <w:t>Banka je oprávněna podle svého nejlepšího uvážení odesílat ce</w:t>
      </w:r>
      <w:r>
        <w:rPr>
          <w:rStyle w:val="Bodytext1"/>
        </w:rPr>
        <w:softHyphen/>
        <w:t>niny způsobem obvyklým v bankovnictví, pojištěné či nepojiště</w:t>
      </w:r>
      <w:r>
        <w:rPr>
          <w:rStyle w:val="Bodytext1"/>
        </w:rPr>
        <w:softHyphen/>
        <w:t xml:space="preserve">né, doporučenou zásilkou nebo s udáním nižší hodnoty, pokud Klient nedal </w:t>
      </w:r>
      <w:r>
        <w:rPr>
          <w:rStyle w:val="Bodytext1"/>
        </w:rPr>
        <w:lastRenderedPageBreak/>
        <w:t>jiný příkaz. Šeky k zúčtování se zasílají obvykle poš</w:t>
      </w:r>
      <w:r>
        <w:rPr>
          <w:rStyle w:val="Bodytext1"/>
        </w:rPr>
        <w:softHyphen/>
        <w:t>tou v obyčejné zásilce, ostatní nepojištěné šeky a směnky v do</w:t>
      </w:r>
      <w:r>
        <w:rPr>
          <w:rStyle w:val="Bodytext1"/>
        </w:rPr>
        <w:softHyphen/>
        <w:t>poručené zásilce. Rizika spojená s možnou ztrátou, zničením či zneužitím zásilky nese Klient.</w:t>
      </w:r>
    </w:p>
    <w:p w14:paraId="0E947072" w14:textId="77777777" w:rsidR="008B0FD4" w:rsidRDefault="00000000">
      <w:pPr>
        <w:pStyle w:val="Bodytext10"/>
        <w:numPr>
          <w:ilvl w:val="1"/>
          <w:numId w:val="3"/>
        </w:numPr>
        <w:tabs>
          <w:tab w:val="left" w:pos="475"/>
        </w:tabs>
        <w:ind w:left="480" w:hanging="480"/>
        <w:jc w:val="both"/>
      </w:pPr>
      <w:r>
        <w:rPr>
          <w:rStyle w:val="Bodytext1"/>
        </w:rPr>
        <w:t>V případě, že Banka zasílá zásilky e-mailem, činí tak na e-mai</w:t>
      </w:r>
      <w:r>
        <w:rPr>
          <w:rStyle w:val="Bodytext1"/>
        </w:rPr>
        <w:softHyphen/>
        <w:t>lovou adresu sdělenou Klientem Bance. V případě, že Banka zasílá zásilky prostřednictvím provozovatele poštovních služeb nebo jiným obdobným způsobem, činí tak na adresu uvedenou ve smlouvě jako sídlo (bydliště) Klienta, pokud jí Klient nesdělí kontaktní adresu, na kterou mu má veškeré zásilky zasílat.</w:t>
      </w:r>
    </w:p>
    <w:p w14:paraId="6FAA8CBE" w14:textId="77777777" w:rsidR="008B0FD4" w:rsidRDefault="00000000">
      <w:pPr>
        <w:pStyle w:val="Bodytext10"/>
        <w:numPr>
          <w:ilvl w:val="1"/>
          <w:numId w:val="3"/>
        </w:numPr>
        <w:tabs>
          <w:tab w:val="left" w:pos="475"/>
        </w:tabs>
        <w:ind w:left="480" w:hanging="480"/>
        <w:jc w:val="both"/>
      </w:pPr>
      <w:proofErr w:type="spellStart"/>
      <w:r>
        <w:rPr>
          <w:rStyle w:val="Bodytext1"/>
        </w:rPr>
        <w:t>Baňkaje</w:t>
      </w:r>
      <w:proofErr w:type="spellEnd"/>
      <w:r>
        <w:rPr>
          <w:rStyle w:val="Bodytext1"/>
        </w:rPr>
        <w:t xml:space="preserve"> oprávněna od Klienta vyžadovat sdělení e-mailové adre</w:t>
      </w:r>
      <w:r>
        <w:rPr>
          <w:rStyle w:val="Bodytext1"/>
        </w:rPr>
        <w:softHyphen/>
        <w:t>sy, na kterou pak Banka přednostně zasílá veškeré zásilky. Klient je povinen zajistit, aby e-mailové zprávy od Banky mohly být na poskytnutou e-mailovou adresu doručeny. Zásilky Banky odesla</w:t>
      </w:r>
      <w:r>
        <w:rPr>
          <w:rStyle w:val="Bodytext1"/>
        </w:rPr>
        <w:softHyphen/>
        <w:t>né e-mailem nebo prostřednictvím dalších komunikačních pro</w:t>
      </w:r>
      <w:r>
        <w:rPr>
          <w:rStyle w:val="Bodytext1"/>
        </w:rPr>
        <w:softHyphen/>
        <w:t>středků (např. fax) se mají za došlé dnem jejich odeslání. Zásilky Banky odeslané Klientovi prostřednictvím provozovatele poštov</w:t>
      </w:r>
      <w:r>
        <w:rPr>
          <w:rStyle w:val="Bodytext1"/>
        </w:rPr>
        <w:softHyphen/>
        <w:t>ních služeb nebo jiným obdobným způsobem jsou došlé (i) jejich osobním převzetím, (</w:t>
      </w:r>
      <w:proofErr w:type="spellStart"/>
      <w:r>
        <w:rPr>
          <w:rStyle w:val="Bodytext1"/>
        </w:rPr>
        <w:t>ii</w:t>
      </w:r>
      <w:proofErr w:type="spellEnd"/>
      <w:r>
        <w:rPr>
          <w:rStyle w:val="Bodytext1"/>
        </w:rPr>
        <w:t>) jejich vhozením do poštovní schránky Klienta, (</w:t>
      </w:r>
      <w:proofErr w:type="spellStart"/>
      <w:r>
        <w:rPr>
          <w:rStyle w:val="Bodytext1"/>
        </w:rPr>
        <w:t>iii</w:t>
      </w:r>
      <w:proofErr w:type="spellEnd"/>
      <w:r>
        <w:rPr>
          <w:rStyle w:val="Bodytext1"/>
        </w:rPr>
        <w:t>) vhozením oznámení o uložení zásilky u provozovate</w:t>
      </w:r>
      <w:r>
        <w:rPr>
          <w:rStyle w:val="Bodytext1"/>
        </w:rPr>
        <w:softHyphen/>
        <w:t>le poštovních služeb do poštovní schránky Klienta nebo (</w:t>
      </w:r>
      <w:proofErr w:type="spellStart"/>
      <w:r>
        <w:rPr>
          <w:rStyle w:val="Bodytext1"/>
        </w:rPr>
        <w:t>iv</w:t>
      </w:r>
      <w:proofErr w:type="spellEnd"/>
      <w:r>
        <w:rPr>
          <w:rStyle w:val="Bodytext1"/>
        </w:rPr>
        <w:t>) jejich dodáním Klientovi jiným obdobným způsobem, při kterém měl Klient objektivní příležitost se s obsahem zásilky seznámit. Má se za to, že došlá zásilka odeslaná s využitím provozovatele poš</w:t>
      </w:r>
      <w:r>
        <w:rPr>
          <w:rStyle w:val="Bodytext1"/>
        </w:rPr>
        <w:softHyphen/>
        <w:t>tovních služeb došla třetí pracovní den po odeslání, byla-li však odeslána na adresu v jiném státu, pak patnáctý pracovní den po odeslání. Zásilky Banky odeslané Klientovi, jejichž dojití bylo Klientem vědomě zmařeno, platí za došlé Klientovi; za vědomé zmaření se považuje také porušení povinnosti Klienta oznámit Bance změnu příslušné adresy nebo porušení povinnosti Klienta zajistit možnost doručení e-mailových zpráv na e-mailovou ad</w:t>
      </w:r>
      <w:r>
        <w:rPr>
          <w:rStyle w:val="Bodytext1"/>
        </w:rPr>
        <w:softHyphen/>
        <w:t>resu Klienta sdělenou Bance.</w:t>
      </w:r>
    </w:p>
    <w:p w14:paraId="7CE6523A" w14:textId="77777777" w:rsidR="008B0FD4" w:rsidRDefault="00000000">
      <w:pPr>
        <w:pStyle w:val="Bodytext10"/>
        <w:numPr>
          <w:ilvl w:val="1"/>
          <w:numId w:val="3"/>
        </w:numPr>
        <w:tabs>
          <w:tab w:val="left" w:pos="475"/>
        </w:tabs>
        <w:ind w:left="480" w:hanging="480"/>
        <w:jc w:val="both"/>
      </w:pPr>
      <w:r>
        <w:rPr>
          <w:rStyle w:val="Bodytext1"/>
        </w:rPr>
        <w:t>Zásilka doručovaná Bankou prostřednictvím informačního systé</w:t>
      </w:r>
      <w:r>
        <w:rPr>
          <w:rStyle w:val="Bodytext1"/>
        </w:rPr>
        <w:softHyphen/>
        <w:t>mu datových schránek je doručena okamžikem, kdy se do datové schránky přihlásí osoba, která má s ohledem na rozsah svého oprávnění přístup k tomuto dokumentu. Nepřihlásí-li se do dato</w:t>
      </w:r>
      <w:r>
        <w:rPr>
          <w:rStyle w:val="Bodytext1"/>
        </w:rPr>
        <w:softHyphen/>
        <w:t>vé schránky osoba podle předchozí věty ve lhůtě 10 dnů ode dne, kdy byla zásilka dodána do datové schránky, považuje se zásilka za doručenou posledním dnem této lhůty.</w:t>
      </w:r>
    </w:p>
    <w:p w14:paraId="2AED68FE" w14:textId="77777777" w:rsidR="008B0FD4" w:rsidRDefault="00000000">
      <w:pPr>
        <w:pStyle w:val="Bodytext10"/>
        <w:numPr>
          <w:ilvl w:val="1"/>
          <w:numId w:val="3"/>
        </w:numPr>
        <w:tabs>
          <w:tab w:val="left" w:pos="475"/>
        </w:tabs>
        <w:spacing w:after="0" w:line="312" w:lineRule="auto"/>
        <w:ind w:left="480" w:hanging="480"/>
        <w:jc w:val="both"/>
      </w:pPr>
      <w:r>
        <w:rPr>
          <w:rStyle w:val="Bodytext1"/>
        </w:rPr>
        <w:t>Zásilky pro Klienta uložené na základě dohody s Klientem na pří</w:t>
      </w:r>
      <w:r>
        <w:rPr>
          <w:rStyle w:val="Bodytext1"/>
        </w:rPr>
        <w:softHyphen/>
        <w:t>slušném obchodním místě Banky jsou došlé dnem jejich vyzved</w:t>
      </w:r>
      <w:r>
        <w:rPr>
          <w:rStyle w:val="Bodytext1"/>
        </w:rPr>
        <w:softHyphen/>
        <w:t>nutí; jinak se mají za došlé 10. pracovním dnem následujícím po dni, v němž byly pro Klienta na příslušném obchodním místě Banky uloženy.</w:t>
      </w:r>
    </w:p>
    <w:p w14:paraId="70E19DBB" w14:textId="77777777" w:rsidR="008B0FD4" w:rsidRDefault="00000000">
      <w:pPr>
        <w:pStyle w:val="Bodytext10"/>
        <w:numPr>
          <w:ilvl w:val="1"/>
          <w:numId w:val="3"/>
        </w:numPr>
        <w:tabs>
          <w:tab w:val="left" w:pos="479"/>
        </w:tabs>
        <w:spacing w:line="312" w:lineRule="auto"/>
        <w:ind w:left="480" w:hanging="480"/>
        <w:jc w:val="both"/>
      </w:pPr>
      <w:r>
        <w:rPr>
          <w:rStyle w:val="Bodytext1"/>
        </w:rPr>
        <w:t>Klient je povinen případnou zjištěnou závadu uplatnit u Banky písemně či jinou Bankou akceptovanou formou bez zbytečného odkladu po doručení zásilky, ze které reklamovaná skutečnost vy</w:t>
      </w:r>
      <w:r>
        <w:rPr>
          <w:rStyle w:val="Bodytext1"/>
        </w:rPr>
        <w:softHyphen/>
        <w:t>plývá, či obdržení sdělení jinou formou, nejpozději však do 3 mě</w:t>
      </w:r>
      <w:r>
        <w:rPr>
          <w:rStyle w:val="Bodytext1"/>
        </w:rPr>
        <w:softHyphen/>
        <w:t>síců od vzniku závady. Jestliže Klient ve stanovené lhůtě závady nereklamuje, má se za to, že se sdělenými údaji souhlasí.</w:t>
      </w:r>
    </w:p>
    <w:p w14:paraId="1A6CF763" w14:textId="77777777" w:rsidR="008B0FD4" w:rsidRDefault="00000000">
      <w:pPr>
        <w:pStyle w:val="Bodytext10"/>
        <w:numPr>
          <w:ilvl w:val="1"/>
          <w:numId w:val="3"/>
        </w:numPr>
        <w:tabs>
          <w:tab w:val="left" w:pos="529"/>
        </w:tabs>
        <w:spacing w:line="312" w:lineRule="auto"/>
        <w:jc w:val="both"/>
      </w:pPr>
      <w:r>
        <w:rPr>
          <w:rStyle w:val="Bodytext1"/>
        </w:rPr>
        <w:t>ZRUŠENO</w:t>
      </w:r>
    </w:p>
    <w:p w14:paraId="615B4C88" w14:textId="77777777" w:rsidR="008B0FD4" w:rsidRDefault="00000000">
      <w:pPr>
        <w:pStyle w:val="Bodytext10"/>
        <w:numPr>
          <w:ilvl w:val="1"/>
          <w:numId w:val="3"/>
        </w:numPr>
        <w:tabs>
          <w:tab w:val="left" w:pos="522"/>
        </w:tabs>
        <w:spacing w:line="312" w:lineRule="auto"/>
        <w:ind w:left="480" w:hanging="480"/>
        <w:jc w:val="both"/>
      </w:pPr>
      <w:r>
        <w:rPr>
          <w:rStyle w:val="Bodytext1"/>
        </w:rPr>
        <w:t>Pokud není stanoveno jinak, zpřístupňuje Banka Klientovi in</w:t>
      </w:r>
      <w:r>
        <w:rPr>
          <w:rStyle w:val="Bodytext1"/>
        </w:rPr>
        <w:softHyphen/>
        <w:t>formace, včetně aktuálního znění Obecných obchodních pod</w:t>
      </w:r>
      <w:r>
        <w:rPr>
          <w:rStyle w:val="Bodytext1"/>
        </w:rPr>
        <w:softHyphen/>
        <w:t>mínek, produktových podmínek a Sazebníku, na své interne</w:t>
      </w:r>
      <w:r>
        <w:rPr>
          <w:rStyle w:val="Bodytext1"/>
        </w:rPr>
        <w:softHyphen/>
        <w:t>tové adrese.</w:t>
      </w:r>
    </w:p>
    <w:p w14:paraId="0693E6C2" w14:textId="77777777" w:rsidR="008B0FD4" w:rsidRDefault="00000000">
      <w:pPr>
        <w:pStyle w:val="Bodytext10"/>
        <w:numPr>
          <w:ilvl w:val="1"/>
          <w:numId w:val="3"/>
        </w:numPr>
        <w:tabs>
          <w:tab w:val="left" w:pos="522"/>
        </w:tabs>
        <w:ind w:left="480" w:hanging="480"/>
        <w:jc w:val="both"/>
      </w:pPr>
      <w:r>
        <w:rPr>
          <w:rStyle w:val="Bodytext1"/>
        </w:rPr>
        <w:t>Znění změn a doplňků nebo úplné znění novelizovaných Obec</w:t>
      </w:r>
      <w:r>
        <w:rPr>
          <w:rStyle w:val="Bodytext1"/>
        </w:rPr>
        <w:softHyphen/>
        <w:t>ných obchodních podmínek je Banka oprávněna Klientovi poskyt</w:t>
      </w:r>
      <w:r>
        <w:rPr>
          <w:rStyle w:val="Bodytext1"/>
        </w:rPr>
        <w:softHyphen/>
        <w:t>nout písemně v elektronické podobě, a to zpravidla e-mailem na e-mailovou adresu sdělenou Klientem Bance, pokud Klient vý</w:t>
      </w:r>
      <w:r>
        <w:rPr>
          <w:rStyle w:val="Bodytext1"/>
        </w:rPr>
        <w:softHyphen/>
        <w:t>slovně nepožádá o poskytování takových písemností ze strany Banky v listinné podobě.</w:t>
      </w:r>
    </w:p>
    <w:p w14:paraId="730862C9" w14:textId="77777777" w:rsidR="008B0FD4" w:rsidRDefault="00000000">
      <w:pPr>
        <w:pStyle w:val="Bodytext10"/>
        <w:numPr>
          <w:ilvl w:val="1"/>
          <w:numId w:val="3"/>
        </w:numPr>
        <w:tabs>
          <w:tab w:val="left" w:pos="522"/>
        </w:tabs>
        <w:spacing w:line="312" w:lineRule="auto"/>
        <w:jc w:val="both"/>
      </w:pPr>
      <w:proofErr w:type="spellStart"/>
      <w:r>
        <w:rPr>
          <w:rStyle w:val="Bodytext1"/>
        </w:rPr>
        <w:t>Ust</w:t>
      </w:r>
      <w:proofErr w:type="spellEnd"/>
      <w:r>
        <w:rPr>
          <w:rStyle w:val="Bodytext1"/>
        </w:rPr>
        <w:t>. 13.12 Obecných obchodních podmínek se použije obdobně</w:t>
      </w:r>
    </w:p>
    <w:p w14:paraId="23C2AFB5" w14:textId="77777777" w:rsidR="008B0FD4" w:rsidRDefault="00000000">
      <w:pPr>
        <w:pStyle w:val="Bodytext10"/>
        <w:numPr>
          <w:ilvl w:val="0"/>
          <w:numId w:val="5"/>
        </w:numPr>
        <w:tabs>
          <w:tab w:val="left" w:pos="762"/>
        </w:tabs>
        <w:spacing w:line="312" w:lineRule="auto"/>
        <w:ind w:left="640" w:hanging="140"/>
        <w:jc w:val="both"/>
      </w:pPr>
      <w:r>
        <w:rPr>
          <w:rStyle w:val="Bodytext1"/>
        </w:rPr>
        <w:t>v případě poskytování informace o změně Obecných obchod</w:t>
      </w:r>
      <w:r>
        <w:rPr>
          <w:rStyle w:val="Bodytext1"/>
        </w:rPr>
        <w:softHyphen/>
        <w:t>ních podmínek přímo v důsledku změny právního předpisu, od něhož se nelze smluvně odchýlit;</w:t>
      </w:r>
    </w:p>
    <w:p w14:paraId="7EDB81CD" w14:textId="77777777" w:rsidR="008B0FD4" w:rsidRDefault="00000000">
      <w:pPr>
        <w:pStyle w:val="Bodytext10"/>
        <w:numPr>
          <w:ilvl w:val="0"/>
          <w:numId w:val="5"/>
        </w:numPr>
        <w:tabs>
          <w:tab w:val="left" w:pos="762"/>
        </w:tabs>
        <w:spacing w:line="312" w:lineRule="auto"/>
        <w:ind w:left="640" w:hanging="140"/>
        <w:jc w:val="both"/>
      </w:pPr>
      <w:r>
        <w:rPr>
          <w:rStyle w:val="Bodytext1"/>
        </w:rPr>
        <w:t xml:space="preserve">v případě změny Sazebníku podle </w:t>
      </w:r>
      <w:proofErr w:type="spellStart"/>
      <w:r>
        <w:rPr>
          <w:rStyle w:val="Bodytext1"/>
        </w:rPr>
        <w:t>ust</w:t>
      </w:r>
      <w:proofErr w:type="spellEnd"/>
      <w:r>
        <w:rPr>
          <w:rStyle w:val="Bodytext1"/>
        </w:rPr>
        <w:t>. 8.3 Obecných obchod</w:t>
      </w:r>
      <w:r>
        <w:rPr>
          <w:rStyle w:val="Bodytext1"/>
        </w:rPr>
        <w:softHyphen/>
        <w:t>ních podmínek;</w:t>
      </w:r>
    </w:p>
    <w:p w14:paraId="460F8783" w14:textId="77777777" w:rsidR="008B0FD4" w:rsidRDefault="00000000">
      <w:pPr>
        <w:pStyle w:val="Bodytext10"/>
        <w:numPr>
          <w:ilvl w:val="0"/>
          <w:numId w:val="5"/>
        </w:numPr>
        <w:tabs>
          <w:tab w:val="left" w:pos="755"/>
        </w:tabs>
        <w:spacing w:line="300" w:lineRule="auto"/>
        <w:ind w:left="640" w:hanging="140"/>
        <w:jc w:val="both"/>
      </w:pPr>
      <w:r>
        <w:rPr>
          <w:rStyle w:val="Bodytext1"/>
          <w:color w:val="8E5B66"/>
        </w:rPr>
        <w:t xml:space="preserve">v </w:t>
      </w:r>
      <w:r>
        <w:rPr>
          <w:rStyle w:val="Bodytext1"/>
        </w:rPr>
        <w:t>případě poskytování znění změn a doplňků nebo úplného znění novelizovaných produktových podmínek;</w:t>
      </w:r>
    </w:p>
    <w:p w14:paraId="5CCE981C" w14:textId="77777777" w:rsidR="008B0FD4" w:rsidRDefault="00000000">
      <w:pPr>
        <w:pStyle w:val="Bodytext10"/>
        <w:numPr>
          <w:ilvl w:val="0"/>
          <w:numId w:val="5"/>
        </w:numPr>
        <w:tabs>
          <w:tab w:val="left" w:pos="770"/>
        </w:tabs>
        <w:spacing w:after="400" w:line="307" w:lineRule="auto"/>
        <w:ind w:left="640" w:hanging="140"/>
        <w:jc w:val="both"/>
      </w:pPr>
      <w:r>
        <w:rPr>
          <w:rStyle w:val="Bodytext1"/>
        </w:rPr>
        <w:t>v případě poskytování informace o změně produktových pod</w:t>
      </w:r>
      <w:r>
        <w:rPr>
          <w:rStyle w:val="Bodytext1"/>
        </w:rPr>
        <w:softHyphen/>
        <w:t>mínek přímo v důsledku změny právního předpisu, od něhož se nelze smluvně odchýlit.</w:t>
      </w:r>
    </w:p>
    <w:p w14:paraId="7CAE5D1C" w14:textId="77777777" w:rsidR="008B0FD4" w:rsidRDefault="00000000">
      <w:pPr>
        <w:pStyle w:val="Bodytext10"/>
        <w:numPr>
          <w:ilvl w:val="0"/>
          <w:numId w:val="3"/>
        </w:numPr>
        <w:tabs>
          <w:tab w:val="left" w:pos="479"/>
        </w:tabs>
        <w:spacing w:line="312" w:lineRule="auto"/>
        <w:ind w:left="480" w:hanging="480"/>
      </w:pPr>
      <w:r>
        <w:rPr>
          <w:rStyle w:val="Bodytext1"/>
          <w:color w:val="CC5E72"/>
        </w:rPr>
        <w:t>ROZHODNÉ PRÁVO, SOUDNÍ MÍSTO A SUBJEKT MIMOSOUDNÍHO ŘEŠENÍ SPOTŘEBITELSKÝCH SPORŮ</w:t>
      </w:r>
    </w:p>
    <w:p w14:paraId="4836ED70" w14:textId="77777777" w:rsidR="008B0FD4" w:rsidRDefault="00000000">
      <w:pPr>
        <w:pStyle w:val="Bodytext10"/>
        <w:numPr>
          <w:ilvl w:val="1"/>
          <w:numId w:val="3"/>
        </w:numPr>
        <w:tabs>
          <w:tab w:val="left" w:pos="479"/>
        </w:tabs>
        <w:spacing w:line="312" w:lineRule="auto"/>
        <w:ind w:left="480" w:hanging="480"/>
        <w:jc w:val="both"/>
      </w:pPr>
      <w:r>
        <w:rPr>
          <w:rStyle w:val="Bodytext1"/>
        </w:rPr>
        <w:t>Není-li v konkrétním smluvním ujednání dohodnuto jinak, smluv</w:t>
      </w:r>
      <w:r>
        <w:rPr>
          <w:rStyle w:val="Bodytext1"/>
        </w:rPr>
        <w:softHyphen/>
        <w:t>ní vztah mezi Bankou a Klientem a jakékoli mimosmluvní vztahy vznikající v souvislosti s ním se řídí českým právem; pro případné spory jsou příslušné české soudy.</w:t>
      </w:r>
    </w:p>
    <w:p w14:paraId="7E3FBBAC" w14:textId="77777777" w:rsidR="008B0FD4" w:rsidRDefault="00000000">
      <w:pPr>
        <w:pStyle w:val="Bodytext10"/>
        <w:numPr>
          <w:ilvl w:val="1"/>
          <w:numId w:val="3"/>
        </w:numPr>
        <w:tabs>
          <w:tab w:val="left" w:pos="479"/>
        </w:tabs>
        <w:spacing w:line="322" w:lineRule="auto"/>
        <w:ind w:left="480" w:hanging="480"/>
        <w:jc w:val="both"/>
      </w:pPr>
      <w:r>
        <w:rPr>
          <w:rStyle w:val="Bodytext1"/>
        </w:rPr>
        <w:t>Pro řešení sporů mezi Bankou a Klientem je místně příslušný obecný soud Banky, pokud právní předpis nestanoví jinak.</w:t>
      </w:r>
    </w:p>
    <w:p w14:paraId="6E0FBB74" w14:textId="77777777" w:rsidR="008B0FD4" w:rsidRDefault="00000000">
      <w:pPr>
        <w:pStyle w:val="Bodytext10"/>
        <w:numPr>
          <w:ilvl w:val="1"/>
          <w:numId w:val="3"/>
        </w:numPr>
        <w:tabs>
          <w:tab w:val="left" w:pos="479"/>
        </w:tabs>
        <w:ind w:left="480" w:hanging="480"/>
        <w:jc w:val="both"/>
      </w:pPr>
      <w:r>
        <w:rPr>
          <w:rStyle w:val="Bodytext1"/>
        </w:rPr>
        <w:t xml:space="preserve">V případném sporu mezi Bankou a Klientem, je-li spotřebitelem ve smyslu příslušného zákona, který se </w:t>
      </w:r>
      <w:proofErr w:type="gramStart"/>
      <w:r>
        <w:rPr>
          <w:rStyle w:val="Bodytext1"/>
        </w:rPr>
        <w:t>nepodaří</w:t>
      </w:r>
      <w:proofErr w:type="gramEnd"/>
      <w:r>
        <w:rPr>
          <w:rStyle w:val="Bodytext1"/>
        </w:rPr>
        <w:t xml:space="preserve"> vyřešit smírnou cestou, se může Klient obrátit na finančního arbitra. Příslušnost finančního arbitra je upravena zákonem č. 229/2002 Sb., o fi</w:t>
      </w:r>
      <w:r>
        <w:rPr>
          <w:rStyle w:val="Bodytext1"/>
        </w:rPr>
        <w:softHyphen/>
        <w:t>nančním arbitrovi, ve znění pozdějších předpisů, a do jeho působ</w:t>
      </w:r>
      <w:r>
        <w:rPr>
          <w:rStyle w:val="Bodytext1"/>
        </w:rPr>
        <w:softHyphen/>
        <w:t>nosti spadají spory ve věcech:</w:t>
      </w:r>
    </w:p>
    <w:p w14:paraId="6C9748A6" w14:textId="77777777" w:rsidR="008B0FD4" w:rsidRDefault="00000000">
      <w:pPr>
        <w:pStyle w:val="Bodytext10"/>
        <w:numPr>
          <w:ilvl w:val="0"/>
          <w:numId w:val="6"/>
        </w:numPr>
        <w:tabs>
          <w:tab w:val="left" w:pos="742"/>
        </w:tabs>
        <w:spacing w:line="312" w:lineRule="auto"/>
        <w:ind w:firstLine="480"/>
        <w:jc w:val="both"/>
      </w:pPr>
      <w:r>
        <w:rPr>
          <w:rStyle w:val="Bodytext1"/>
        </w:rPr>
        <w:t>poskytování platebních služeb,</w:t>
      </w:r>
    </w:p>
    <w:p w14:paraId="02CAFDB9" w14:textId="77777777" w:rsidR="008B0FD4" w:rsidRDefault="00000000">
      <w:pPr>
        <w:pStyle w:val="Bodytext10"/>
        <w:numPr>
          <w:ilvl w:val="0"/>
          <w:numId w:val="6"/>
        </w:numPr>
        <w:tabs>
          <w:tab w:val="left" w:pos="762"/>
        </w:tabs>
        <w:spacing w:line="300" w:lineRule="auto"/>
        <w:ind w:left="640" w:hanging="140"/>
        <w:jc w:val="both"/>
      </w:pPr>
      <w:r>
        <w:rPr>
          <w:rStyle w:val="Bodytext1"/>
        </w:rPr>
        <w:t>nabízení, poskytování nebo zprostředkování spotřebitelského úvěru nebo jiného úvěru, zápůjčky či obdobné finanční služby,</w:t>
      </w:r>
    </w:p>
    <w:p w14:paraId="40744799" w14:textId="77777777" w:rsidR="008B0FD4" w:rsidRDefault="00000000">
      <w:pPr>
        <w:pStyle w:val="Bodytext10"/>
        <w:numPr>
          <w:ilvl w:val="0"/>
          <w:numId w:val="6"/>
        </w:numPr>
        <w:tabs>
          <w:tab w:val="left" w:pos="748"/>
        </w:tabs>
        <w:spacing w:line="312" w:lineRule="auto"/>
        <w:ind w:left="640" w:hanging="140"/>
        <w:jc w:val="both"/>
      </w:pPr>
      <w:r>
        <w:rPr>
          <w:rStyle w:val="Bodytext1"/>
        </w:rPr>
        <w:t>nabízení investic do fondu kolektivního investování nebo srov</w:t>
      </w:r>
      <w:r>
        <w:rPr>
          <w:rStyle w:val="Bodytext1"/>
        </w:rPr>
        <w:softHyphen/>
        <w:t>natelného zahraničního investičního fondu,</w:t>
      </w:r>
    </w:p>
    <w:p w14:paraId="47EB8490" w14:textId="77777777" w:rsidR="008B0FD4" w:rsidRDefault="00000000">
      <w:pPr>
        <w:pStyle w:val="Bodytext10"/>
        <w:numPr>
          <w:ilvl w:val="0"/>
          <w:numId w:val="6"/>
        </w:numPr>
        <w:tabs>
          <w:tab w:val="left" w:pos="770"/>
        </w:tabs>
        <w:spacing w:line="312" w:lineRule="auto"/>
        <w:ind w:left="640" w:hanging="140"/>
        <w:jc w:val="both"/>
      </w:pPr>
      <w:r>
        <w:rPr>
          <w:rStyle w:val="Bodytext1"/>
        </w:rPr>
        <w:t>nabízení, poskytování nebo zprostředkování životního pojiště</w:t>
      </w:r>
      <w:r>
        <w:rPr>
          <w:rStyle w:val="Bodytext1"/>
        </w:rPr>
        <w:softHyphen/>
        <w:t>ní, vystupuje-li Banka jako pojišťovací zprostředkovatel,</w:t>
      </w:r>
    </w:p>
    <w:p w14:paraId="314959D6" w14:textId="77777777" w:rsidR="008B0FD4" w:rsidRDefault="00000000">
      <w:pPr>
        <w:pStyle w:val="Bodytext10"/>
        <w:numPr>
          <w:ilvl w:val="0"/>
          <w:numId w:val="6"/>
        </w:numPr>
        <w:tabs>
          <w:tab w:val="left" w:pos="735"/>
        </w:tabs>
        <w:spacing w:line="312" w:lineRule="auto"/>
        <w:ind w:firstLine="480"/>
        <w:jc w:val="both"/>
      </w:pPr>
      <w:r>
        <w:rPr>
          <w:rStyle w:val="Bodytext1"/>
        </w:rPr>
        <w:t>provádění směnárenského obchodu,</w:t>
      </w:r>
    </w:p>
    <w:p w14:paraId="66083231" w14:textId="77777777" w:rsidR="008B0FD4" w:rsidRDefault="00000000">
      <w:pPr>
        <w:pStyle w:val="Bodytext10"/>
        <w:numPr>
          <w:ilvl w:val="0"/>
          <w:numId w:val="6"/>
        </w:numPr>
        <w:tabs>
          <w:tab w:val="left" w:pos="741"/>
        </w:tabs>
        <w:spacing w:line="312" w:lineRule="auto"/>
        <w:ind w:left="640" w:hanging="140"/>
        <w:jc w:val="both"/>
      </w:pPr>
      <w:r>
        <w:rPr>
          <w:rStyle w:val="Bodytext1"/>
        </w:rPr>
        <w:t>nabízení, poskytování nebo zprostředkování stavebního spoření, vystupuje-li Banka jako zprostředkovatel stavebního spoření,</w:t>
      </w:r>
    </w:p>
    <w:p w14:paraId="637A7EA1" w14:textId="77777777" w:rsidR="008B0FD4" w:rsidRDefault="00000000">
      <w:pPr>
        <w:pStyle w:val="Bodytext10"/>
        <w:numPr>
          <w:ilvl w:val="0"/>
          <w:numId w:val="6"/>
        </w:numPr>
        <w:tabs>
          <w:tab w:val="left" w:pos="770"/>
        </w:tabs>
        <w:spacing w:after="0" w:line="300" w:lineRule="auto"/>
        <w:ind w:left="640" w:hanging="140"/>
        <w:jc w:val="both"/>
        <w:sectPr w:rsidR="008B0FD4">
          <w:type w:val="continuous"/>
          <w:pgSz w:w="11900" w:h="16840"/>
          <w:pgMar w:top="626" w:right="956" w:bottom="1196" w:left="939" w:header="0" w:footer="3" w:gutter="0"/>
          <w:cols w:num="2" w:space="169"/>
          <w:noEndnote/>
          <w:docGrid w:linePitch="360"/>
        </w:sectPr>
      </w:pPr>
      <w:r>
        <w:rPr>
          <w:rStyle w:val="Bodytext1"/>
        </w:rPr>
        <w:t>poskytování investičních služeb, vystupuje-li Banka jako ob</w:t>
      </w:r>
      <w:r>
        <w:rPr>
          <w:rStyle w:val="Bodytext1"/>
        </w:rPr>
        <w:softHyphen/>
        <w:t>chodník s cennými papíry.</w:t>
      </w:r>
    </w:p>
    <w:p w14:paraId="6D58D7DA" w14:textId="77777777" w:rsidR="008B0FD4" w:rsidRDefault="008B0FD4">
      <w:pPr>
        <w:spacing w:line="240" w:lineRule="exact"/>
        <w:rPr>
          <w:sz w:val="19"/>
          <w:szCs w:val="19"/>
        </w:rPr>
      </w:pPr>
    </w:p>
    <w:p w14:paraId="045DBF95" w14:textId="77777777" w:rsidR="008B0FD4" w:rsidRDefault="008B0FD4">
      <w:pPr>
        <w:spacing w:before="49" w:after="49" w:line="240" w:lineRule="exact"/>
        <w:rPr>
          <w:sz w:val="19"/>
          <w:szCs w:val="19"/>
        </w:rPr>
      </w:pPr>
    </w:p>
    <w:p w14:paraId="1B8B747F" w14:textId="77777777" w:rsidR="008B0FD4" w:rsidRDefault="008B0FD4">
      <w:pPr>
        <w:spacing w:line="1" w:lineRule="exact"/>
        <w:sectPr w:rsidR="008B0FD4">
          <w:type w:val="continuous"/>
          <w:pgSz w:w="11900" w:h="16840"/>
          <w:pgMar w:top="1002" w:right="0" w:bottom="820" w:left="0" w:header="0" w:footer="3" w:gutter="0"/>
          <w:cols w:space="720"/>
          <w:noEndnote/>
          <w:docGrid w:linePitch="360"/>
        </w:sectPr>
      </w:pPr>
    </w:p>
    <w:p w14:paraId="5000FCE9" w14:textId="77777777" w:rsidR="008B0FD4" w:rsidRDefault="00000000">
      <w:pPr>
        <w:pStyle w:val="Bodytext20"/>
        <w:sectPr w:rsidR="008B0FD4">
          <w:type w:val="continuous"/>
          <w:pgSz w:w="11900" w:h="16840"/>
          <w:pgMar w:top="1002" w:right="997" w:bottom="820" w:left="865" w:header="0" w:footer="3" w:gutter="0"/>
          <w:cols w:space="720"/>
          <w:noEndnote/>
          <w:docGrid w:linePitch="360"/>
        </w:sectPr>
      </w:pPr>
      <w:r>
        <w:rPr>
          <w:rStyle w:val="Bodytext2"/>
        </w:rPr>
        <w:t xml:space="preserve">UniCredit Bank </w:t>
      </w:r>
      <w:proofErr w:type="spellStart"/>
      <w:r>
        <w:rPr>
          <w:rStyle w:val="Bodytext2"/>
        </w:rPr>
        <w:t>CzechRepublic</w:t>
      </w:r>
      <w:proofErr w:type="spellEnd"/>
      <w:r>
        <w:rPr>
          <w:rStyle w:val="Bodytext2"/>
        </w:rPr>
        <w:t xml:space="preserve"> and </w:t>
      </w:r>
      <w:proofErr w:type="spellStart"/>
      <w:proofErr w:type="gramStart"/>
      <w:r>
        <w:rPr>
          <w:rStyle w:val="Bodytext2"/>
        </w:rPr>
        <w:t>Slovakia,a.s.</w:t>
      </w:r>
      <w:proofErr w:type="gramEnd"/>
      <w:r>
        <w:rPr>
          <w:rStyle w:val="Bodytext2"/>
        </w:rPr>
        <w:t>,Želetavská</w:t>
      </w:r>
      <w:proofErr w:type="spellEnd"/>
      <w:r>
        <w:rPr>
          <w:rStyle w:val="Bodytext2"/>
        </w:rPr>
        <w:t xml:space="preserve"> 1525'1,140 92 Praha 4 -Michle, IČO 64948242, zapsaná </w:t>
      </w:r>
      <w:proofErr w:type="spellStart"/>
      <w:r>
        <w:rPr>
          <w:rStyle w:val="Bodytext2"/>
        </w:rPr>
        <w:t>vobchodním</w:t>
      </w:r>
      <w:proofErr w:type="spellEnd"/>
      <w:r>
        <w:rPr>
          <w:rStyle w:val="Bodytext2"/>
        </w:rPr>
        <w:t xml:space="preserve"> rejstříku vedeném Městským soudem v Praze, oddíl B, vložka 3608, </w:t>
      </w:r>
      <w:hyperlink r:id="rId16" w:history="1">
        <w:r>
          <w:rPr>
            <w:rStyle w:val="Bodytext2"/>
            <w:lang w:val="en-US" w:eastAsia="en-US" w:bidi="en-US"/>
          </w:rPr>
          <w:t>www.unicreditbank.cz</w:t>
        </w:r>
      </w:hyperlink>
      <w:r>
        <w:rPr>
          <w:rStyle w:val="Bodytext2"/>
          <w:lang w:val="en-US" w:eastAsia="en-US" w:bidi="en-US"/>
        </w:rPr>
        <w:t>.</w:t>
      </w:r>
    </w:p>
    <w:p w14:paraId="50F34924" w14:textId="77777777" w:rsidR="008B0FD4" w:rsidRDefault="00000000">
      <w:pPr>
        <w:pStyle w:val="Bodytext10"/>
        <w:numPr>
          <w:ilvl w:val="1"/>
          <w:numId w:val="3"/>
        </w:numPr>
        <w:tabs>
          <w:tab w:val="left" w:pos="637"/>
        </w:tabs>
        <w:spacing w:line="312" w:lineRule="auto"/>
        <w:ind w:left="620" w:hanging="460"/>
        <w:jc w:val="both"/>
      </w:pPr>
      <w:r>
        <w:rPr>
          <w:rStyle w:val="Bodytext1"/>
        </w:rPr>
        <w:lastRenderedPageBreak/>
        <w:t>Kontaktní údaje finančního arbitra jsou následující: Adresa: Kan</w:t>
      </w:r>
      <w:r>
        <w:rPr>
          <w:rStyle w:val="Bodytext1"/>
        </w:rPr>
        <w:softHyphen/>
        <w:t>celář finančního arbitra, Legerova 1581/69,110 00 Praha 1. In</w:t>
      </w:r>
      <w:r>
        <w:rPr>
          <w:rStyle w:val="Bodytext1"/>
        </w:rPr>
        <w:softHyphen/>
        <w:t xml:space="preserve">ternetová adresa: </w:t>
      </w:r>
      <w:hyperlink r:id="rId17" w:history="1">
        <w:r>
          <w:rPr>
            <w:rStyle w:val="Bodytext1"/>
            <w:lang w:val="en-US" w:eastAsia="en-US" w:bidi="en-US"/>
          </w:rPr>
          <w:t>http://www.finarbitr.cz</w:t>
        </w:r>
      </w:hyperlink>
      <w:r>
        <w:rPr>
          <w:rStyle w:val="Bodytext1"/>
          <w:lang w:val="en-US" w:eastAsia="en-US" w:bidi="en-US"/>
        </w:rPr>
        <w:t xml:space="preserve">. </w:t>
      </w:r>
      <w:r>
        <w:rPr>
          <w:rStyle w:val="Bodytext1"/>
        </w:rPr>
        <w:t>ID datové schránky: qr9ab9x.</w:t>
      </w:r>
    </w:p>
    <w:p w14:paraId="2049C365" w14:textId="77777777" w:rsidR="008B0FD4" w:rsidRDefault="00000000">
      <w:pPr>
        <w:pStyle w:val="Bodytext10"/>
        <w:numPr>
          <w:ilvl w:val="1"/>
          <w:numId w:val="3"/>
        </w:numPr>
        <w:tabs>
          <w:tab w:val="left" w:pos="637"/>
        </w:tabs>
        <w:spacing w:after="380" w:line="312" w:lineRule="auto"/>
        <w:ind w:left="620" w:hanging="460"/>
        <w:jc w:val="both"/>
      </w:pPr>
      <w:r>
        <w:rPr>
          <w:rStyle w:val="Bodytext1"/>
        </w:rPr>
        <w:t>Ve věcech, v nichž není dána působnost finančního arbitra, je subjektem mimosoudního řešení spotřebitelských sporů Česká obchodní inspekce nebo jiný subjekt pověřený Ministerstvem průmyslu a obchodu.</w:t>
      </w:r>
    </w:p>
    <w:p w14:paraId="48D9C0F3" w14:textId="77777777" w:rsidR="008B0FD4" w:rsidRDefault="00000000">
      <w:pPr>
        <w:pStyle w:val="Bodytext10"/>
        <w:numPr>
          <w:ilvl w:val="0"/>
          <w:numId w:val="3"/>
        </w:numPr>
        <w:tabs>
          <w:tab w:val="left" w:pos="652"/>
        </w:tabs>
        <w:ind w:firstLine="160"/>
      </w:pPr>
      <w:r>
        <w:rPr>
          <w:rStyle w:val="Bodytext1"/>
          <w:color w:val="CC5E72"/>
        </w:rPr>
        <w:t>MĚNY A BANKOVNÍ DEN</w:t>
      </w:r>
    </w:p>
    <w:p w14:paraId="64CBFA26" w14:textId="77777777" w:rsidR="008B0FD4" w:rsidRDefault="00000000">
      <w:pPr>
        <w:pStyle w:val="Bodytext10"/>
        <w:numPr>
          <w:ilvl w:val="1"/>
          <w:numId w:val="3"/>
        </w:numPr>
        <w:tabs>
          <w:tab w:val="left" w:pos="637"/>
        </w:tabs>
        <w:ind w:left="620" w:hanging="460"/>
        <w:jc w:val="both"/>
      </w:pPr>
      <w:proofErr w:type="spellStart"/>
      <w:r>
        <w:rPr>
          <w:rStyle w:val="Bodytext1"/>
        </w:rPr>
        <w:t>Jsou-Li</w:t>
      </w:r>
      <w:proofErr w:type="spellEnd"/>
      <w:r>
        <w:rPr>
          <w:rStyle w:val="Bodytext1"/>
        </w:rPr>
        <w:t xml:space="preserve"> ve smlouvě, produktových podmínkách nebo v Obecných obchodních podmínkách odkazy na jakékoli limity v české měně a nevyplývá-li z kontextu jinak, platí stanovené limity analogicky i pro cizí měny s tím, že pro přepočet ekvivalentní částky limitu pro cizí měnu je rozhodující kurz střed Banky platný v den usku</w:t>
      </w:r>
      <w:r>
        <w:rPr>
          <w:rStyle w:val="Bodytext1"/>
        </w:rPr>
        <w:softHyphen/>
        <w:t>tečnění příslušné transakce nebo v den, ke kterému Banka posu</w:t>
      </w:r>
      <w:r>
        <w:rPr>
          <w:rStyle w:val="Bodytext1"/>
        </w:rPr>
        <w:softHyphen/>
        <w:t>zuje splnění stanoveného limitu.</w:t>
      </w:r>
    </w:p>
    <w:p w14:paraId="004875C6" w14:textId="77777777" w:rsidR="008B0FD4" w:rsidRDefault="00000000">
      <w:pPr>
        <w:pStyle w:val="Bodytext10"/>
        <w:numPr>
          <w:ilvl w:val="1"/>
          <w:numId w:val="3"/>
        </w:numPr>
        <w:tabs>
          <w:tab w:val="left" w:pos="637"/>
        </w:tabs>
        <w:spacing w:line="307" w:lineRule="auto"/>
        <w:ind w:left="620" w:hanging="460"/>
        <w:jc w:val="both"/>
      </w:pPr>
      <w:r>
        <w:rPr>
          <w:rStyle w:val="Bodytext1"/>
        </w:rPr>
        <w:t>Je-li měnou obchodního případu česká měna, pak se bankovním dnem rozumí den, kdy banky v České republice obvykle vykoná</w:t>
      </w:r>
      <w:r>
        <w:rPr>
          <w:rStyle w:val="Bodytext1"/>
        </w:rPr>
        <w:softHyphen/>
        <w:t>vají činnosti potřebné pro provedení platebních transakcí v České republice. Je-li měnou obchodního případu jiná než česká měna, pak se bankovním dnem rozumí den, kdy banky v České republice obvykle vykonávají činnosti potřebné pro provedení platebních transakcí v České republice a kdy banky v zemi příslušné cizí měny obvykle vykonávají činnosti potřebné pro provedení pla</w:t>
      </w:r>
      <w:r>
        <w:rPr>
          <w:rStyle w:val="Bodytext1"/>
        </w:rPr>
        <w:softHyphen/>
        <w:t>tebních transakcí v této zemi, resp. v případě měny euro den, kdy je otevřen systém TARGET (Trans-</w:t>
      </w:r>
      <w:proofErr w:type="spellStart"/>
      <w:r>
        <w:rPr>
          <w:rStyle w:val="Bodytext1"/>
        </w:rPr>
        <w:t>European</w:t>
      </w:r>
      <w:proofErr w:type="spellEnd"/>
      <w:r>
        <w:rPr>
          <w:rStyle w:val="Bodytext1"/>
        </w:rPr>
        <w:t xml:space="preserve"> </w:t>
      </w:r>
      <w:proofErr w:type="spellStart"/>
      <w:r>
        <w:rPr>
          <w:rStyle w:val="Bodytext1"/>
        </w:rPr>
        <w:t>Automated</w:t>
      </w:r>
      <w:proofErr w:type="spellEnd"/>
      <w:r>
        <w:rPr>
          <w:rStyle w:val="Bodytext1"/>
        </w:rPr>
        <w:t xml:space="preserve"> Real-</w:t>
      </w:r>
      <w:proofErr w:type="gramStart"/>
      <w:r>
        <w:rPr>
          <w:rStyle w:val="Bodytext1"/>
        </w:rPr>
        <w:t xml:space="preserve">ti- </w:t>
      </w:r>
      <w:proofErr w:type="spellStart"/>
      <w:r>
        <w:rPr>
          <w:rStyle w:val="Bodytext1"/>
        </w:rPr>
        <w:t>me</w:t>
      </w:r>
      <w:proofErr w:type="spellEnd"/>
      <w:proofErr w:type="gramEnd"/>
      <w:r>
        <w:rPr>
          <w:rStyle w:val="Bodytext1"/>
        </w:rPr>
        <w:t xml:space="preserve"> Gross Settlement Express Transfer).</w:t>
      </w:r>
    </w:p>
    <w:p w14:paraId="76DAEAF8" w14:textId="77777777" w:rsidR="008B0FD4" w:rsidRDefault="00000000">
      <w:pPr>
        <w:pStyle w:val="Bodytext10"/>
        <w:numPr>
          <w:ilvl w:val="1"/>
          <w:numId w:val="3"/>
        </w:numPr>
        <w:tabs>
          <w:tab w:val="left" w:pos="637"/>
        </w:tabs>
        <w:spacing w:line="312" w:lineRule="auto"/>
        <w:ind w:left="620" w:hanging="460"/>
        <w:jc w:val="both"/>
      </w:pPr>
      <w:r>
        <w:rPr>
          <w:rStyle w:val="Bodytext1"/>
        </w:rPr>
        <w:t>Zavedení měny euro jako národní měny v České republice a s tím související změny referenčních sazeb kótovaných na finančních trzích nebudou mít za následek zánik povinnosti Klienta plnit jeho dluh vůči Bance pro nemožnost plnění smlouvy, ani jej tyto změny neopravňují k jednostranné změně nebo k ukončení smluvního vztahu.</w:t>
      </w:r>
    </w:p>
    <w:p w14:paraId="47751538" w14:textId="77777777" w:rsidR="008B0FD4" w:rsidRDefault="00000000">
      <w:pPr>
        <w:pStyle w:val="Bodytext10"/>
        <w:numPr>
          <w:ilvl w:val="1"/>
          <w:numId w:val="3"/>
        </w:numPr>
        <w:tabs>
          <w:tab w:val="left" w:pos="637"/>
        </w:tabs>
        <w:spacing w:line="322" w:lineRule="auto"/>
        <w:ind w:left="620" w:hanging="460"/>
        <w:jc w:val="both"/>
      </w:pPr>
      <w:r>
        <w:rPr>
          <w:rStyle w:val="Bodytext1"/>
        </w:rPr>
        <w:t>Pro provádění konverze peněžních prostředků Bankou pro Klien</w:t>
      </w:r>
      <w:r>
        <w:rPr>
          <w:rStyle w:val="Bodytext1"/>
        </w:rPr>
        <w:softHyphen/>
        <w:t>ta, není-li dohodnuto jinak, platí následující pravidla:</w:t>
      </w:r>
    </w:p>
    <w:p w14:paraId="71BBE792" w14:textId="77777777" w:rsidR="008B0FD4" w:rsidRDefault="00000000">
      <w:pPr>
        <w:pStyle w:val="Bodytext10"/>
        <w:numPr>
          <w:ilvl w:val="0"/>
          <w:numId w:val="7"/>
        </w:numPr>
        <w:tabs>
          <w:tab w:val="left" w:pos="895"/>
        </w:tabs>
        <w:ind w:left="800" w:hanging="160"/>
        <w:jc w:val="both"/>
      </w:pPr>
      <w:r>
        <w:rPr>
          <w:rStyle w:val="Bodytext1"/>
        </w:rPr>
        <w:t>provádí-li Banka konverzi z cizí měny do české měny, bude přepočet proveden promptním kurzem Banky „deviza nákup“ (bezhotovostní konverze), resp. „valuta nákup“ (kurz „poklad</w:t>
      </w:r>
      <w:r>
        <w:rPr>
          <w:rStyle w:val="Bodytext1"/>
        </w:rPr>
        <w:softHyphen/>
        <w:t xml:space="preserve">na“ pro vklad </w:t>
      </w:r>
      <w:proofErr w:type="spellStart"/>
      <w:r>
        <w:rPr>
          <w:rStyle w:val="Bodytext1"/>
        </w:rPr>
        <w:t>cizoměnové</w:t>
      </w:r>
      <w:proofErr w:type="spellEnd"/>
      <w:r>
        <w:rPr>
          <w:rStyle w:val="Bodytext1"/>
        </w:rPr>
        <w:t xml:space="preserve"> hotovosti na účet vedený v české měně nebo pro směnárenské operace s cizí měnou);</w:t>
      </w:r>
    </w:p>
    <w:p w14:paraId="50AFD143" w14:textId="77777777" w:rsidR="008B0FD4" w:rsidRDefault="00000000">
      <w:pPr>
        <w:pStyle w:val="Bodytext10"/>
        <w:numPr>
          <w:ilvl w:val="0"/>
          <w:numId w:val="7"/>
        </w:numPr>
        <w:tabs>
          <w:tab w:val="left" w:pos="902"/>
        </w:tabs>
        <w:ind w:left="800" w:hanging="160"/>
        <w:jc w:val="both"/>
      </w:pPr>
      <w:r>
        <w:rPr>
          <w:rStyle w:val="Bodytext1"/>
        </w:rPr>
        <w:t xml:space="preserve">provádí-li Banka konverzi z české měny do cizí měny, bude přepočet proveden promptním kurzem Banky „deviza prodej" (bezhotovostní konverze), resp. „valuta prodej" (pro výběr </w:t>
      </w:r>
      <w:proofErr w:type="spellStart"/>
      <w:r>
        <w:rPr>
          <w:rStyle w:val="Bodytext1"/>
        </w:rPr>
        <w:t>ci</w:t>
      </w:r>
      <w:r>
        <w:rPr>
          <w:rStyle w:val="Bodytext1"/>
        </w:rPr>
        <w:softHyphen/>
        <w:t>zoměnové</w:t>
      </w:r>
      <w:proofErr w:type="spellEnd"/>
      <w:r>
        <w:rPr>
          <w:rStyle w:val="Bodytext1"/>
        </w:rPr>
        <w:t xml:space="preserve"> hotovosti z účtu vedeného v jiné měně nebo pro směnárenské operace s cizí měnou);</w:t>
      </w:r>
    </w:p>
    <w:p w14:paraId="03FBCFAF" w14:textId="77777777" w:rsidR="008B0FD4" w:rsidRDefault="00000000">
      <w:pPr>
        <w:pStyle w:val="Bodytext10"/>
        <w:numPr>
          <w:ilvl w:val="0"/>
          <w:numId w:val="7"/>
        </w:numPr>
        <w:tabs>
          <w:tab w:val="left" w:pos="888"/>
        </w:tabs>
        <w:spacing w:line="307" w:lineRule="auto"/>
        <w:ind w:left="800" w:hanging="160"/>
        <w:jc w:val="both"/>
      </w:pPr>
      <w:r>
        <w:rPr>
          <w:rStyle w:val="Bodytext1"/>
        </w:rPr>
        <w:t>provádí-li Banka konverzi peněžních prostředků z jedné cizí měny do jiné (nákup, resp. prodej deviz/valut), bude přepo</w:t>
      </w:r>
      <w:r>
        <w:rPr>
          <w:rStyle w:val="Bodytext1"/>
        </w:rPr>
        <w:softHyphen/>
        <w:t xml:space="preserve">čet proveden promptním křížovým kurzem měn stanoveným Bankou na základě kurzů definovaných v </w:t>
      </w:r>
      <w:proofErr w:type="spellStart"/>
      <w:r>
        <w:rPr>
          <w:rStyle w:val="Bodytext1"/>
        </w:rPr>
        <w:t>ust</w:t>
      </w:r>
      <w:proofErr w:type="spellEnd"/>
      <w:r>
        <w:rPr>
          <w:rStyle w:val="Bodytext1"/>
        </w:rPr>
        <w:t>. 15.4 písm. a) a b) Obecných obchodních podmínek;</w:t>
      </w:r>
    </w:p>
    <w:p w14:paraId="6E5B25F7" w14:textId="77777777" w:rsidR="008B0FD4" w:rsidRDefault="00000000">
      <w:pPr>
        <w:pStyle w:val="Bodytext10"/>
        <w:numPr>
          <w:ilvl w:val="0"/>
          <w:numId w:val="7"/>
        </w:numPr>
        <w:tabs>
          <w:tab w:val="left" w:pos="910"/>
        </w:tabs>
        <w:spacing w:line="312" w:lineRule="auto"/>
        <w:ind w:left="800" w:hanging="160"/>
        <w:jc w:val="both"/>
      </w:pPr>
      <w:r>
        <w:rPr>
          <w:rStyle w:val="Bodytext1"/>
        </w:rPr>
        <w:t>promptní kurz je kurz podle kurzovního lístku Banky platného v den účinnosti příkazu k převodu, resp. v okamžiku provedení této transakce.</w:t>
      </w:r>
    </w:p>
    <w:p w14:paraId="39CC7A2E" w14:textId="77777777" w:rsidR="008B0FD4" w:rsidRDefault="00000000">
      <w:pPr>
        <w:pStyle w:val="Bodytext10"/>
        <w:numPr>
          <w:ilvl w:val="1"/>
          <w:numId w:val="3"/>
        </w:numPr>
        <w:tabs>
          <w:tab w:val="left" w:pos="637"/>
        </w:tabs>
        <w:spacing w:line="312" w:lineRule="auto"/>
        <w:ind w:left="620" w:hanging="460"/>
        <w:jc w:val="both"/>
      </w:pPr>
      <w:r>
        <w:rPr>
          <w:rStyle w:val="Bodytext1"/>
        </w:rPr>
        <w:t>Kurzovní lístek je zveřejňován na internetových stránkách a v provozních prostorách obchodních míst Banky.</w:t>
      </w:r>
    </w:p>
    <w:sectPr w:rsidR="008B0FD4">
      <w:pgSz w:w="11900" w:h="16840"/>
      <w:pgMar w:top="979" w:right="1001" w:bottom="1475" w:left="8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E226" w14:textId="77777777" w:rsidR="00204AF6" w:rsidRDefault="00204AF6">
      <w:r>
        <w:separator/>
      </w:r>
    </w:p>
  </w:endnote>
  <w:endnote w:type="continuationSeparator" w:id="0">
    <w:p w14:paraId="3CFA3E79" w14:textId="77777777" w:rsidR="00204AF6" w:rsidRDefault="0020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D42A" w14:textId="77777777" w:rsidR="008B0FD4" w:rsidRDefault="00000000">
    <w:pPr>
      <w:spacing w:line="1" w:lineRule="exact"/>
    </w:pPr>
    <w:r>
      <w:rPr>
        <w:noProof/>
      </w:rPr>
      <mc:AlternateContent>
        <mc:Choice Requires="wps">
          <w:drawing>
            <wp:anchor distT="0" distB="0" distL="0" distR="0" simplePos="0" relativeHeight="62914692" behindDoc="1" locked="0" layoutInCell="1" allowOverlap="1" wp14:anchorId="487A6033" wp14:editId="19C963C4">
              <wp:simplePos x="0" y="0"/>
              <wp:positionH relativeFrom="page">
                <wp:posOffset>6933565</wp:posOffset>
              </wp:positionH>
              <wp:positionV relativeFrom="page">
                <wp:posOffset>10147935</wp:posOffset>
              </wp:positionV>
              <wp:extent cx="27305" cy="59690"/>
              <wp:effectExtent l="0" t="0" r="0" b="0"/>
              <wp:wrapNone/>
              <wp:docPr id="5" name="Shape 5"/>
              <wp:cNvGraphicFramePr/>
              <a:graphic xmlns:a="http://schemas.openxmlformats.org/drawingml/2006/main">
                <a:graphicData uri="http://schemas.microsoft.com/office/word/2010/wordprocessingShape">
                  <wps:wsp>
                    <wps:cNvSpPr txBox="1"/>
                    <wps:spPr>
                      <a:xfrm>
                        <a:off x="0" y="0"/>
                        <a:ext cx="27305" cy="59690"/>
                      </a:xfrm>
                      <a:prstGeom prst="rect">
                        <a:avLst/>
                      </a:prstGeom>
                      <a:noFill/>
                    </wps:spPr>
                    <wps:txbx>
                      <w:txbxContent>
                        <w:p w14:paraId="334EC770"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wps:txbx>
                    <wps:bodyPr wrap="none" lIns="0" tIns="0" rIns="0" bIns="0">
                      <a:spAutoFit/>
                    </wps:bodyPr>
                  </wps:wsp>
                </a:graphicData>
              </a:graphic>
            </wp:anchor>
          </w:drawing>
        </mc:Choice>
        <mc:Fallback>
          <w:pict>
            <v:shapetype w14:anchorId="487A6033" id="_x0000_t202" coordsize="21600,21600" o:spt="202" path="m,l,21600r21600,l21600,xe">
              <v:stroke joinstyle="miter"/>
              <v:path gradientshapeok="t" o:connecttype="rect"/>
            </v:shapetype>
            <v:shape id="Shape 5" o:spid="_x0000_s1028" type="#_x0000_t202" style="position:absolute;margin-left:545.95pt;margin-top:799.05pt;width:2.15pt;height:4.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" filled="f" stroked="f">
              <v:textbox style="mso-fit-shape-to-text:t" inset="0,0,0,0">
                <w:txbxContent>
                  <w:p w14:paraId="334EC770"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625" w14:textId="77777777" w:rsidR="008B0FD4" w:rsidRDefault="00000000">
    <w:pPr>
      <w:spacing w:line="1" w:lineRule="exact"/>
    </w:pPr>
    <w:r>
      <w:rPr>
        <w:noProof/>
      </w:rPr>
      <mc:AlternateContent>
        <mc:Choice Requires="wps">
          <w:drawing>
            <wp:anchor distT="0" distB="0" distL="0" distR="0" simplePos="0" relativeHeight="62914690" behindDoc="1" locked="0" layoutInCell="1" allowOverlap="1" wp14:anchorId="5E050482" wp14:editId="018AD2CF">
              <wp:simplePos x="0" y="0"/>
              <wp:positionH relativeFrom="page">
                <wp:posOffset>6933565</wp:posOffset>
              </wp:positionH>
              <wp:positionV relativeFrom="page">
                <wp:posOffset>10147935</wp:posOffset>
              </wp:positionV>
              <wp:extent cx="27305" cy="59690"/>
              <wp:effectExtent l="0" t="0" r="0" b="0"/>
              <wp:wrapNone/>
              <wp:docPr id="3" name="Shape 3"/>
              <wp:cNvGraphicFramePr/>
              <a:graphic xmlns:a="http://schemas.openxmlformats.org/drawingml/2006/main">
                <a:graphicData uri="http://schemas.microsoft.com/office/word/2010/wordprocessingShape">
                  <wps:wsp>
                    <wps:cNvSpPr txBox="1"/>
                    <wps:spPr>
                      <a:xfrm>
                        <a:off x="0" y="0"/>
                        <a:ext cx="27305" cy="59690"/>
                      </a:xfrm>
                      <a:prstGeom prst="rect">
                        <a:avLst/>
                      </a:prstGeom>
                      <a:noFill/>
                    </wps:spPr>
                    <wps:txbx>
                      <w:txbxContent>
                        <w:p w14:paraId="3954315F"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wps:txbx>
                    <wps:bodyPr wrap="none" lIns="0" tIns="0" rIns="0" bIns="0">
                      <a:spAutoFit/>
                    </wps:bodyPr>
                  </wps:wsp>
                </a:graphicData>
              </a:graphic>
            </wp:anchor>
          </w:drawing>
        </mc:Choice>
        <mc:Fallback>
          <w:pict>
            <v:shapetype w14:anchorId="5E050482" id="_x0000_t202" coordsize="21600,21600" o:spt="202" path="m,l,21600r21600,l21600,xe">
              <v:stroke joinstyle="miter"/>
              <v:path gradientshapeok="t" o:connecttype="rect"/>
            </v:shapetype>
            <v:shape id="Shape 3" o:spid="_x0000_s1029" type="#_x0000_t202" style="position:absolute;margin-left:545.95pt;margin-top:799.05pt;width:2.15pt;height:4.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" filled="f" stroked="f">
              <v:textbox style="mso-fit-shape-to-text:t" inset="0,0,0,0">
                <w:txbxContent>
                  <w:p w14:paraId="3954315F"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A07B" w14:textId="77777777" w:rsidR="008B0FD4" w:rsidRDefault="00000000">
    <w:pPr>
      <w:spacing w:line="1" w:lineRule="exact"/>
    </w:pPr>
    <w:r>
      <w:rPr>
        <w:noProof/>
      </w:rPr>
      <mc:AlternateContent>
        <mc:Choice Requires="wps">
          <w:drawing>
            <wp:anchor distT="0" distB="0" distL="0" distR="0" simplePos="0" relativeHeight="62914696" behindDoc="1" locked="0" layoutInCell="1" allowOverlap="1" wp14:anchorId="45C61209" wp14:editId="5AAEBE02">
              <wp:simplePos x="0" y="0"/>
              <wp:positionH relativeFrom="page">
                <wp:posOffset>6898005</wp:posOffset>
              </wp:positionH>
              <wp:positionV relativeFrom="page">
                <wp:posOffset>10003155</wp:posOffset>
              </wp:positionV>
              <wp:extent cx="31750" cy="50165"/>
              <wp:effectExtent l="0" t="0" r="0" b="0"/>
              <wp:wrapNone/>
              <wp:docPr id="11" name="Shape 11"/>
              <wp:cNvGraphicFramePr/>
              <a:graphic xmlns:a="http://schemas.openxmlformats.org/drawingml/2006/main">
                <a:graphicData uri="http://schemas.microsoft.com/office/word/2010/wordprocessingShape">
                  <wps:wsp>
                    <wps:cNvSpPr txBox="1"/>
                    <wps:spPr>
                      <a:xfrm>
                        <a:off x="0" y="0"/>
                        <a:ext cx="31750" cy="50165"/>
                      </a:xfrm>
                      <a:prstGeom prst="rect">
                        <a:avLst/>
                      </a:prstGeom>
                      <a:noFill/>
                    </wps:spPr>
                    <wps:txbx>
                      <w:txbxContent>
                        <w:p w14:paraId="5B48B8F8"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wps:txbx>
                    <wps:bodyPr wrap="none" lIns="0" tIns="0" rIns="0" bIns="0">
                      <a:spAutoFit/>
                    </wps:bodyPr>
                  </wps:wsp>
                </a:graphicData>
              </a:graphic>
            </wp:anchor>
          </w:drawing>
        </mc:Choice>
        <mc:Fallback>
          <w:pict>
            <v:shapetype w14:anchorId="45C61209" id="_x0000_t202" coordsize="21600,21600" o:spt="202" path="m,l,21600r21600,l21600,xe">
              <v:stroke joinstyle="miter"/>
              <v:path gradientshapeok="t" o:connecttype="rect"/>
            </v:shapetype>
            <v:shape id="Shape 11" o:spid="_x0000_s1030" type="#_x0000_t202" style="position:absolute;margin-left:543.15pt;margin-top:787.65pt;width:2.5pt;height:3.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" filled="f" stroked="f">
              <v:textbox style="mso-fit-shape-to-text:t" inset="0,0,0,0">
                <w:txbxContent>
                  <w:p w14:paraId="5B48B8F8"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46E" w14:textId="77777777" w:rsidR="008B0FD4" w:rsidRDefault="00000000">
    <w:pPr>
      <w:spacing w:line="1" w:lineRule="exact"/>
    </w:pPr>
    <w:r>
      <w:rPr>
        <w:noProof/>
      </w:rPr>
      <mc:AlternateContent>
        <mc:Choice Requires="wps">
          <w:drawing>
            <wp:anchor distT="0" distB="0" distL="0" distR="0" simplePos="0" relativeHeight="62914694" behindDoc="1" locked="0" layoutInCell="1" allowOverlap="1" wp14:anchorId="7CBC36C1" wp14:editId="5B8D76C2">
              <wp:simplePos x="0" y="0"/>
              <wp:positionH relativeFrom="page">
                <wp:posOffset>6898005</wp:posOffset>
              </wp:positionH>
              <wp:positionV relativeFrom="page">
                <wp:posOffset>10003155</wp:posOffset>
              </wp:positionV>
              <wp:extent cx="31750" cy="50165"/>
              <wp:effectExtent l="0" t="0" r="0" b="0"/>
              <wp:wrapNone/>
              <wp:docPr id="9" name="Shape 9"/>
              <wp:cNvGraphicFramePr/>
              <a:graphic xmlns:a="http://schemas.openxmlformats.org/drawingml/2006/main">
                <a:graphicData uri="http://schemas.microsoft.com/office/word/2010/wordprocessingShape">
                  <wps:wsp>
                    <wps:cNvSpPr txBox="1"/>
                    <wps:spPr>
                      <a:xfrm>
                        <a:off x="0" y="0"/>
                        <a:ext cx="31750" cy="50165"/>
                      </a:xfrm>
                      <a:prstGeom prst="rect">
                        <a:avLst/>
                      </a:prstGeom>
                      <a:noFill/>
                    </wps:spPr>
                    <wps:txbx>
                      <w:txbxContent>
                        <w:p w14:paraId="440CB8DB"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wps:txbx>
                    <wps:bodyPr wrap="none" lIns="0" tIns="0" rIns="0" bIns="0">
                      <a:spAutoFit/>
                    </wps:bodyPr>
                  </wps:wsp>
                </a:graphicData>
              </a:graphic>
            </wp:anchor>
          </w:drawing>
        </mc:Choice>
        <mc:Fallback>
          <w:pict>
            <v:shapetype w14:anchorId="7CBC36C1" id="_x0000_t202" coordsize="21600,21600" o:spt="202" path="m,l,21600r21600,l21600,xe">
              <v:stroke joinstyle="miter"/>
              <v:path gradientshapeok="t" o:connecttype="rect"/>
            </v:shapetype>
            <v:shape id="Shape 9" o:spid="_x0000_s1031" type="#_x0000_t202" style="position:absolute;margin-left:543.15pt;margin-top:787.65pt;width:2.5pt;height:3.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" filled="f" stroked="f">
              <v:textbox style="mso-fit-shape-to-text:t" inset="0,0,0,0">
                <w:txbxContent>
                  <w:p w14:paraId="440CB8DB"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CB0" w14:textId="77777777" w:rsidR="008B0FD4" w:rsidRDefault="00000000">
    <w:pPr>
      <w:spacing w:line="1" w:lineRule="exact"/>
    </w:pPr>
    <w:r>
      <w:rPr>
        <w:noProof/>
      </w:rPr>
      <mc:AlternateContent>
        <mc:Choice Requires="wps">
          <w:drawing>
            <wp:anchor distT="0" distB="0" distL="0" distR="0" simplePos="0" relativeHeight="62914700" behindDoc="1" locked="0" layoutInCell="1" allowOverlap="1" wp14:anchorId="5D11D900" wp14:editId="10BEBDC1">
              <wp:simplePos x="0" y="0"/>
              <wp:positionH relativeFrom="page">
                <wp:posOffset>623570</wp:posOffset>
              </wp:positionH>
              <wp:positionV relativeFrom="page">
                <wp:posOffset>9997440</wp:posOffset>
              </wp:positionV>
              <wp:extent cx="6290945" cy="178435"/>
              <wp:effectExtent l="0" t="0" r="0" b="0"/>
              <wp:wrapNone/>
              <wp:docPr id="15" name="Shape 15"/>
              <wp:cNvGraphicFramePr/>
              <a:graphic xmlns:a="http://schemas.openxmlformats.org/drawingml/2006/main">
                <a:graphicData uri="http://schemas.microsoft.com/office/word/2010/wordprocessingShape">
                  <wps:wsp>
                    <wps:cNvSpPr txBox="1"/>
                    <wps:spPr>
                      <a:xfrm>
                        <a:off x="0" y="0"/>
                        <a:ext cx="6290945" cy="178435"/>
                      </a:xfrm>
                      <a:prstGeom prst="rect">
                        <a:avLst/>
                      </a:prstGeom>
                      <a:noFill/>
                    </wps:spPr>
                    <wps:txbx>
                      <w:txbxContent>
                        <w:p w14:paraId="3235DFAD" w14:textId="77777777" w:rsidR="008B0FD4" w:rsidRDefault="00000000">
                          <w:pPr>
                            <w:pStyle w:val="Headerorfooter20"/>
                            <w:rPr>
                              <w:sz w:val="11"/>
                              <w:szCs w:val="11"/>
                            </w:rPr>
                          </w:pPr>
                          <w:r>
                            <w:rPr>
                              <w:rStyle w:val="Headerorfooter2"/>
                              <w:rFonts w:ascii="Arial" w:eastAsia="Arial" w:hAnsi="Arial" w:cs="Arial"/>
                              <w:sz w:val="11"/>
                              <w:szCs w:val="11"/>
                            </w:rPr>
                            <w:t>UniCredit Bank CzechRepublic and Slovakia. a s.Želetavska 1525/1,140 92 Praha 4-Michle, IČO 64948242, zapsaná v obchodním rejstříku vedeném Městským soudem v Praze, oddíl B, vložka 3608,</w:t>
                          </w:r>
                        </w:p>
                        <w:p w14:paraId="57D2B48E" w14:textId="77777777" w:rsidR="008B0FD4" w:rsidRDefault="00000000">
                          <w:pPr>
                            <w:pStyle w:val="Headerorfooter20"/>
                            <w:rPr>
                              <w:sz w:val="11"/>
                              <w:szCs w:val="11"/>
                            </w:rPr>
                          </w:pPr>
                          <w:r>
                            <w:rPr>
                              <w:rStyle w:val="Headerorfooter2"/>
                              <w:rFonts w:ascii="Arial" w:eastAsia="Arial" w:hAnsi="Arial" w:cs="Arial"/>
                              <w:sz w:val="11"/>
                              <w:szCs w:val="11"/>
                              <w:lang w:val="en-US" w:eastAsia="en-US" w:bidi="en-US"/>
                            </w:rPr>
                            <w:t>www.unicreditbank.cz.</w:t>
                          </w:r>
                        </w:p>
                      </w:txbxContent>
                    </wps:txbx>
                    <wps:bodyPr wrap="none" lIns="0" tIns="0" rIns="0" bIns="0">
                      <a:spAutoFit/>
                    </wps:bodyPr>
                  </wps:wsp>
                </a:graphicData>
              </a:graphic>
            </wp:anchor>
          </w:drawing>
        </mc:Choice>
        <mc:Fallback>
          <w:pict>
            <v:shapetype w14:anchorId="5D11D900" id="_x0000_t202" coordsize="21600,21600" o:spt="202" path="m,l,21600r21600,l21600,xe">
              <v:stroke joinstyle="miter"/>
              <v:path gradientshapeok="t" o:connecttype="rect"/>
            </v:shapetype>
            <v:shape id="Shape 15" o:spid="_x0000_s1032" type="#_x0000_t202" style="position:absolute;margin-left:49.1pt;margin-top:787.2pt;width:495.35pt;height:14.0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" filled="f" stroked="f">
              <v:textbox style="mso-fit-shape-to-text:t" inset="0,0,0,0">
                <w:txbxContent>
                  <w:p w14:paraId="3235DFAD" w14:textId="77777777" w:rsidR="008B0FD4" w:rsidRDefault="00000000">
                    <w:pPr>
                      <w:pStyle w:val="Headerorfooter20"/>
                      <w:rPr>
                        <w:sz w:val="11"/>
                        <w:szCs w:val="11"/>
                      </w:rPr>
                    </w:pPr>
                    <w:r>
                      <w:rPr>
                        <w:rStyle w:val="Headerorfooter2"/>
                        <w:rFonts w:ascii="Arial" w:eastAsia="Arial" w:hAnsi="Arial" w:cs="Arial"/>
                        <w:sz w:val="11"/>
                        <w:szCs w:val="11"/>
                      </w:rPr>
                      <w:t>UniCredit Bank CzechRepublic and Slovakia. a s.Želetavska 1525/1,140 92 Praha 4-Michle, IČO 64948242, zapsaná v obchodním rejstříku vedeném Městským soudem v Praze, oddíl B, vložka 3608,</w:t>
                    </w:r>
                  </w:p>
                  <w:p w14:paraId="57D2B48E" w14:textId="77777777" w:rsidR="008B0FD4" w:rsidRDefault="00000000">
                    <w:pPr>
                      <w:pStyle w:val="Headerorfooter20"/>
                      <w:rPr>
                        <w:sz w:val="11"/>
                        <w:szCs w:val="11"/>
                      </w:rPr>
                    </w:pPr>
                    <w:r>
                      <w:rPr>
                        <w:rStyle w:val="Headerorfooter2"/>
                        <w:rFonts w:ascii="Arial" w:eastAsia="Arial" w:hAnsi="Arial" w:cs="Arial"/>
                        <w:sz w:val="11"/>
                        <w:szCs w:val="11"/>
                        <w:lang w:val="en-US" w:eastAsia="en-US" w:bidi="en-US"/>
                      </w:rPr>
                      <w:t>www.unicreditbank.cz.</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0082460C" wp14:editId="20C5DEED">
              <wp:simplePos x="0" y="0"/>
              <wp:positionH relativeFrom="page">
                <wp:posOffset>6878320</wp:posOffset>
              </wp:positionH>
              <wp:positionV relativeFrom="page">
                <wp:posOffset>10244455</wp:posOffset>
              </wp:positionV>
              <wp:extent cx="36830" cy="54610"/>
              <wp:effectExtent l="0" t="0" r="0" b="0"/>
              <wp:wrapNone/>
              <wp:docPr id="17" name="Shape 17"/>
              <wp:cNvGraphicFramePr/>
              <a:graphic xmlns:a="http://schemas.openxmlformats.org/drawingml/2006/main">
                <a:graphicData uri="http://schemas.microsoft.com/office/word/2010/wordprocessingShape">
                  <wps:wsp>
                    <wps:cNvSpPr txBox="1"/>
                    <wps:spPr>
                      <a:xfrm>
                        <a:off x="0" y="0"/>
                        <a:ext cx="36830" cy="54610"/>
                      </a:xfrm>
                      <a:prstGeom prst="rect">
                        <a:avLst/>
                      </a:prstGeom>
                      <a:noFill/>
                    </wps:spPr>
                    <wps:txbx>
                      <w:txbxContent>
                        <w:p w14:paraId="59FB32E5"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wps:txbx>
                    <wps:bodyPr wrap="none" lIns="0" tIns="0" rIns="0" bIns="0">
                      <a:spAutoFit/>
                    </wps:bodyPr>
                  </wps:wsp>
                </a:graphicData>
              </a:graphic>
            </wp:anchor>
          </w:drawing>
        </mc:Choice>
        <mc:Fallback>
          <w:pict>
            <v:shape w14:anchorId="0082460C" id="Shape 17" o:spid="_x0000_s1033" type="#_x0000_t202" style="position:absolute;margin-left:541.6pt;margin-top:806.65pt;width:2.9pt;height:4.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" filled="f" stroked="f">
              <v:textbox style="mso-fit-shape-to-text:t" inset="0,0,0,0">
                <w:txbxContent>
                  <w:p w14:paraId="59FB32E5"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D875" w14:textId="77777777" w:rsidR="008B0FD4" w:rsidRDefault="00000000">
    <w:pPr>
      <w:spacing w:line="1" w:lineRule="exact"/>
    </w:pPr>
    <w:r>
      <w:rPr>
        <w:noProof/>
      </w:rPr>
      <mc:AlternateContent>
        <mc:Choice Requires="wps">
          <w:drawing>
            <wp:anchor distT="0" distB="0" distL="0" distR="0" simplePos="0" relativeHeight="62914698" behindDoc="1" locked="0" layoutInCell="1" allowOverlap="1" wp14:anchorId="6205F626" wp14:editId="19C10329">
              <wp:simplePos x="0" y="0"/>
              <wp:positionH relativeFrom="page">
                <wp:posOffset>6933565</wp:posOffset>
              </wp:positionH>
              <wp:positionV relativeFrom="page">
                <wp:posOffset>10147935</wp:posOffset>
              </wp:positionV>
              <wp:extent cx="27305" cy="59690"/>
              <wp:effectExtent l="0" t="0" r="0" b="0"/>
              <wp:wrapNone/>
              <wp:docPr id="13" name="Shape 13"/>
              <wp:cNvGraphicFramePr/>
              <a:graphic xmlns:a="http://schemas.openxmlformats.org/drawingml/2006/main">
                <a:graphicData uri="http://schemas.microsoft.com/office/word/2010/wordprocessingShape">
                  <wps:wsp>
                    <wps:cNvSpPr txBox="1"/>
                    <wps:spPr>
                      <a:xfrm>
                        <a:off x="0" y="0"/>
                        <a:ext cx="27305" cy="59690"/>
                      </a:xfrm>
                      <a:prstGeom prst="rect">
                        <a:avLst/>
                      </a:prstGeom>
                      <a:noFill/>
                    </wps:spPr>
                    <wps:txbx>
                      <w:txbxContent>
                        <w:p w14:paraId="0CC3F13E"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wps:txbx>
                    <wps:bodyPr wrap="none" lIns="0" tIns="0" rIns="0" bIns="0">
                      <a:spAutoFit/>
                    </wps:bodyPr>
                  </wps:wsp>
                </a:graphicData>
              </a:graphic>
            </wp:anchor>
          </w:drawing>
        </mc:Choice>
        <mc:Fallback>
          <w:pict>
            <v:shapetype w14:anchorId="6205F626" id="_x0000_t202" coordsize="21600,21600" o:spt="202" path="m,l,21600r21600,l21600,xe">
              <v:stroke joinstyle="miter"/>
              <v:path gradientshapeok="t" o:connecttype="rect"/>
            </v:shapetype>
            <v:shape id="Shape 13" o:spid="_x0000_s1034" type="#_x0000_t202" style="position:absolute;margin-left:545.95pt;margin-top:799.05pt;width:2.15pt;height:4.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" filled="f" stroked="f">
              <v:textbox style="mso-fit-shape-to-text:t" inset="0,0,0,0">
                <w:txbxContent>
                  <w:p w14:paraId="0CC3F13E" w14:textId="77777777" w:rsidR="008B0FD4" w:rsidRDefault="00000000">
                    <w:pPr>
                      <w:pStyle w:val="Headerorfooter20"/>
                      <w:rPr>
                        <w:sz w:val="11"/>
                        <w:szCs w:val="11"/>
                      </w:rPr>
                    </w:pPr>
                    <w:r>
                      <w:fldChar w:fldCharType="begin"/>
                    </w:r>
                    <w:r>
                      <w:instrText xml:space="preserve"> PAGE \* MERGEFORMAT </w:instrText>
                    </w:r>
                    <w:r>
                      <w:fldChar w:fldCharType="separate"/>
                    </w:r>
                    <w:r>
                      <w:rPr>
                        <w:rStyle w:val="Headerorfooter2"/>
                        <w:rFonts w:ascii="Arial" w:eastAsia="Arial" w:hAnsi="Arial" w:cs="Arial"/>
                        <w:sz w:val="11"/>
                        <w:szCs w:val="11"/>
                      </w:rPr>
                      <w:t>#</w:t>
                    </w:r>
                    <w:r>
                      <w:rPr>
                        <w:rStyle w:val="Headerorfooter2"/>
                        <w:rFonts w:ascii="Arial" w:eastAsia="Arial" w:hAnsi="Arial" w:cs="Arial"/>
                        <w:sz w:val="11"/>
                        <w:szCs w:val="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8BBD" w14:textId="77777777" w:rsidR="00204AF6" w:rsidRDefault="00204AF6"/>
  </w:footnote>
  <w:footnote w:type="continuationSeparator" w:id="0">
    <w:p w14:paraId="035FFBD5" w14:textId="77777777" w:rsidR="00204AF6" w:rsidRDefault="00204A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B76"/>
    <w:multiLevelType w:val="multilevel"/>
    <w:tmpl w:val="59AEC9B4"/>
    <w:lvl w:ilvl="0">
      <w:start w:val="5"/>
      <w:numFmt w:val="decimal"/>
      <w:lvlText w:val="%1."/>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33751"/>
    <w:multiLevelType w:val="multilevel"/>
    <w:tmpl w:val="9F68C91E"/>
    <w:lvl w:ilvl="0">
      <w:start w:val="1"/>
      <w:numFmt w:val="decimal"/>
      <w:lvlText w:val="%1."/>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62C5F"/>
    <w:multiLevelType w:val="multilevel"/>
    <w:tmpl w:val="D2628026"/>
    <w:lvl w:ilvl="0">
      <w:start w:val="1"/>
      <w:numFmt w:val="lowerLetter"/>
      <w:lvlText w:val="%1)"/>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D409CE"/>
    <w:multiLevelType w:val="multilevel"/>
    <w:tmpl w:val="A40497A0"/>
    <w:lvl w:ilvl="0">
      <w:start w:val="1"/>
      <w:numFmt w:val="lowerLetter"/>
      <w:lvlText w:val="%1)"/>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986359"/>
    <w:multiLevelType w:val="multilevel"/>
    <w:tmpl w:val="241A3AE0"/>
    <w:lvl w:ilvl="0">
      <w:start w:val="1"/>
      <w:numFmt w:val="lowerLetter"/>
      <w:lvlText w:val="%1)"/>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A63C14"/>
    <w:multiLevelType w:val="multilevel"/>
    <w:tmpl w:val="FDCC2428"/>
    <w:lvl w:ilvl="0">
      <w:start w:val="1"/>
      <w:numFmt w:val="lowerLetter"/>
      <w:lvlText w:val="%1)"/>
      <w:lvlJc w:val="left"/>
      <w:rPr>
        <w:rFonts w:ascii="Arial" w:eastAsia="Arial" w:hAnsi="Arial" w:cs="Arial"/>
        <w:b w:val="0"/>
        <w:bCs w:val="0"/>
        <w:i w:val="0"/>
        <w:iCs w:val="0"/>
        <w:smallCaps w:val="0"/>
        <w:strike w:val="0"/>
        <w:color w:val="CC5E72"/>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3279C6"/>
    <w:multiLevelType w:val="multilevel"/>
    <w:tmpl w:val="DF402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6236032">
    <w:abstractNumId w:val="6"/>
  </w:num>
  <w:num w:numId="2" w16cid:durableId="1693259151">
    <w:abstractNumId w:val="1"/>
  </w:num>
  <w:num w:numId="3" w16cid:durableId="96099099">
    <w:abstractNumId w:val="0"/>
  </w:num>
  <w:num w:numId="4" w16cid:durableId="687407285">
    <w:abstractNumId w:val="3"/>
  </w:num>
  <w:num w:numId="5" w16cid:durableId="1156150087">
    <w:abstractNumId w:val="5"/>
  </w:num>
  <w:num w:numId="6" w16cid:durableId="1752122190">
    <w:abstractNumId w:val="4"/>
  </w:num>
  <w:num w:numId="7" w16cid:durableId="1576428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D4"/>
    <w:rsid w:val="00204AF6"/>
    <w:rsid w:val="008B0FD4"/>
    <w:rsid w:val="00DE4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0EE0"/>
  <w15:docId w15:val="{B4DE80D9-1413-492B-9F5E-057E2A8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
    <w:name w:val="Body text|6_"/>
    <w:basedOn w:val="Standardnpsmoodstavce"/>
    <w:link w:val="Bodytext60"/>
    <w:rPr>
      <w:rFonts w:ascii="Arial" w:eastAsia="Arial" w:hAnsi="Arial" w:cs="Arial"/>
      <w:b/>
      <w:bCs/>
      <w:i w:val="0"/>
      <w:iCs w:val="0"/>
      <w:smallCaps w:val="0"/>
      <w:strike w:val="0"/>
      <w:sz w:val="44"/>
      <w:szCs w:val="44"/>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60"/>
      <w:szCs w:val="6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30"/>
      <w:szCs w:val="30"/>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color w:val="CC5E72"/>
      <w:sz w:val="56"/>
      <w:szCs w:val="56"/>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color w:val="CC5E72"/>
      <w:w w:val="80"/>
      <w:sz w:val="44"/>
      <w:szCs w:val="44"/>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7"/>
      <w:szCs w:val="17"/>
      <w:u w:val="none"/>
    </w:rPr>
  </w:style>
  <w:style w:type="character" w:customStyle="1" w:styleId="Tableofcontents1">
    <w:name w:val="Table of contents|1_"/>
    <w:basedOn w:val="Standardnpsmoodstavce"/>
    <w:link w:val="Tableofcontents10"/>
    <w:rPr>
      <w:rFonts w:ascii="Arial" w:eastAsia="Arial" w:hAnsi="Arial" w:cs="Arial"/>
      <w:b w:val="0"/>
      <w:bCs w:val="0"/>
      <w:i w:val="0"/>
      <w:iCs w:val="0"/>
      <w:smallCaps w:val="0"/>
      <w:strike w:val="0"/>
      <w:sz w:val="17"/>
      <w:szCs w:val="17"/>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1"/>
      <w:szCs w:val="11"/>
      <w:u w:val="none"/>
    </w:rPr>
  </w:style>
  <w:style w:type="paragraph" w:customStyle="1" w:styleId="Bodytext60">
    <w:name w:val="Body text|6"/>
    <w:basedOn w:val="Normln"/>
    <w:link w:val="Bodytext6"/>
    <w:rPr>
      <w:rFonts w:ascii="Arial" w:eastAsia="Arial" w:hAnsi="Arial" w:cs="Arial"/>
      <w:b/>
      <w:bCs/>
      <w:sz w:val="44"/>
      <w:szCs w:val="44"/>
    </w:rPr>
  </w:style>
  <w:style w:type="paragraph" w:customStyle="1" w:styleId="Bodytext10">
    <w:name w:val="Body text|1"/>
    <w:basedOn w:val="Normln"/>
    <w:link w:val="Bodytext1"/>
    <w:pPr>
      <w:spacing w:after="100" w:line="310" w:lineRule="auto"/>
    </w:pPr>
    <w:rPr>
      <w:rFonts w:ascii="Arial" w:eastAsia="Arial" w:hAnsi="Arial" w:cs="Arial"/>
      <w:sz w:val="14"/>
      <w:szCs w:val="14"/>
    </w:rPr>
  </w:style>
  <w:style w:type="paragraph" w:customStyle="1" w:styleId="Heading110">
    <w:name w:val="Heading #1|1"/>
    <w:basedOn w:val="Normln"/>
    <w:link w:val="Heading11"/>
    <w:pPr>
      <w:spacing w:after="240"/>
      <w:outlineLvl w:val="0"/>
    </w:pPr>
    <w:rPr>
      <w:rFonts w:ascii="Arial" w:eastAsia="Arial" w:hAnsi="Arial" w:cs="Arial"/>
      <w:sz w:val="60"/>
      <w:szCs w:val="60"/>
    </w:rPr>
  </w:style>
  <w:style w:type="paragraph" w:customStyle="1" w:styleId="Bodytext30">
    <w:name w:val="Body text|3"/>
    <w:basedOn w:val="Normln"/>
    <w:link w:val="Bodytext3"/>
    <w:pPr>
      <w:spacing w:after="2390" w:line="266" w:lineRule="auto"/>
      <w:ind w:left="2900"/>
    </w:pPr>
    <w:rPr>
      <w:rFonts w:ascii="Arial" w:eastAsia="Arial" w:hAnsi="Arial" w:cs="Arial"/>
      <w:sz w:val="30"/>
      <w:szCs w:val="30"/>
    </w:rPr>
  </w:style>
  <w:style w:type="paragraph" w:customStyle="1" w:styleId="Heading210">
    <w:name w:val="Heading #2|1"/>
    <w:basedOn w:val="Normln"/>
    <w:link w:val="Heading21"/>
    <w:pPr>
      <w:spacing w:after="1800"/>
      <w:ind w:left="2600"/>
      <w:outlineLvl w:val="1"/>
    </w:pPr>
    <w:rPr>
      <w:rFonts w:ascii="Arial" w:eastAsia="Arial" w:hAnsi="Arial" w:cs="Arial"/>
      <w:color w:val="CC5E72"/>
      <w:sz w:val="56"/>
      <w:szCs w:val="56"/>
    </w:rPr>
  </w:style>
  <w:style w:type="paragraph" w:customStyle="1" w:styleId="Heading310">
    <w:name w:val="Heading #3|1"/>
    <w:basedOn w:val="Normln"/>
    <w:link w:val="Heading31"/>
    <w:pPr>
      <w:spacing w:after="200"/>
      <w:ind w:left="630"/>
      <w:outlineLvl w:val="2"/>
    </w:pPr>
    <w:rPr>
      <w:rFonts w:ascii="Arial" w:eastAsia="Arial" w:hAnsi="Arial" w:cs="Arial"/>
      <w:color w:val="CC5E72"/>
      <w:w w:val="80"/>
      <w:sz w:val="44"/>
      <w:szCs w:val="44"/>
    </w:rPr>
  </w:style>
  <w:style w:type="paragraph" w:customStyle="1" w:styleId="Bodytext50">
    <w:name w:val="Body text|5"/>
    <w:basedOn w:val="Normln"/>
    <w:link w:val="Bodytext5"/>
    <w:pPr>
      <w:spacing w:after="1260"/>
    </w:pPr>
    <w:rPr>
      <w:rFonts w:ascii="Arial" w:eastAsia="Arial" w:hAnsi="Arial" w:cs="Arial"/>
      <w:sz w:val="22"/>
      <w:szCs w:val="22"/>
    </w:rPr>
  </w:style>
  <w:style w:type="paragraph" w:customStyle="1" w:styleId="Bodytext40">
    <w:name w:val="Body text|4"/>
    <w:basedOn w:val="Normln"/>
    <w:link w:val="Bodytext4"/>
    <w:pPr>
      <w:spacing w:after="40"/>
      <w:ind w:left="1260"/>
    </w:pPr>
    <w:rPr>
      <w:rFonts w:ascii="Arial" w:eastAsia="Arial" w:hAnsi="Arial" w:cs="Arial"/>
      <w:sz w:val="17"/>
      <w:szCs w:val="17"/>
    </w:rPr>
  </w:style>
  <w:style w:type="paragraph" w:customStyle="1" w:styleId="Tableofcontents10">
    <w:name w:val="Table of contents|1"/>
    <w:basedOn w:val="Normln"/>
    <w:link w:val="Tableofcontents1"/>
    <w:pPr>
      <w:spacing w:after="320"/>
      <w:ind w:left="1260"/>
    </w:pPr>
    <w:rPr>
      <w:rFonts w:ascii="Arial" w:eastAsia="Arial" w:hAnsi="Arial" w:cs="Arial"/>
      <w:sz w:val="17"/>
      <w:szCs w:val="17"/>
    </w:rPr>
  </w:style>
  <w:style w:type="paragraph" w:customStyle="1" w:styleId="Headerorfooter20">
    <w:name w:val="Header or footer|2"/>
    <w:basedOn w:val="Normln"/>
    <w:link w:val="Headerorfooter2"/>
    <w:rPr>
      <w:sz w:val="20"/>
      <w:szCs w:val="20"/>
    </w:rPr>
  </w:style>
  <w:style w:type="paragraph" w:customStyle="1" w:styleId="Bodytext20">
    <w:name w:val="Body text|2"/>
    <w:basedOn w:val="Normln"/>
    <w:link w:val="Bodytext2"/>
    <w:pPr>
      <w:spacing w:line="314" w:lineRule="auto"/>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nicredltbank.cz" TargetMode="External"/><Relationship Id="rId17" Type="http://schemas.openxmlformats.org/officeDocument/2006/relationships/hyperlink" Target="http://www.finarbitr.cz" TargetMode="External"/><Relationship Id="rId2" Type="http://schemas.openxmlformats.org/officeDocument/2006/relationships/styles" Target="styles.xml"/><Relationship Id="rId16" Type="http://schemas.openxmlformats.org/officeDocument/2006/relationships/hyperlink" Target="http://www.unicreditbank.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nicreditbank.cz"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creditbank.cz" TargetMode="Externa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5135</Words>
  <Characters>30297</Characters>
  <Application>Microsoft Office Word</Application>
  <DocSecurity>0</DocSecurity>
  <Lines>252</Lines>
  <Paragraphs>70</Paragraphs>
  <ScaleCrop>false</ScaleCrop>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2023-11-01T13:58:00Z</dcterms:created>
  <dcterms:modified xsi:type="dcterms:W3CDTF">2023-11-01T13:58:00Z</dcterms:modified>
</cp:coreProperties>
</file>