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E7" w:rsidRDefault="001B0270">
      <w:pPr>
        <w:pStyle w:val="Nadpis40"/>
        <w:framePr w:wrap="none" w:vAnchor="page" w:hAnchor="page" w:x="7800" w:y="1194"/>
        <w:shd w:val="clear" w:color="auto" w:fill="auto"/>
        <w:spacing w:line="230" w:lineRule="exact"/>
      </w:pPr>
      <w:bookmarkStart w:id="0" w:name="bookmark0"/>
      <w:r>
        <w:t>č.j.: NG/2774/2016</w:t>
      </w:r>
      <w:bookmarkEnd w:id="0"/>
    </w:p>
    <w:p w:rsidR="00AC7CE7" w:rsidRDefault="001B0270">
      <w:pPr>
        <w:pStyle w:val="Nadpis40"/>
        <w:framePr w:wrap="none" w:vAnchor="page" w:hAnchor="page" w:x="1403" w:y="1694"/>
        <w:shd w:val="clear" w:color="auto" w:fill="auto"/>
        <w:spacing w:line="230" w:lineRule="exact"/>
      </w:pPr>
      <w:bookmarkStart w:id="1" w:name="bookmark1"/>
      <w:r>
        <w:t>Smluvní strany:</w:t>
      </w:r>
      <w:bookmarkEnd w:id="1"/>
    </w:p>
    <w:p w:rsidR="00AC7CE7" w:rsidRDefault="001B0270">
      <w:pPr>
        <w:pStyle w:val="Nadpis40"/>
        <w:framePr w:w="9144" w:h="4741" w:hRule="exact" w:wrap="none" w:vAnchor="page" w:hAnchor="page" w:x="1403" w:y="2487"/>
        <w:shd w:val="clear" w:color="auto" w:fill="auto"/>
        <w:spacing w:line="274" w:lineRule="exact"/>
      </w:pPr>
      <w:bookmarkStart w:id="2" w:name="bookmark2"/>
      <w:r>
        <w:t>Národní galerie v Praze,</w:t>
      </w:r>
      <w:bookmarkEnd w:id="2"/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</w:pPr>
      <w:r>
        <w:t xml:space="preserve">se sídlem: </w:t>
      </w:r>
      <w:r>
        <w:t>Staroměstské nám. 12, 110 15 Praha 1</w:t>
      </w:r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</w:pPr>
      <w:r>
        <w:t>zastoupená doc. Dr. et Ing. Jiřím Fajtem, Ph.D., generálním ředitelem</w:t>
      </w:r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</w:pPr>
      <w:r>
        <w:t>IČO: 00023281, DIČ: CZ00023281, příspěvková organizace</w:t>
      </w:r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</w:pPr>
      <w:r>
        <w:t>bankovní spojení: ČNB, č. ú.: 050008-0008839011/0710 ,</w:t>
      </w:r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  <w:spacing w:after="275"/>
      </w:pPr>
      <w:r>
        <w:t xml:space="preserve">na straně jedné (dále jen </w:t>
      </w:r>
      <w:r>
        <w:rPr>
          <w:rStyle w:val="Zkladntext2115ptTun"/>
        </w:rPr>
        <w:t>„pronajímatel</w:t>
      </w:r>
      <w:r>
        <w:rPr>
          <w:rStyle w:val="Zkladntext2115ptTun"/>
        </w:rPr>
        <w:t xml:space="preserve">“ </w:t>
      </w:r>
      <w:r>
        <w:t xml:space="preserve">nebo </w:t>
      </w:r>
      <w:r>
        <w:rPr>
          <w:rStyle w:val="Zkladntext2115ptTun"/>
        </w:rPr>
        <w:t>„NG“)</w:t>
      </w:r>
    </w:p>
    <w:p w:rsidR="00AC7CE7" w:rsidRDefault="001B0270">
      <w:pPr>
        <w:pStyle w:val="Nadpis40"/>
        <w:framePr w:w="9144" w:h="4741" w:hRule="exact" w:wrap="none" w:vAnchor="page" w:hAnchor="page" w:x="1403" w:y="2487"/>
        <w:shd w:val="clear" w:color="auto" w:fill="auto"/>
        <w:spacing w:after="202" w:line="230" w:lineRule="exact"/>
      </w:pPr>
      <w:bookmarkStart w:id="3" w:name="bookmark3"/>
      <w:r>
        <w:t>a</w:t>
      </w:r>
      <w:bookmarkEnd w:id="3"/>
    </w:p>
    <w:p w:rsidR="00AC7CE7" w:rsidRDefault="001B0270">
      <w:pPr>
        <w:pStyle w:val="Zkladntext30"/>
        <w:framePr w:w="9144" w:h="4741" w:hRule="exact" w:wrap="none" w:vAnchor="page" w:hAnchor="page" w:x="1403" w:y="2487"/>
        <w:shd w:val="clear" w:color="auto" w:fill="auto"/>
        <w:spacing w:before="0"/>
      </w:pPr>
      <w:r>
        <w:t>Česká republika - Ministerstvo kultury</w:t>
      </w:r>
    </w:p>
    <w:p w:rsidR="00C3354F" w:rsidRDefault="001B0270">
      <w:pPr>
        <w:pStyle w:val="Zkladntext20"/>
        <w:framePr w:w="9144" w:h="4741" w:hRule="exact" w:wrap="none" w:vAnchor="page" w:hAnchor="page" w:x="1403" w:y="2487"/>
        <w:shd w:val="clear" w:color="auto" w:fill="auto"/>
        <w:ind w:right="2420"/>
      </w:pPr>
      <w:r>
        <w:t xml:space="preserve">se sídlem: Maltézské nám. 1, 118 01 Praha 1, Malá Strana, </w:t>
      </w:r>
    </w:p>
    <w:p w:rsidR="00C3354F" w:rsidRDefault="001B0270">
      <w:pPr>
        <w:pStyle w:val="Zkladntext20"/>
        <w:framePr w:w="9144" w:h="4741" w:hRule="exact" w:wrap="none" w:vAnchor="page" w:hAnchor="page" w:x="1403" w:y="2487"/>
        <w:shd w:val="clear" w:color="auto" w:fill="auto"/>
        <w:ind w:right="2420"/>
      </w:pPr>
      <w:r>
        <w:t xml:space="preserve">zastoupené Ing. Janem Řežábkem, ředitelem odboru vnitřní správy </w:t>
      </w:r>
    </w:p>
    <w:p w:rsidR="00AC7CE7" w:rsidRDefault="001B0270" w:rsidP="00C3354F">
      <w:pPr>
        <w:pStyle w:val="Zkladntext20"/>
        <w:framePr w:w="9144" w:h="4741" w:hRule="exact" w:wrap="none" w:vAnchor="page" w:hAnchor="page" w:x="1403" w:y="2487"/>
        <w:shd w:val="clear" w:color="auto" w:fill="auto"/>
        <w:ind w:right="2421"/>
      </w:pPr>
      <w:r>
        <w:t>IČO: 00023671</w:t>
      </w:r>
    </w:p>
    <w:p w:rsidR="00C3354F" w:rsidRDefault="001B0270" w:rsidP="00C3354F">
      <w:pPr>
        <w:pStyle w:val="Zkladntext20"/>
        <w:framePr w:w="9144" w:h="4741" w:hRule="exact" w:wrap="none" w:vAnchor="page" w:hAnchor="page" w:x="1403" w:y="2487"/>
        <w:shd w:val="clear" w:color="auto" w:fill="auto"/>
        <w:ind w:right="2421"/>
      </w:pPr>
      <w:r>
        <w:t xml:space="preserve">bankovní spojení: ČNB Praha 1, č. ú.: 3424-001/710, </w:t>
      </w:r>
    </w:p>
    <w:p w:rsidR="00AC7CE7" w:rsidRDefault="001B0270" w:rsidP="00C3354F">
      <w:pPr>
        <w:pStyle w:val="Zkladntext20"/>
        <w:framePr w:w="9144" w:h="4741" w:hRule="exact" w:wrap="none" w:vAnchor="page" w:hAnchor="page" w:x="1403" w:y="2487"/>
        <w:shd w:val="clear" w:color="auto" w:fill="auto"/>
        <w:ind w:right="2421"/>
        <w:rPr>
          <w:rStyle w:val="Zkladntext2115ptTun"/>
        </w:rPr>
      </w:pPr>
      <w:r>
        <w:t xml:space="preserve">na straně druhé (dále jen </w:t>
      </w:r>
      <w:r>
        <w:rPr>
          <w:rStyle w:val="Zkladntext2115ptTun"/>
        </w:rPr>
        <w:t xml:space="preserve">„nájemce“ </w:t>
      </w:r>
      <w:r>
        <w:t xml:space="preserve">nebo </w:t>
      </w:r>
      <w:r>
        <w:rPr>
          <w:rStyle w:val="Zkladntext2115ptTun"/>
        </w:rPr>
        <w:t>„MK“)</w:t>
      </w:r>
    </w:p>
    <w:p w:rsidR="00C3354F" w:rsidRDefault="00C3354F" w:rsidP="00C3354F">
      <w:pPr>
        <w:pStyle w:val="Zkladntext20"/>
        <w:framePr w:w="9144" w:h="4741" w:hRule="exact" w:wrap="none" w:vAnchor="page" w:hAnchor="page" w:x="1403" w:y="2487"/>
        <w:shd w:val="clear" w:color="auto" w:fill="auto"/>
        <w:ind w:right="2421"/>
      </w:pPr>
    </w:p>
    <w:p w:rsidR="00AC7CE7" w:rsidRDefault="001B0270">
      <w:pPr>
        <w:pStyle w:val="Zkladntext20"/>
        <w:framePr w:w="9144" w:h="4741" w:hRule="exact" w:wrap="none" w:vAnchor="page" w:hAnchor="page" w:x="1403" w:y="2487"/>
        <w:shd w:val="clear" w:color="auto" w:fill="auto"/>
        <w:spacing w:line="220" w:lineRule="exact"/>
      </w:pPr>
      <w:r>
        <w:t>uzavírají tento</w:t>
      </w:r>
    </w:p>
    <w:p w:rsidR="00AC7CE7" w:rsidRDefault="001B0270">
      <w:pPr>
        <w:pStyle w:val="Nadpis20"/>
        <w:framePr w:w="9144" w:h="616" w:hRule="exact" w:wrap="none" w:vAnchor="page" w:hAnchor="page" w:x="1403" w:y="7540"/>
        <w:shd w:val="clear" w:color="auto" w:fill="auto"/>
        <w:spacing w:before="0" w:after="0" w:line="280" w:lineRule="exact"/>
      </w:pPr>
      <w:bookmarkStart w:id="4" w:name="bookmark4"/>
      <w:r>
        <w:t>dodatek č. 3</w:t>
      </w:r>
      <w:bookmarkEnd w:id="4"/>
    </w:p>
    <w:p w:rsidR="00AC7CE7" w:rsidRDefault="001B0270">
      <w:pPr>
        <w:pStyle w:val="Zkladntext30"/>
        <w:framePr w:w="9144" w:h="616" w:hRule="exact" w:wrap="none" w:vAnchor="page" w:hAnchor="page" w:x="1403" w:y="7540"/>
        <w:shd w:val="clear" w:color="auto" w:fill="auto"/>
        <w:spacing w:before="0" w:line="230" w:lineRule="exact"/>
        <w:jc w:val="center"/>
      </w:pPr>
      <w:r>
        <w:t>ke smlouvě o užívání nebytových prostor č.j. NG/1331/2015 ze dne 1. 6. 2015</w:t>
      </w:r>
    </w:p>
    <w:p w:rsidR="00AC7CE7" w:rsidRDefault="001B0270">
      <w:pPr>
        <w:pStyle w:val="Nadpis10"/>
        <w:framePr w:w="9144" w:h="2215" w:hRule="exact" w:wrap="none" w:vAnchor="page" w:hAnchor="page" w:x="1403" w:y="8610"/>
        <w:shd w:val="clear" w:color="auto" w:fill="auto"/>
        <w:spacing w:before="0" w:line="220" w:lineRule="exact"/>
      </w:pPr>
      <w:bookmarkStart w:id="5" w:name="bookmark5"/>
      <w:r>
        <w:t>I.</w:t>
      </w:r>
      <w:bookmarkEnd w:id="5"/>
    </w:p>
    <w:p w:rsidR="00AC7CE7" w:rsidRDefault="001B0270">
      <w:pPr>
        <w:pStyle w:val="Nadpis40"/>
        <w:framePr w:w="9144" w:h="2215" w:hRule="exact" w:wrap="none" w:vAnchor="page" w:hAnchor="page" w:x="1403" w:y="8610"/>
        <w:shd w:val="clear" w:color="auto" w:fill="auto"/>
        <w:spacing w:after="268" w:line="230" w:lineRule="exact"/>
        <w:jc w:val="center"/>
      </w:pPr>
      <w:bookmarkStart w:id="6" w:name="bookmark6"/>
      <w:r>
        <w:t>Úvodní ustanovení</w:t>
      </w:r>
      <w:bookmarkEnd w:id="6"/>
    </w:p>
    <w:p w:rsidR="00AC7CE7" w:rsidRDefault="001B0270">
      <w:pPr>
        <w:pStyle w:val="Zkladntext20"/>
        <w:framePr w:w="9144" w:h="2215" w:hRule="exact" w:wrap="none" w:vAnchor="page" w:hAnchor="page" w:x="1403" w:y="8610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 xml:space="preserve">Nájemce má na základě Smlouvy o užívání nebytových prostor č. NG/1331/2015 ze dne 1.6.2015 (dále jen </w:t>
      </w:r>
      <w:r>
        <w:rPr>
          <w:rStyle w:val="Zkladntext2115ptTun"/>
        </w:rPr>
        <w:t xml:space="preserve">„smlouva“), </w:t>
      </w:r>
      <w:r>
        <w:t>poskytnuty nebytové prostory nacházející se ve Veletržním paláci, Dukelských hrdinů 47, Praha 7, 170 00, za účelem provozu kanceláří, skladovac</w:t>
      </w:r>
      <w:r>
        <w:t xml:space="preserve">ích prostor, příslušenství v 2. suterénu, 1. patře, 2. patře, 3. patře a 5. patře Veletržního paláce. Užívaný prostor činí </w:t>
      </w:r>
      <w:r>
        <w:rPr>
          <w:rStyle w:val="Zkladntext2115ptTun"/>
        </w:rPr>
        <w:t>celkem 378,86 m</w:t>
      </w:r>
      <w:r>
        <w:rPr>
          <w:rStyle w:val="Zkladntext2115ptTun"/>
          <w:vertAlign w:val="superscript"/>
        </w:rPr>
        <w:t>2</w:t>
      </w:r>
      <w:r>
        <w:rPr>
          <w:rStyle w:val="Zkladntext2115ptTun"/>
        </w:rPr>
        <w:t>.</w:t>
      </w:r>
    </w:p>
    <w:p w:rsidR="00AC7CE7" w:rsidRDefault="001B0270">
      <w:pPr>
        <w:pStyle w:val="Nadpis420"/>
        <w:framePr w:w="9144" w:h="3929" w:hRule="exact" w:wrap="none" w:vAnchor="page" w:hAnchor="page" w:x="1403" w:y="11352"/>
        <w:shd w:val="clear" w:color="auto" w:fill="auto"/>
        <w:spacing w:before="0" w:after="1" w:line="240" w:lineRule="exact"/>
        <w:ind w:left="4300"/>
      </w:pPr>
      <w:bookmarkStart w:id="7" w:name="bookmark7"/>
      <w:r>
        <w:t>II.</w:t>
      </w:r>
      <w:bookmarkEnd w:id="7"/>
    </w:p>
    <w:p w:rsidR="00AC7CE7" w:rsidRDefault="001B0270">
      <w:pPr>
        <w:pStyle w:val="Nadpis40"/>
        <w:framePr w:w="9144" w:h="3929" w:hRule="exact" w:wrap="none" w:vAnchor="page" w:hAnchor="page" w:x="1403" w:y="11352"/>
        <w:shd w:val="clear" w:color="auto" w:fill="auto"/>
        <w:spacing w:after="230" w:line="230" w:lineRule="exact"/>
        <w:jc w:val="center"/>
      </w:pPr>
      <w:bookmarkStart w:id="8" w:name="bookmark8"/>
      <w:r>
        <w:t>Předmět dodatku</w:t>
      </w:r>
      <w:bookmarkEnd w:id="8"/>
    </w:p>
    <w:p w:rsidR="00AC7CE7" w:rsidRDefault="001B0270">
      <w:pPr>
        <w:pStyle w:val="Zkladntext20"/>
        <w:framePr w:w="9144" w:h="3929" w:hRule="exact" w:wrap="none" w:vAnchor="page" w:hAnchor="page" w:x="1403" w:y="11352"/>
        <w:numPr>
          <w:ilvl w:val="0"/>
          <w:numId w:val="2"/>
        </w:numPr>
        <w:shd w:val="clear" w:color="auto" w:fill="auto"/>
        <w:tabs>
          <w:tab w:val="left" w:pos="707"/>
        </w:tabs>
        <w:spacing w:after="153" w:line="220" w:lineRule="exact"/>
        <w:jc w:val="both"/>
      </w:pPr>
      <w:r>
        <w:t>ČI. II odst. 2 smlouvy se mění a doplňuje takto:</w:t>
      </w:r>
    </w:p>
    <w:p w:rsidR="00AC7CE7" w:rsidRDefault="001B0270">
      <w:pPr>
        <w:pStyle w:val="Zkladntext20"/>
        <w:framePr w:w="9144" w:h="3929" w:hRule="exact" w:wrap="none" w:vAnchor="page" w:hAnchor="page" w:x="1403" w:y="11352"/>
        <w:shd w:val="clear" w:color="auto" w:fill="auto"/>
        <w:spacing w:after="223"/>
        <w:jc w:val="both"/>
      </w:pPr>
      <w:r>
        <w:t>Předmětem užívání je nebytový prostor pod uzav</w:t>
      </w:r>
      <w:r>
        <w:t>řením (kanceláře, skladovací prostor a příslušenství) v 2. suterénu, 1. patře, 2. patře, 3. patře a 5. patře Veletržního paláce. Užívaný prostor činí celkem 378,86 m2, barevně je znázorněn na půdorysných situačních plánech v příloze č. 1 této smlouvy a dál</w:t>
      </w:r>
      <w:r>
        <w:t>e je členěn takto:</w:t>
      </w:r>
    </w:p>
    <w:p w:rsidR="00AC7CE7" w:rsidRDefault="001B0270">
      <w:pPr>
        <w:pStyle w:val="Zkladntext20"/>
        <w:framePr w:w="9144" w:h="3929" w:hRule="exact" w:wrap="none" w:vAnchor="page" w:hAnchor="page" w:x="1403" w:y="11352"/>
        <w:numPr>
          <w:ilvl w:val="0"/>
          <w:numId w:val="3"/>
        </w:numPr>
        <w:shd w:val="clear" w:color="auto" w:fill="auto"/>
        <w:tabs>
          <w:tab w:val="left" w:pos="707"/>
        </w:tabs>
        <w:spacing w:after="60" w:line="220" w:lineRule="exact"/>
        <w:jc w:val="both"/>
      </w:pPr>
      <w:r>
        <w:t>1. suterén „B“: skladový prostor/spisovna č. m. 8B59 o výměře 18,99 m2, 2. suterén: skladovací prostor, oddělená část místnosti č. 9B40 o výměře 18,46 m2;</w:t>
      </w:r>
    </w:p>
    <w:p w:rsidR="00AC7CE7" w:rsidRDefault="001B0270">
      <w:pPr>
        <w:pStyle w:val="Zkladntext20"/>
        <w:framePr w:w="9144" w:h="3929" w:hRule="exact" w:wrap="none" w:vAnchor="page" w:hAnchor="page" w:x="1403" w:y="11352"/>
        <w:numPr>
          <w:ilvl w:val="0"/>
          <w:numId w:val="3"/>
        </w:numPr>
        <w:shd w:val="clear" w:color="auto" w:fill="auto"/>
        <w:tabs>
          <w:tab w:val="left" w:pos="707"/>
        </w:tabs>
        <w:spacing w:line="220" w:lineRule="exact"/>
        <w:jc w:val="both"/>
      </w:pPr>
      <w:r>
        <w:t>1. patro: kancelář č. m. 1030 o výměře 14,52 m</w:t>
      </w:r>
      <w:r>
        <w:rPr>
          <w:vertAlign w:val="superscript"/>
        </w:rPr>
        <w:t>2</w:t>
      </w:r>
      <w:r>
        <w:t xml:space="preserve">, kancelář č. m. 1031 o výměře </w:t>
      </w:r>
      <w:r>
        <w:t>14,00 m</w:t>
      </w:r>
      <w:r>
        <w:rPr>
          <w:vertAlign w:val="superscript"/>
        </w:rPr>
        <w:t>2</w:t>
      </w:r>
      <w:r>
        <w:t>, kancelář ě. m. 1032 o výměře 14,43 m</w:t>
      </w:r>
      <w:r>
        <w:rPr>
          <w:vertAlign w:val="superscript"/>
        </w:rPr>
        <w:t>2</w:t>
      </w:r>
      <w:r>
        <w:t>, vstupní hala č. m. 1033 o výměře 8,49 m</w:t>
      </w:r>
      <w:r>
        <w:rPr>
          <w:vertAlign w:val="superscript"/>
        </w:rPr>
        <w:t>2</w:t>
      </w:r>
      <w:r>
        <w:t>, předsíň č. m. 1034 o výměře 2,72 m</w:t>
      </w:r>
      <w:r>
        <w:rPr>
          <w:vertAlign w:val="superscript"/>
        </w:rPr>
        <w:t>2</w:t>
      </w:r>
      <w:r>
        <w:t>, WC č. m. 1035 o výměře 1,92 m</w:t>
      </w:r>
      <w:r>
        <w:rPr>
          <w:vertAlign w:val="superscript"/>
        </w:rPr>
        <w:t>2</w:t>
      </w:r>
      <w:r>
        <w:t>;</w:t>
      </w:r>
    </w:p>
    <w:p w:rsidR="00AC7CE7" w:rsidRDefault="001B0270">
      <w:pPr>
        <w:pStyle w:val="ZhlavneboZpat20"/>
        <w:framePr w:wrap="none" w:vAnchor="page" w:hAnchor="page" w:x="5921" w:y="15709"/>
        <w:shd w:val="clear" w:color="auto" w:fill="auto"/>
        <w:spacing w:line="180" w:lineRule="exact"/>
      </w:pPr>
      <w:r>
        <w:t>1</w:t>
      </w:r>
    </w:p>
    <w:p w:rsidR="00AC7CE7" w:rsidRDefault="00AC7CE7">
      <w:pPr>
        <w:rPr>
          <w:sz w:val="2"/>
          <w:szCs w:val="2"/>
        </w:rPr>
        <w:sectPr w:rsidR="00AC7C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7CE7" w:rsidRDefault="001B0270">
      <w:pPr>
        <w:pStyle w:val="Zkladntext20"/>
        <w:framePr w:w="9169" w:h="2959" w:hRule="exact" w:wrap="none" w:vAnchor="page" w:hAnchor="page" w:x="1375" w:y="1177"/>
        <w:numPr>
          <w:ilvl w:val="0"/>
          <w:numId w:val="3"/>
        </w:numPr>
        <w:shd w:val="clear" w:color="auto" w:fill="auto"/>
        <w:tabs>
          <w:tab w:val="left" w:pos="711"/>
        </w:tabs>
        <w:spacing w:after="177" w:line="266" w:lineRule="exact"/>
        <w:jc w:val="both"/>
      </w:pPr>
      <w:r>
        <w:lastRenderedPageBreak/>
        <w:t xml:space="preserve">2. patro: kanceláře, m. 2030 o výměře 14,52 m2, kancelář č. m. 2031 o </w:t>
      </w:r>
      <w:r>
        <w:t>výměře 14,00 m2, kancelář č. m. 2032 o výměře 14,43 nT, vstupní hala ě. m. 2033 o výměře 8,49 m2, předsíň č. m. 2034 o výměře 2,72 m2, WC č. m. 2035 o výměře 1,92 m2;</w:t>
      </w:r>
    </w:p>
    <w:p w:rsidR="00AC7CE7" w:rsidRDefault="001B0270">
      <w:pPr>
        <w:pStyle w:val="Zkladntext20"/>
        <w:framePr w:w="9169" w:h="2959" w:hRule="exact" w:wrap="none" w:vAnchor="page" w:hAnchor="page" w:x="1375" w:y="1177"/>
        <w:numPr>
          <w:ilvl w:val="0"/>
          <w:numId w:val="3"/>
        </w:numPr>
        <w:shd w:val="clear" w:color="auto" w:fill="auto"/>
        <w:tabs>
          <w:tab w:val="left" w:pos="711"/>
        </w:tabs>
        <w:spacing w:after="180" w:line="270" w:lineRule="exact"/>
        <w:jc w:val="both"/>
      </w:pPr>
      <w:r>
        <w:t xml:space="preserve">3. patro: kanceláře č. m. 3030 o výměře 14,52 m2, kancelář č. m. 3031 o výměře 14,00 m2, </w:t>
      </w:r>
      <w:r>
        <w:t>kancelář č. m. 3032 o výměře 14,43 m2, vstupní hala č. m. 3033 o výměře 8,49 m2, předsíň ě. m. 3034 o výměře 2,72 m2, WC č. m. 3035 o výměře 1,92 m2;</w:t>
      </w:r>
    </w:p>
    <w:p w:rsidR="00AC7CE7" w:rsidRDefault="001B0270">
      <w:pPr>
        <w:pStyle w:val="Zkladntext20"/>
        <w:framePr w:w="9169" w:h="2959" w:hRule="exact" w:wrap="none" w:vAnchor="page" w:hAnchor="page" w:x="1375" w:y="1177"/>
        <w:numPr>
          <w:ilvl w:val="0"/>
          <w:numId w:val="3"/>
        </w:numPr>
        <w:shd w:val="clear" w:color="auto" w:fill="auto"/>
        <w:tabs>
          <w:tab w:val="left" w:pos="711"/>
        </w:tabs>
        <w:spacing w:line="270" w:lineRule="exact"/>
        <w:jc w:val="both"/>
      </w:pPr>
      <w:r>
        <w:t xml:space="preserve">5. patro: kanceláře č. m. 5500 o výměře 21,50 m2, č. m. 5520 o výměře 13,97m , č. m. 5600 o výměře 22,40 </w:t>
      </w:r>
      <w:r>
        <w:t>m2, č. m. 5610 o výměře 23,38 m2, č. m. 5620 o výměře 22,98 m2, č. m. 5630 o výměře 22,98 m2, č. m. 5640 o výměře 22,98 m2, 5650 o výměře 22,98 m2</w:t>
      </w:r>
    </w:p>
    <w:p w:rsidR="00AC7CE7" w:rsidRDefault="001B0270">
      <w:pPr>
        <w:pStyle w:val="Zkladntext20"/>
        <w:framePr w:w="9169" w:h="10653" w:hRule="exact" w:wrap="none" w:vAnchor="page" w:hAnchor="page" w:x="1375" w:y="4565"/>
        <w:numPr>
          <w:ilvl w:val="0"/>
          <w:numId w:val="2"/>
        </w:numPr>
        <w:shd w:val="clear" w:color="auto" w:fill="auto"/>
        <w:tabs>
          <w:tab w:val="left" w:pos="711"/>
        </w:tabs>
        <w:spacing w:after="180"/>
        <w:jc w:val="both"/>
      </w:pPr>
      <w:r>
        <w:t>ČI. VIII. odst. 2. smlouvy ve znění čl. II. odst. 2.1. dodatku č. 2. se mění a doplňuje tak, že smluvní stran</w:t>
      </w:r>
      <w:r>
        <w:t xml:space="preserve">y výslovně sjednávají, že služby poskytované a fakturované pronajímatelem nájemci v souvislosti s užíváním předmětu nájmu (zejména elektrická energie, vodné, stočné, dodávka tepla a teplé vody, jsou-li pronajímatelem poskytovány) budou nájemci fakturovány </w:t>
      </w:r>
      <w:r>
        <w:t>včetně daně z přidané hodnoty v zákonné výši a to v sazbách 15% nebo 21% v závislosti na typu poskytnutého plnění. Měsíční úhrada za výše uvedené služby je stanovena v příloze č. 1 tohoto dodatku a tato mění a nahrazuje přílohu č. 4 smlouvy. Dojde-li po na</w:t>
      </w:r>
      <w:r>
        <w:t>bytí účinnosti tohoto dodatku ke změně či navýšení sazby od dodavatelů služeb a tím bude potřeba navýšení měsíčních zálohových plateb, bude nutné upravit přílohu č. 1 tohoto dodatku. V případě změny přílohy č. 1 tohoto dodatku bude tento opatřen podpisy po</w:t>
      </w:r>
      <w:r>
        <w:t>věřených zástupců obou stran s uvedením data účinnosti.</w:t>
      </w:r>
    </w:p>
    <w:p w:rsidR="00AC7CE7" w:rsidRDefault="001B0270">
      <w:pPr>
        <w:pStyle w:val="Zkladntext20"/>
        <w:framePr w:w="9169" w:h="10653" w:hRule="exact" w:wrap="none" w:vAnchor="page" w:hAnchor="page" w:x="1375" w:y="4565"/>
        <w:numPr>
          <w:ilvl w:val="0"/>
          <w:numId w:val="2"/>
        </w:numPr>
        <w:shd w:val="clear" w:color="auto" w:fill="auto"/>
        <w:tabs>
          <w:tab w:val="left" w:pos="711"/>
        </w:tabs>
        <w:spacing w:after="180"/>
        <w:jc w:val="both"/>
      </w:pPr>
      <w:r>
        <w:t>Čl. VIII. odst. 3 smlouvy se mění a doplňuje tak, že smluvní strany výslovně sjednávají, že služby poskytované a fakturované pronajímatelem nájemci v souvislosti s užíváním předmětu nájmu v případě pl</w:t>
      </w:r>
      <w:r>
        <w:t>ateb za údržbu, požární ochranu a úklid budou tyto pravidelně měsíčně fakturovány včetně DPH nájemci dle přílohy č. 1 tohoto dodatku. V případě, že ze strany pronajímatele dojde k neočekávaným vícenákladům spojených s údržbou či úklidem, je nutné o tomto p</w:t>
      </w:r>
      <w:r>
        <w:t>ředem informovat nájemce s tím, že tyto náklady budou předmětem další fakturace. Veškeré vícenáklady musí být řádně odůvodněny a nájemce s</w:t>
      </w:r>
      <w:r w:rsidR="00C3354F">
        <w:t xml:space="preserve"> </w:t>
      </w:r>
      <w:r>
        <w:t>jejich úhradou musí vyjádřit souhlas. Případně si vícepráce či další služby (mimořádný úklid, či mimořádné opravy, apo</w:t>
      </w:r>
      <w:r>
        <w:t>d.) nájemce může u pronajímatele objednat a na základě objednávky, bude vystavena faktura.</w:t>
      </w:r>
    </w:p>
    <w:p w:rsidR="00AC7CE7" w:rsidRDefault="001B0270">
      <w:pPr>
        <w:pStyle w:val="Zkladntext20"/>
        <w:framePr w:w="9169" w:h="10653" w:hRule="exact" w:wrap="none" w:vAnchor="page" w:hAnchor="page" w:x="1375" w:y="4565"/>
        <w:numPr>
          <w:ilvl w:val="0"/>
          <w:numId w:val="2"/>
        </w:numPr>
        <w:shd w:val="clear" w:color="auto" w:fill="auto"/>
        <w:tabs>
          <w:tab w:val="left" w:pos="711"/>
        </w:tabs>
        <w:spacing w:after="223"/>
        <w:jc w:val="both"/>
      </w:pPr>
      <w:r>
        <w:t>Čl. VIII. odst. 4. smlouvy se mění a doplňuje tak, že smluvní strany výslovně sjednávají, že zálohy na služby dle čl. VIII odst. 2 bude nájemce hradit v pravidelných</w:t>
      </w:r>
      <w:r>
        <w:t xml:space="preserve"> měsíčních zálohových platbách se splatností 21 dnů ode dne vystavení. Dle čl. VIII odst. 3 bude nájemce hradit pravidelné měsíční platby na základě vystavených faktur se splatností 21 dnů ode dne vystavení. Veškeré platby budou hrazeny na účet pronajímate</w:t>
      </w:r>
      <w:r>
        <w:t>le uvedený na faktuře s variabilním symbolem - číslo faktury.</w:t>
      </w:r>
    </w:p>
    <w:p w:rsidR="00AC7CE7" w:rsidRDefault="001B0270">
      <w:pPr>
        <w:pStyle w:val="Zkladntext20"/>
        <w:framePr w:w="9169" w:h="10653" w:hRule="exact" w:wrap="none" w:vAnchor="page" w:hAnchor="page" w:x="1375" w:y="4565"/>
        <w:numPr>
          <w:ilvl w:val="0"/>
          <w:numId w:val="2"/>
        </w:numPr>
        <w:shd w:val="clear" w:color="auto" w:fill="auto"/>
        <w:tabs>
          <w:tab w:val="left" w:pos="711"/>
        </w:tabs>
        <w:spacing w:after="213" w:line="220" w:lineRule="exact"/>
        <w:jc w:val="both"/>
      </w:pPr>
      <w:r>
        <w:t>Do smlouvy se doplňuje nový čl. VIII. odst. 5. smlouvy, který zní takto:</w:t>
      </w:r>
    </w:p>
    <w:p w:rsidR="00AC7CE7" w:rsidRDefault="001B0270">
      <w:pPr>
        <w:pStyle w:val="Zkladntext40"/>
        <w:framePr w:w="9169" w:h="10653" w:hRule="exact" w:wrap="none" w:vAnchor="page" w:hAnchor="page" w:x="1375" w:y="4565"/>
        <w:shd w:val="clear" w:color="auto" w:fill="auto"/>
        <w:spacing w:before="0"/>
      </w:pPr>
      <w:r>
        <w:t>“Smluvní strany výslovně sjednávají, že na služby dle čl VI</w:t>
      </w:r>
      <w:r w:rsidR="00C3354F">
        <w:t>II odst. 2 provede pronajímatel 1</w:t>
      </w:r>
      <w:r>
        <w:t>x ročně vyúčtování záloh, nej</w:t>
      </w:r>
      <w:r>
        <w:t>později však do 15. února následujícího roku. Vzájemné pohledávky plynoucí z vyúčtování záloh na dodávané služby dle čl. VIII odst. 2 budou vyrovnány pronajímatelem při předání vyúčtování nájemci formou faktury/dobropisu se splatností 21 dnů ode dne jejího</w:t>
      </w:r>
      <w:r>
        <w:t xml:space="preserve"> vystavení. Metodika výpočtu a vyúčtování nákladů za poskytované služby vychází z poměru využívaných ploch</w:t>
      </w:r>
      <w:r>
        <w:rPr>
          <w:rStyle w:val="Zkladntext411ptNekurzva"/>
        </w:rPr>
        <w:t xml:space="preserve"> v </w:t>
      </w:r>
      <w:r>
        <w:t>souladu s přílohou č. 1 tohoto dodatku</w:t>
      </w:r>
      <w:r>
        <w:rPr>
          <w:rStyle w:val="Zkladntext411ptNekurzva"/>
        </w:rPr>
        <w:t>.“</w:t>
      </w:r>
    </w:p>
    <w:p w:rsidR="00AC7CE7" w:rsidRDefault="001B0270">
      <w:pPr>
        <w:pStyle w:val="ZhlavneboZpat0"/>
        <w:framePr w:wrap="none" w:vAnchor="page" w:hAnchor="page" w:x="5897" w:y="15710"/>
        <w:shd w:val="clear" w:color="auto" w:fill="auto"/>
        <w:spacing w:line="190" w:lineRule="exact"/>
      </w:pPr>
      <w:r>
        <w:t>2</w:t>
      </w:r>
    </w:p>
    <w:p w:rsidR="00AC7CE7" w:rsidRDefault="00AC7CE7">
      <w:pPr>
        <w:rPr>
          <w:sz w:val="2"/>
          <w:szCs w:val="2"/>
        </w:rPr>
        <w:sectPr w:rsidR="00AC7C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7CE7" w:rsidRDefault="001B0270">
      <w:pPr>
        <w:pStyle w:val="Zkladntext20"/>
        <w:framePr w:w="9119" w:h="1429" w:hRule="exact" w:wrap="none" w:vAnchor="page" w:hAnchor="page" w:x="1401" w:y="1146"/>
        <w:numPr>
          <w:ilvl w:val="0"/>
          <w:numId w:val="2"/>
        </w:numPr>
        <w:shd w:val="clear" w:color="auto" w:fill="auto"/>
        <w:tabs>
          <w:tab w:val="left" w:pos="703"/>
        </w:tabs>
        <w:spacing w:after="243"/>
        <w:jc w:val="both"/>
      </w:pPr>
      <w:r>
        <w:lastRenderedPageBreak/>
        <w:t xml:space="preserve">V rámci tohoto dodatku se pronajímatel zavazuje vyúčtovat platby na údržbu, </w:t>
      </w:r>
      <w:r>
        <w:t>požární ochranu a úklid za rok 2016 nejpozději do 20. 12. 2016.</w:t>
      </w:r>
    </w:p>
    <w:p w:rsidR="00AC7CE7" w:rsidRDefault="001B0270">
      <w:pPr>
        <w:pStyle w:val="Zkladntext20"/>
        <w:framePr w:w="9119" w:h="1429" w:hRule="exact" w:wrap="none" w:vAnchor="page" w:hAnchor="page" w:x="1401" w:y="1146"/>
        <w:numPr>
          <w:ilvl w:val="0"/>
          <w:numId w:val="2"/>
        </w:numPr>
        <w:shd w:val="clear" w:color="auto" w:fill="auto"/>
        <w:tabs>
          <w:tab w:val="left" w:pos="703"/>
        </w:tabs>
        <w:spacing w:line="270" w:lineRule="exact"/>
        <w:jc w:val="both"/>
      </w:pPr>
      <w:r>
        <w:t>Tento dodatek, včetně přílohy č. 1 nabývá platnosti dnem podpisu smluvních stran a účinnosti dne 1. prosince 2016.</w:t>
      </w:r>
    </w:p>
    <w:p w:rsidR="00AC7CE7" w:rsidRDefault="001B0270">
      <w:pPr>
        <w:pStyle w:val="Zkladntext50"/>
        <w:framePr w:w="9119" w:h="5262" w:hRule="exact" w:wrap="none" w:vAnchor="page" w:hAnchor="page" w:x="1401" w:y="2832"/>
        <w:shd w:val="clear" w:color="auto" w:fill="auto"/>
        <w:spacing w:before="0" w:after="0" w:line="240" w:lineRule="exact"/>
        <w:ind w:left="4400"/>
      </w:pPr>
      <w:r>
        <w:t>III.</w:t>
      </w:r>
    </w:p>
    <w:p w:rsidR="00AC7CE7" w:rsidRDefault="001B0270">
      <w:pPr>
        <w:pStyle w:val="Nadpis40"/>
        <w:framePr w:w="9119" w:h="5262" w:hRule="exact" w:wrap="none" w:vAnchor="page" w:hAnchor="page" w:x="1401" w:y="2832"/>
        <w:shd w:val="clear" w:color="auto" w:fill="auto"/>
        <w:spacing w:after="154" w:line="230" w:lineRule="exact"/>
        <w:jc w:val="center"/>
      </w:pPr>
      <w:bookmarkStart w:id="9" w:name="bookmark9"/>
      <w:r>
        <w:t>Závěrečná ustanovení</w:t>
      </w:r>
      <w:bookmarkEnd w:id="9"/>
    </w:p>
    <w:p w:rsidR="00AC7CE7" w:rsidRDefault="001B0270">
      <w:pPr>
        <w:pStyle w:val="Zkladntext20"/>
        <w:framePr w:w="9119" w:h="5262" w:hRule="exact" w:wrap="none" w:vAnchor="page" w:hAnchor="page" w:x="1401" w:y="2832"/>
        <w:numPr>
          <w:ilvl w:val="0"/>
          <w:numId w:val="4"/>
        </w:numPr>
        <w:shd w:val="clear" w:color="auto" w:fill="auto"/>
        <w:tabs>
          <w:tab w:val="left" w:pos="703"/>
        </w:tabs>
        <w:spacing w:after="280" w:line="270" w:lineRule="exact"/>
        <w:jc w:val="both"/>
      </w:pPr>
      <w:r>
        <w:t>Tento dodatek se vyhotovuje ve čtyřech stejnopisech</w:t>
      </w:r>
      <w:r>
        <w:t>, z nichž každá smluvní strana obdrží po dvou.</w:t>
      </w:r>
    </w:p>
    <w:p w:rsidR="00AC7CE7" w:rsidRDefault="001B0270">
      <w:pPr>
        <w:pStyle w:val="Zkladntext20"/>
        <w:framePr w:w="9119" w:h="5262" w:hRule="exact" w:wrap="none" w:vAnchor="page" w:hAnchor="page" w:x="1401" w:y="2832"/>
        <w:numPr>
          <w:ilvl w:val="0"/>
          <w:numId w:val="4"/>
        </w:numPr>
        <w:shd w:val="clear" w:color="auto" w:fill="auto"/>
        <w:tabs>
          <w:tab w:val="left" w:pos="703"/>
        </w:tabs>
        <w:spacing w:after="153" w:line="220" w:lineRule="exact"/>
        <w:jc w:val="both"/>
      </w:pPr>
      <w:r>
        <w:t>Ostatní ustanovení smlouvy se tímto dodatkem nemění.</w:t>
      </w:r>
    </w:p>
    <w:p w:rsidR="00AC7CE7" w:rsidRDefault="001B0270">
      <w:pPr>
        <w:pStyle w:val="Zkladntext20"/>
        <w:framePr w:w="9119" w:h="5262" w:hRule="exact" w:wrap="none" w:vAnchor="page" w:hAnchor="page" w:x="1401" w:y="2832"/>
        <w:numPr>
          <w:ilvl w:val="0"/>
          <w:numId w:val="4"/>
        </w:numPr>
        <w:shd w:val="clear" w:color="auto" w:fill="auto"/>
        <w:tabs>
          <w:tab w:val="left" w:pos="703"/>
        </w:tabs>
        <w:spacing w:after="240"/>
        <w:jc w:val="both"/>
      </w:pPr>
      <w:r>
        <w:t xml:space="preserve">Pro případ povinnosti zveřejnění tohoto dodatku a smlouvy dle zákona č. 340/2015 Sb., o registru smluv, smluvní strany sjednávají, že zveřejnění provede </w:t>
      </w:r>
      <w:r>
        <w:t xml:space="preserve">pronajímatel. Obě strany berou na vědomí, že nebudou zveřejněny pouze ty informace, které nelze poskytnout podle předpisů upravujících svobodný přístup k informacím. Považuje-li nájemce některé informace uvedené ve smlouvě nebo dodatku za informace, které </w:t>
      </w:r>
      <w:r>
        <w:t>nemohou být zveřejněny v registru smluv dle zákona č. 340/2015 Sb., je povinen na to pronajímatele současně s uzavřením tohoto dodatku písemně upozornit.</w:t>
      </w:r>
    </w:p>
    <w:p w:rsidR="00AC7CE7" w:rsidRDefault="001B0270">
      <w:pPr>
        <w:pStyle w:val="Zkladntext20"/>
        <w:framePr w:w="9119" w:h="5262" w:hRule="exact" w:wrap="none" w:vAnchor="page" w:hAnchor="page" w:x="1401" w:y="2832"/>
        <w:numPr>
          <w:ilvl w:val="0"/>
          <w:numId w:val="4"/>
        </w:numPr>
        <w:shd w:val="clear" w:color="auto" w:fill="auto"/>
        <w:tabs>
          <w:tab w:val="left" w:pos="703"/>
        </w:tabs>
        <w:jc w:val="both"/>
      </w:pPr>
      <w:r>
        <w:t>Pronajímatel a nájemce si dodatek přečetli, všechna jeho ustanovení jsou jim jasná a srozumitelná, při</w:t>
      </w:r>
      <w:r>
        <w:t>čemž dostatečným způsobem vyjadřují vážnou a svobodnou vůli smluvních stran bez jakýchkoli omylů, na důkaz čehož připojují smluvní strany své podpisy.</w:t>
      </w:r>
    </w:p>
    <w:p w:rsidR="00AC7CE7" w:rsidRDefault="001B0270">
      <w:pPr>
        <w:pStyle w:val="Zkladntext20"/>
        <w:framePr w:wrap="none" w:vAnchor="page" w:hAnchor="page" w:x="1401" w:y="9166"/>
        <w:shd w:val="clear" w:color="auto" w:fill="auto"/>
        <w:spacing w:line="230" w:lineRule="exact"/>
      </w:pPr>
      <w:r>
        <w:t xml:space="preserve">V Praze dne </w:t>
      </w:r>
      <w:r w:rsidR="00C3354F">
        <w:rPr>
          <w:rStyle w:val="Zkladntext21"/>
        </w:rPr>
        <w:t xml:space="preserve"> 16. 12. 2016</w:t>
      </w:r>
      <w:r w:rsidR="00C3354F">
        <w:rPr>
          <w:rStyle w:val="Zkladntext21"/>
        </w:rPr>
        <w:tab/>
      </w:r>
      <w:r w:rsidR="00C3354F">
        <w:rPr>
          <w:rStyle w:val="Zkladntext21"/>
        </w:rPr>
        <w:tab/>
      </w:r>
      <w:r w:rsidR="00C3354F">
        <w:rPr>
          <w:rStyle w:val="Zkladntext21"/>
        </w:rPr>
        <w:tab/>
      </w:r>
      <w:r w:rsidR="00C3354F">
        <w:rPr>
          <w:rStyle w:val="Zkladntext21"/>
        </w:rPr>
        <w:tab/>
        <w:t>V Praze dne  19. 12. 2016</w:t>
      </w:r>
    </w:p>
    <w:p w:rsidR="00AC7CE7" w:rsidRDefault="001B0270">
      <w:pPr>
        <w:pStyle w:val="Zkladntext20"/>
        <w:framePr w:wrap="none" w:vAnchor="page" w:hAnchor="page" w:x="1401" w:y="10282"/>
        <w:shd w:val="clear" w:color="auto" w:fill="auto"/>
        <w:spacing w:line="220" w:lineRule="exact"/>
      </w:pPr>
      <w:r>
        <w:t>Pronajímatel:</w:t>
      </w:r>
    </w:p>
    <w:p w:rsidR="00AC7CE7" w:rsidRDefault="00AC7CE7">
      <w:pPr>
        <w:framePr w:wrap="none" w:vAnchor="page" w:hAnchor="page" w:x="3640" w:y="10921"/>
      </w:pPr>
    </w:p>
    <w:p w:rsidR="00AC7CE7" w:rsidRDefault="001B0270">
      <w:pPr>
        <w:pStyle w:val="Zkladntext30"/>
        <w:framePr w:w="2473" w:h="865" w:hRule="exact" w:wrap="none" w:vAnchor="page" w:hAnchor="page" w:x="1390" w:y="11361"/>
        <w:shd w:val="clear" w:color="auto" w:fill="auto"/>
        <w:spacing w:before="0" w:line="270" w:lineRule="exact"/>
      </w:pPr>
      <w:r>
        <w:t>Národní galerie v Praze</w:t>
      </w:r>
    </w:p>
    <w:p w:rsidR="00AC7CE7" w:rsidRDefault="001B0270">
      <w:pPr>
        <w:pStyle w:val="Zkladntext20"/>
        <w:framePr w:w="2473" w:h="865" w:hRule="exact" w:wrap="none" w:vAnchor="page" w:hAnchor="page" w:x="1390" w:y="11361"/>
        <w:shd w:val="clear" w:color="auto" w:fill="auto"/>
        <w:spacing w:line="270" w:lineRule="exact"/>
      </w:pPr>
      <w:r>
        <w:t>Jiří Fajt</w:t>
      </w:r>
    </w:p>
    <w:p w:rsidR="00AC7CE7" w:rsidRDefault="001B0270">
      <w:pPr>
        <w:pStyle w:val="Zkladntext20"/>
        <w:framePr w:w="2473" w:h="865" w:hRule="exact" w:wrap="none" w:vAnchor="page" w:hAnchor="page" w:x="1390" w:y="11361"/>
        <w:shd w:val="clear" w:color="auto" w:fill="auto"/>
        <w:spacing w:line="270" w:lineRule="exact"/>
      </w:pPr>
      <w:r>
        <w:t>generální ředitel</w:t>
      </w:r>
    </w:p>
    <w:p w:rsidR="00AC7CE7" w:rsidRDefault="001B0270">
      <w:pPr>
        <w:pStyle w:val="Zkladntext20"/>
        <w:framePr w:w="9119" w:h="1659" w:hRule="exact" w:wrap="none" w:vAnchor="page" w:hAnchor="page" w:x="1401" w:y="10285"/>
        <w:shd w:val="clear" w:color="auto" w:fill="auto"/>
        <w:spacing w:line="220" w:lineRule="exact"/>
        <w:ind w:left="4950" w:right="119"/>
        <w:jc w:val="both"/>
      </w:pPr>
      <w:r>
        <w:t>Nájemce:</w:t>
      </w:r>
    </w:p>
    <w:p w:rsidR="00AC7CE7" w:rsidRDefault="00AC7CE7">
      <w:pPr>
        <w:pStyle w:val="Zkladntext70"/>
        <w:framePr w:w="9119" w:h="1659" w:hRule="exact" w:wrap="none" w:vAnchor="page" w:hAnchor="page" w:x="1401" w:y="10285"/>
        <w:shd w:val="clear" w:color="auto" w:fill="auto"/>
        <w:spacing w:before="0" w:line="100" w:lineRule="exact"/>
        <w:ind w:left="4950"/>
      </w:pPr>
    </w:p>
    <w:p w:rsidR="00C3354F" w:rsidRDefault="00C3354F">
      <w:pPr>
        <w:pStyle w:val="Zkladntext30"/>
        <w:framePr w:w="9119" w:h="1659" w:hRule="exact" w:wrap="none" w:vAnchor="page" w:hAnchor="page" w:x="1401" w:y="10285"/>
        <w:shd w:val="clear" w:color="auto" w:fill="auto"/>
        <w:spacing w:before="0" w:line="230" w:lineRule="exact"/>
        <w:ind w:left="4950" w:right="119"/>
        <w:jc w:val="both"/>
      </w:pPr>
    </w:p>
    <w:p w:rsidR="00C3354F" w:rsidRDefault="00C3354F">
      <w:pPr>
        <w:pStyle w:val="Zkladntext30"/>
        <w:framePr w:w="9119" w:h="1659" w:hRule="exact" w:wrap="none" w:vAnchor="page" w:hAnchor="page" w:x="1401" w:y="10285"/>
        <w:shd w:val="clear" w:color="auto" w:fill="auto"/>
        <w:spacing w:before="0" w:line="230" w:lineRule="exact"/>
        <w:ind w:left="4950" w:right="119"/>
        <w:jc w:val="both"/>
      </w:pPr>
    </w:p>
    <w:p w:rsidR="00C3354F" w:rsidRDefault="00C3354F">
      <w:pPr>
        <w:pStyle w:val="Zkladntext30"/>
        <w:framePr w:w="9119" w:h="1659" w:hRule="exact" w:wrap="none" w:vAnchor="page" w:hAnchor="page" w:x="1401" w:y="10285"/>
        <w:shd w:val="clear" w:color="auto" w:fill="auto"/>
        <w:spacing w:before="0" w:line="230" w:lineRule="exact"/>
        <w:ind w:left="4950" w:right="119"/>
        <w:jc w:val="both"/>
      </w:pPr>
    </w:p>
    <w:p w:rsidR="00AC7CE7" w:rsidRDefault="001B0270">
      <w:pPr>
        <w:pStyle w:val="Zkladntext30"/>
        <w:framePr w:w="9119" w:h="1659" w:hRule="exact" w:wrap="none" w:vAnchor="page" w:hAnchor="page" w:x="1401" w:y="10285"/>
        <w:shd w:val="clear" w:color="auto" w:fill="auto"/>
        <w:spacing w:before="0" w:line="230" w:lineRule="exact"/>
        <w:ind w:left="4950" w:right="119"/>
        <w:jc w:val="both"/>
      </w:pPr>
      <w:r>
        <w:t xml:space="preserve">Česká republika - </w:t>
      </w:r>
      <w:r>
        <w:t>Ministerstvo kultury</w:t>
      </w:r>
    </w:p>
    <w:p w:rsidR="00AC7CE7" w:rsidRDefault="001B0270">
      <w:pPr>
        <w:pStyle w:val="Zkladntext20"/>
        <w:framePr w:w="9119" w:h="1659" w:hRule="exact" w:wrap="none" w:vAnchor="page" w:hAnchor="page" w:x="1401" w:y="10285"/>
        <w:shd w:val="clear" w:color="auto" w:fill="auto"/>
        <w:spacing w:line="220" w:lineRule="exact"/>
        <w:ind w:left="4950" w:right="119"/>
        <w:jc w:val="both"/>
      </w:pPr>
      <w:r>
        <w:t>Ing.</w:t>
      </w:r>
      <w:r w:rsidR="00C3354F">
        <w:t xml:space="preserve"> </w:t>
      </w:r>
      <w:r>
        <w:t>Jan Řežábek</w:t>
      </w:r>
    </w:p>
    <w:p w:rsidR="00AC7CE7" w:rsidRDefault="001B0270">
      <w:pPr>
        <w:pStyle w:val="ZhlavneboZpat0"/>
        <w:framePr w:wrap="none" w:vAnchor="page" w:hAnchor="page" w:x="5875" w:y="15680"/>
        <w:shd w:val="clear" w:color="auto" w:fill="auto"/>
        <w:spacing w:line="190" w:lineRule="exact"/>
      </w:pPr>
      <w:r>
        <w:t>3</w:t>
      </w:r>
    </w:p>
    <w:p w:rsidR="00AC7CE7" w:rsidRDefault="00AC7CE7">
      <w:pPr>
        <w:rPr>
          <w:sz w:val="2"/>
          <w:szCs w:val="2"/>
        </w:rPr>
      </w:pPr>
      <w:bookmarkStart w:id="10" w:name="_GoBack"/>
      <w:bookmarkEnd w:id="10"/>
    </w:p>
    <w:sectPr w:rsidR="00AC7C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70" w:rsidRDefault="001B0270">
      <w:r>
        <w:separator/>
      </w:r>
    </w:p>
  </w:endnote>
  <w:endnote w:type="continuationSeparator" w:id="0">
    <w:p w:rsidR="001B0270" w:rsidRDefault="001B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70" w:rsidRDefault="001B0270"/>
  </w:footnote>
  <w:footnote w:type="continuationSeparator" w:id="0">
    <w:p w:rsidR="001B0270" w:rsidRDefault="001B02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1EC"/>
    <w:multiLevelType w:val="multilevel"/>
    <w:tmpl w:val="68DC28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45551"/>
    <w:multiLevelType w:val="multilevel"/>
    <w:tmpl w:val="BE36D8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437A1"/>
    <w:multiLevelType w:val="multilevel"/>
    <w:tmpl w:val="BEAC50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E1CC9"/>
    <w:multiLevelType w:val="multilevel"/>
    <w:tmpl w:val="297A9E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7CE7"/>
    <w:rsid w:val="001B0270"/>
    <w:rsid w:val="00AC7CE7"/>
    <w:rsid w:val="00C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8A8F"/>
  <w15:docId w15:val="{D53D489E-119F-4109-BAA1-58F084E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411ptNekurzva">
    <w:name w:val="Základní text (4) + 11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885ptNetun0">
    <w:name w:val="Základní text (8) + 8;5 pt;Ne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Malpsmena">
    <w:name w:val="Základní text (8) + Malá písmena"/>
    <w:basedOn w:val="Zkladntext8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TimesNewRoman">
    <w:name w:val="Základní text (9) + Times New Roman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75ptTun">
    <w:name w:val="Základní text (9) + 7;5 pt;Tučné"/>
    <w:basedOn w:val="Zkladn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54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80" w:after="840" w:line="0" w:lineRule="atLeas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5" w:lineRule="exact"/>
    </w:pPr>
    <w:rPr>
      <w:rFonts w:ascii="Candara" w:eastAsia="Candara" w:hAnsi="Candara" w:cs="Candara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0" w:line="0" w:lineRule="atLeas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0"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23" w:lineRule="exact"/>
      <w:ind w:firstLine="240"/>
    </w:pPr>
    <w:rPr>
      <w:rFonts w:ascii="Candara" w:eastAsia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c224.pk.gr-20170614154123</dc:title>
  <dc:subject/>
  <dc:creator/>
  <cp:keywords/>
  <cp:lastModifiedBy>Zdenka Šímová</cp:lastModifiedBy>
  <cp:revision>2</cp:revision>
  <dcterms:created xsi:type="dcterms:W3CDTF">2017-06-14T13:46:00Z</dcterms:created>
  <dcterms:modified xsi:type="dcterms:W3CDTF">2017-06-14T13:53:00Z</dcterms:modified>
</cp:coreProperties>
</file>