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46" w:rsidRDefault="00610116">
      <w:pPr>
        <w:pStyle w:val="Nadpis10"/>
        <w:framePr w:w="9144" w:h="597" w:hRule="exact" w:wrap="none" w:vAnchor="page" w:hAnchor="page" w:x="1306" w:y="1672"/>
        <w:shd w:val="clear" w:color="auto" w:fill="auto"/>
        <w:spacing w:before="0" w:after="0" w:line="260" w:lineRule="exact"/>
      </w:pPr>
      <w:bookmarkStart w:id="0" w:name="bookmark0"/>
      <w:r>
        <w:t>DODATEK č. 1</w:t>
      </w:r>
      <w:bookmarkEnd w:id="0"/>
    </w:p>
    <w:p w:rsidR="00B26946" w:rsidRDefault="00610116">
      <w:pPr>
        <w:pStyle w:val="Zkladntext20"/>
        <w:framePr w:w="9144" w:h="597" w:hRule="exact" w:wrap="none" w:vAnchor="page" w:hAnchor="page" w:x="1306" w:y="1672"/>
        <w:shd w:val="clear" w:color="auto" w:fill="auto"/>
        <w:spacing w:before="0" w:after="0" w:line="240" w:lineRule="exact"/>
        <w:ind w:firstLine="0"/>
      </w:pPr>
      <w:r>
        <w:t>ke smlouvě o užívání nebytových prostor</w:t>
      </w:r>
    </w:p>
    <w:p w:rsidR="00B26946" w:rsidRDefault="00610116">
      <w:pPr>
        <w:pStyle w:val="Nadpis20"/>
        <w:framePr w:w="9144" w:h="300" w:hRule="exact" w:wrap="none" w:vAnchor="page" w:hAnchor="page" w:x="1306" w:y="1144"/>
        <w:shd w:val="clear" w:color="auto" w:fill="auto"/>
        <w:spacing w:after="0" w:line="240" w:lineRule="exact"/>
        <w:ind w:firstLine="0"/>
      </w:pPr>
      <w:bookmarkStart w:id="1" w:name="bookmark1"/>
      <w:r>
        <w:t>č.j.: NG/1461/2016</w:t>
      </w:r>
      <w:bookmarkEnd w:id="1"/>
    </w:p>
    <w:p w:rsidR="00B26946" w:rsidRDefault="00610116">
      <w:pPr>
        <w:pStyle w:val="Nadpis20"/>
        <w:framePr w:w="9144" w:h="5257" w:hRule="exact" w:wrap="none" w:vAnchor="page" w:hAnchor="page" w:x="1306" w:y="2516"/>
        <w:shd w:val="clear" w:color="auto" w:fill="auto"/>
        <w:spacing w:after="202" w:line="240" w:lineRule="exact"/>
        <w:ind w:left="760"/>
        <w:jc w:val="left"/>
      </w:pPr>
      <w:bookmarkStart w:id="2" w:name="bookmark2"/>
      <w:r>
        <w:t>Smluvní strany:</w:t>
      </w:r>
      <w:bookmarkEnd w:id="2"/>
    </w:p>
    <w:p w:rsidR="00B26946" w:rsidRDefault="00610116">
      <w:pPr>
        <w:pStyle w:val="Nadpis20"/>
        <w:framePr w:w="9144" w:h="5257" w:hRule="exact" w:wrap="none" w:vAnchor="page" w:hAnchor="page" w:x="1306" w:y="2516"/>
        <w:shd w:val="clear" w:color="auto" w:fill="auto"/>
        <w:spacing w:after="0" w:line="274" w:lineRule="exact"/>
        <w:ind w:left="760"/>
        <w:jc w:val="left"/>
      </w:pPr>
      <w:bookmarkStart w:id="3" w:name="bookmark3"/>
      <w:r>
        <w:t>Národní galerie v Praze</w:t>
      </w:r>
      <w:bookmarkEnd w:id="3"/>
    </w:p>
    <w:p w:rsidR="00B26946" w:rsidRDefault="00610116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74" w:lineRule="exact"/>
        <w:ind w:left="760"/>
        <w:jc w:val="left"/>
      </w:pPr>
      <w:r>
        <w:t>se sídlem: Staroměstské nám. 12, 110 15 Praha 1</w:t>
      </w:r>
    </w:p>
    <w:p w:rsidR="00B26946" w:rsidRDefault="00610116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74" w:lineRule="exact"/>
        <w:ind w:left="760"/>
        <w:jc w:val="left"/>
      </w:pPr>
      <w:r>
        <w:t>zastoupená doc. Dr. et Ing. Jiřím Fajtem, Ph.D., generálním ředitelem</w:t>
      </w:r>
    </w:p>
    <w:p w:rsidR="00B26946" w:rsidRDefault="00610116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74" w:lineRule="exact"/>
        <w:ind w:left="760"/>
        <w:jc w:val="left"/>
      </w:pPr>
      <w:r>
        <w:t xml:space="preserve">IČO: 00023281, DIČ: </w:t>
      </w:r>
      <w:r>
        <w:t>CZ00023281, příspěvková organizace</w:t>
      </w:r>
    </w:p>
    <w:p w:rsidR="00B26946" w:rsidRDefault="00610116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74" w:lineRule="exact"/>
        <w:ind w:left="760"/>
        <w:jc w:val="left"/>
      </w:pPr>
      <w:r>
        <w:t>bankovní spojení: KB Praha 1, č. ú.: 8839011/0100,</w:t>
      </w:r>
    </w:p>
    <w:p w:rsidR="00B26946" w:rsidRDefault="00610116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327" w:line="274" w:lineRule="exact"/>
        <w:ind w:left="760"/>
        <w:jc w:val="left"/>
      </w:pPr>
      <w:r>
        <w:t xml:space="preserve">na straně jedné (dále jen </w:t>
      </w:r>
      <w:r>
        <w:rPr>
          <w:rStyle w:val="Zkladntext2Tun"/>
        </w:rPr>
        <w:t xml:space="preserve">„pronajímatel“ </w:t>
      </w:r>
      <w:r>
        <w:t xml:space="preserve">nebo </w:t>
      </w:r>
      <w:r>
        <w:rPr>
          <w:rStyle w:val="Zkladntext2Tun"/>
        </w:rPr>
        <w:t>„NG“)</w:t>
      </w:r>
    </w:p>
    <w:p w:rsidR="00B26946" w:rsidRDefault="00610116">
      <w:pPr>
        <w:pStyle w:val="Nadpis20"/>
        <w:framePr w:w="9144" w:h="5257" w:hRule="exact" w:wrap="none" w:vAnchor="page" w:hAnchor="page" w:x="1306" w:y="2516"/>
        <w:shd w:val="clear" w:color="auto" w:fill="auto"/>
        <w:spacing w:after="253" w:line="240" w:lineRule="exact"/>
        <w:ind w:left="760"/>
        <w:jc w:val="left"/>
      </w:pPr>
      <w:bookmarkStart w:id="4" w:name="bookmark4"/>
      <w:r>
        <w:t>a</w:t>
      </w:r>
      <w:bookmarkEnd w:id="4"/>
    </w:p>
    <w:p w:rsidR="00B26946" w:rsidRDefault="00610116">
      <w:pPr>
        <w:pStyle w:val="Nadpis20"/>
        <w:framePr w:w="9144" w:h="5257" w:hRule="exact" w:wrap="none" w:vAnchor="page" w:hAnchor="page" w:x="1306" w:y="2516"/>
        <w:shd w:val="clear" w:color="auto" w:fill="auto"/>
        <w:spacing w:after="0" w:line="274" w:lineRule="exact"/>
        <w:ind w:left="760"/>
        <w:jc w:val="left"/>
      </w:pPr>
      <w:bookmarkStart w:id="5" w:name="bookmark5"/>
      <w:r>
        <w:t>Česká republika - Ministerstvo kultury</w:t>
      </w:r>
      <w:bookmarkEnd w:id="5"/>
    </w:p>
    <w:p w:rsidR="00B26946" w:rsidRDefault="00610116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74" w:lineRule="exact"/>
        <w:ind w:right="2420" w:firstLine="0"/>
        <w:jc w:val="left"/>
      </w:pPr>
      <w:r>
        <w:t>se sídlem: Maltézské nám. 1, 118 01 Praha 1, Malá Strana, zastoupené Ing. Jan</w:t>
      </w:r>
      <w:r>
        <w:t>em Řežábkem, ředitelem odboru vnitřní správy IČO: 00023671</w:t>
      </w:r>
    </w:p>
    <w:p w:rsidR="007945C1" w:rsidRDefault="00610116" w:rsidP="007945C1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40" w:lineRule="auto"/>
        <w:ind w:right="2421" w:firstLine="0"/>
        <w:jc w:val="left"/>
      </w:pPr>
      <w:r>
        <w:t xml:space="preserve">bankovní spojení: ČNB Praha 1, č. ú.: 3424-001/710, </w:t>
      </w:r>
    </w:p>
    <w:p w:rsidR="00B26946" w:rsidRDefault="00610116" w:rsidP="007945C1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40" w:lineRule="auto"/>
        <w:ind w:right="2421" w:firstLine="0"/>
        <w:jc w:val="left"/>
      </w:pPr>
      <w:r>
        <w:t xml:space="preserve">na straně druhé (dále jen </w:t>
      </w:r>
      <w:r>
        <w:rPr>
          <w:rStyle w:val="Zkladntext2Tun"/>
        </w:rPr>
        <w:t xml:space="preserve">„nájemce“ </w:t>
      </w:r>
      <w:r>
        <w:t xml:space="preserve">nebo </w:t>
      </w:r>
      <w:r>
        <w:rPr>
          <w:rStyle w:val="Zkladntext2Tun"/>
        </w:rPr>
        <w:t>„MK“)</w:t>
      </w:r>
    </w:p>
    <w:p w:rsidR="007945C1" w:rsidRDefault="007945C1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40" w:lineRule="exact"/>
        <w:ind w:left="760"/>
        <w:jc w:val="left"/>
      </w:pPr>
    </w:p>
    <w:p w:rsidR="00B26946" w:rsidRDefault="00610116">
      <w:pPr>
        <w:pStyle w:val="Zkladntext20"/>
        <w:framePr w:w="9144" w:h="5257" w:hRule="exact" w:wrap="none" w:vAnchor="page" w:hAnchor="page" w:x="1306" w:y="2516"/>
        <w:shd w:val="clear" w:color="auto" w:fill="auto"/>
        <w:spacing w:before="0" w:after="0" w:line="240" w:lineRule="exact"/>
        <w:ind w:left="760"/>
        <w:jc w:val="left"/>
      </w:pPr>
      <w:r>
        <w:t>uzavírají tento</w:t>
      </w:r>
    </w:p>
    <w:p w:rsidR="00B26946" w:rsidRDefault="00610116">
      <w:pPr>
        <w:pStyle w:val="Nadpis10"/>
        <w:framePr w:w="9144" w:h="3024" w:hRule="exact" w:wrap="none" w:vAnchor="page" w:hAnchor="page" w:x="1306" w:y="8109"/>
        <w:shd w:val="clear" w:color="auto" w:fill="auto"/>
        <w:spacing w:before="0" w:after="0" w:line="260" w:lineRule="exact"/>
      </w:pPr>
      <w:bookmarkStart w:id="6" w:name="bookmark6"/>
      <w:r>
        <w:t>Dodatek č. 1</w:t>
      </w:r>
      <w:bookmarkEnd w:id="6"/>
    </w:p>
    <w:p w:rsidR="00B26946" w:rsidRDefault="00610116">
      <w:pPr>
        <w:pStyle w:val="Zkladntext20"/>
        <w:framePr w:w="9144" w:h="3024" w:hRule="exact" w:wrap="none" w:vAnchor="page" w:hAnchor="page" w:x="1306" w:y="8109"/>
        <w:shd w:val="clear" w:color="auto" w:fill="auto"/>
        <w:spacing w:before="0" w:after="254" w:line="240" w:lineRule="exact"/>
        <w:ind w:firstLine="0"/>
      </w:pPr>
      <w:r>
        <w:t>ke smlouvě o užívání nebytových prostor č.j. NG/1331/2015 ze dne 1.6.</w:t>
      </w:r>
      <w:r>
        <w:t xml:space="preserve"> 2015</w:t>
      </w:r>
    </w:p>
    <w:p w:rsidR="00B26946" w:rsidRDefault="00610116">
      <w:pPr>
        <w:pStyle w:val="Nadpis120"/>
        <w:framePr w:w="9144" w:h="3024" w:hRule="exact" w:wrap="none" w:vAnchor="page" w:hAnchor="page" w:x="1306" w:y="8109"/>
        <w:shd w:val="clear" w:color="auto" w:fill="auto"/>
        <w:spacing w:before="0" w:after="40" w:line="200" w:lineRule="exact"/>
        <w:ind w:left="4480"/>
      </w:pPr>
      <w:bookmarkStart w:id="7" w:name="bookmark7"/>
      <w:r>
        <w:t>I.</w:t>
      </w:r>
      <w:bookmarkEnd w:id="7"/>
    </w:p>
    <w:p w:rsidR="00B26946" w:rsidRDefault="00610116">
      <w:pPr>
        <w:pStyle w:val="Nadpis20"/>
        <w:framePr w:w="9144" w:h="3024" w:hRule="exact" w:wrap="none" w:vAnchor="page" w:hAnchor="page" w:x="1306" w:y="8109"/>
        <w:shd w:val="clear" w:color="auto" w:fill="auto"/>
        <w:spacing w:after="213" w:line="240" w:lineRule="exact"/>
        <w:ind w:firstLine="0"/>
        <w:jc w:val="center"/>
      </w:pPr>
      <w:bookmarkStart w:id="8" w:name="bookmark8"/>
      <w:r>
        <w:t>Úvodní ustanovení</w:t>
      </w:r>
      <w:bookmarkEnd w:id="8"/>
    </w:p>
    <w:p w:rsidR="00B26946" w:rsidRDefault="00610116">
      <w:pPr>
        <w:pStyle w:val="Zkladntext20"/>
        <w:framePr w:w="9144" w:h="3024" w:hRule="exact" w:wrap="none" w:vAnchor="page" w:hAnchor="page" w:x="1306" w:y="8109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274" w:lineRule="exact"/>
        <w:ind w:left="760"/>
        <w:jc w:val="both"/>
      </w:pPr>
      <w:r>
        <w:t xml:space="preserve">Nájemce má na základě Smlouvy o užívání nebytových prostor č. NG/1331/2015 ze dne 1.6.2015 („dále jen </w:t>
      </w:r>
      <w:r>
        <w:rPr>
          <w:rStyle w:val="Zkladntext2Tun"/>
        </w:rPr>
        <w:t xml:space="preserve">„smlouva“), </w:t>
      </w:r>
      <w:r>
        <w:t>poskytnuty nebytové prostory nacházející se ve Veletržním paláci, Dukelských hrdinů 47, Praha 7, 170 00, za účelem provozu kanceláří, skladovacích prostor, příslušenství v 2. suterénu, 1. patře, 2. patře, 3. patře a 5. patře Veletržního paláce. Užívaný pro</w:t>
      </w:r>
      <w:r>
        <w:t xml:space="preserve">stor činí </w:t>
      </w:r>
      <w:r>
        <w:rPr>
          <w:rStyle w:val="Zkladntext2Tun"/>
        </w:rPr>
        <w:t>celkem 359,87 m</w:t>
      </w:r>
      <w:r>
        <w:rPr>
          <w:rStyle w:val="Zkladntext2Tun"/>
          <w:vertAlign w:val="superscript"/>
        </w:rPr>
        <w:t>2</w:t>
      </w:r>
      <w:r>
        <w:rPr>
          <w:rStyle w:val="Zkladntext2Tun"/>
        </w:rPr>
        <w:t>.</w:t>
      </w:r>
    </w:p>
    <w:p w:rsidR="00B26946" w:rsidRDefault="00610116">
      <w:pPr>
        <w:pStyle w:val="Nadpis220"/>
        <w:framePr w:w="9144" w:h="3313" w:hRule="exact" w:wrap="none" w:vAnchor="page" w:hAnchor="page" w:x="1306" w:y="11660"/>
        <w:shd w:val="clear" w:color="auto" w:fill="auto"/>
        <w:spacing w:before="0" w:after="0" w:line="240" w:lineRule="exact"/>
        <w:ind w:left="4480"/>
      </w:pPr>
      <w:bookmarkStart w:id="9" w:name="bookmark9"/>
      <w:r>
        <w:t>II.</w:t>
      </w:r>
      <w:bookmarkEnd w:id="9"/>
    </w:p>
    <w:p w:rsidR="00B26946" w:rsidRDefault="00610116">
      <w:pPr>
        <w:pStyle w:val="Nadpis20"/>
        <w:framePr w:w="9144" w:h="3313" w:hRule="exact" w:wrap="none" w:vAnchor="page" w:hAnchor="page" w:x="1306" w:y="11660"/>
        <w:shd w:val="clear" w:color="auto" w:fill="auto"/>
        <w:spacing w:after="249" w:line="240" w:lineRule="exact"/>
        <w:ind w:firstLine="0"/>
        <w:jc w:val="center"/>
      </w:pPr>
      <w:bookmarkStart w:id="10" w:name="bookmark10"/>
      <w:r>
        <w:t>Předmět dodatku</w:t>
      </w:r>
      <w:bookmarkEnd w:id="10"/>
    </w:p>
    <w:p w:rsidR="00B26946" w:rsidRDefault="00610116">
      <w:pPr>
        <w:pStyle w:val="Zkladntext20"/>
        <w:framePr w:w="9144" w:h="3313" w:hRule="exact" w:wrap="none" w:vAnchor="page" w:hAnchor="page" w:x="1306" w:y="1166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303" w:line="274" w:lineRule="exact"/>
        <w:ind w:left="760"/>
        <w:jc w:val="both"/>
      </w:pPr>
      <w:r>
        <w:t>ČI. VII. odst. 4. smlouvy se mění a doplňuje tak, že smluvní strany výslovně sjednávají, že úklid prostor zajišťuje NG. Četnost úklidu kanceláří je na žádost nájemce navýšena na 5x týdně, přístupové komunikac</w:t>
      </w:r>
      <w:r>
        <w:t>e jsou uklízeny se stejnou četností jako všechny ostatní obdobné komunikace budovy. Za toto navýšení bude ze strany NG účtováno měsíčně o 3 000,- Kč + 21% DPH více, než bylo smluvně sjednáno.</w:t>
      </w:r>
    </w:p>
    <w:p w:rsidR="00B26946" w:rsidRDefault="00610116">
      <w:pPr>
        <w:pStyle w:val="Zkladntext20"/>
        <w:framePr w:w="9144" w:h="3313" w:hRule="exact" w:wrap="none" w:vAnchor="page" w:hAnchor="page" w:x="1306" w:y="1166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270" w:lineRule="exact"/>
        <w:ind w:left="760"/>
        <w:jc w:val="left"/>
      </w:pPr>
      <w:r>
        <w:t>Tento dodatek nabývá platnosti dnem podpisu smluvních stran a úč</w:t>
      </w:r>
      <w:r>
        <w:t>innosti dne 1. srpna 2016.</w:t>
      </w:r>
    </w:p>
    <w:p w:rsidR="00B26946" w:rsidRDefault="00610116">
      <w:pPr>
        <w:pStyle w:val="ZhlavneboZpat0"/>
        <w:framePr w:wrap="none" w:vAnchor="page" w:hAnchor="page" w:x="5802" w:y="15646"/>
        <w:shd w:val="clear" w:color="auto" w:fill="auto"/>
        <w:spacing w:line="180" w:lineRule="exact"/>
      </w:pPr>
      <w:r>
        <w:t>1</w:t>
      </w:r>
    </w:p>
    <w:p w:rsidR="00B26946" w:rsidRDefault="00B26946">
      <w:pPr>
        <w:rPr>
          <w:sz w:val="2"/>
          <w:szCs w:val="2"/>
        </w:rPr>
        <w:sectPr w:rsidR="00B269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6946" w:rsidRDefault="00610116">
      <w:pPr>
        <w:pStyle w:val="Zkladntext30"/>
        <w:framePr w:w="9101" w:h="5531" w:hRule="exact" w:wrap="none" w:vAnchor="page" w:hAnchor="page" w:x="1327" w:y="1137"/>
        <w:shd w:val="clear" w:color="auto" w:fill="auto"/>
        <w:spacing w:after="0" w:line="240" w:lineRule="exact"/>
        <w:ind w:left="4380"/>
      </w:pPr>
      <w:r>
        <w:lastRenderedPageBreak/>
        <w:t>III.</w:t>
      </w:r>
    </w:p>
    <w:p w:rsidR="00B26946" w:rsidRDefault="00610116">
      <w:pPr>
        <w:pStyle w:val="Nadpis20"/>
        <w:framePr w:w="9101" w:h="5531" w:hRule="exact" w:wrap="none" w:vAnchor="page" w:hAnchor="page" w:x="1327" w:y="1137"/>
        <w:shd w:val="clear" w:color="auto" w:fill="auto"/>
        <w:spacing w:after="216" w:line="240" w:lineRule="exact"/>
        <w:ind w:firstLine="0"/>
        <w:jc w:val="center"/>
      </w:pPr>
      <w:bookmarkStart w:id="11" w:name="bookmark11"/>
      <w:r>
        <w:t>Závěrečná ustanovení</w:t>
      </w:r>
      <w:bookmarkEnd w:id="11"/>
    </w:p>
    <w:p w:rsidR="00B26946" w:rsidRDefault="00610116">
      <w:pPr>
        <w:pStyle w:val="Zkladntext20"/>
        <w:framePr w:w="9101" w:h="5531" w:hRule="exact" w:wrap="none" w:vAnchor="page" w:hAnchor="page" w:x="1327" w:y="1137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264" w:line="270" w:lineRule="exact"/>
        <w:ind w:left="740" w:hanging="740"/>
        <w:jc w:val="both"/>
      </w:pPr>
      <w:r>
        <w:t>Tento dodatek se vyhotovuje ve čtyřech stejnopisech, z nichž každá smluvní strana obdrží po dvou.</w:t>
      </w:r>
    </w:p>
    <w:p w:rsidR="00B26946" w:rsidRDefault="00610116">
      <w:pPr>
        <w:pStyle w:val="Zkladntext20"/>
        <w:framePr w:w="9101" w:h="5531" w:hRule="exact" w:wrap="none" w:vAnchor="page" w:hAnchor="page" w:x="1327" w:y="1137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206" w:line="240" w:lineRule="exact"/>
        <w:ind w:left="740" w:hanging="740"/>
        <w:jc w:val="both"/>
      </w:pPr>
      <w:r>
        <w:t>Ostatní ustanovení smlouvy se tímto dodatkem nemění.</w:t>
      </w:r>
    </w:p>
    <w:p w:rsidR="00B26946" w:rsidRDefault="00610116">
      <w:pPr>
        <w:pStyle w:val="Zkladntext20"/>
        <w:framePr w:w="9101" w:h="5531" w:hRule="exact" w:wrap="none" w:vAnchor="page" w:hAnchor="page" w:x="1327" w:y="1137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243" w:line="274" w:lineRule="exact"/>
        <w:ind w:left="740" w:hanging="740"/>
        <w:jc w:val="both"/>
      </w:pPr>
      <w:r>
        <w:t xml:space="preserve">Pro případ povinnosti </w:t>
      </w:r>
      <w:r>
        <w:t>zveřejnění tohoto dodatku a smlouvy dle zákona č. 340/2015 Sb., o registru smluv, smluvní strany sjednávají, že zveřejnění provede pronajímatel. Obě strany berou na vědomí, že nebudou zveřejněny pouze ty informace, které nelze poskytnout podle předpisů upr</w:t>
      </w:r>
      <w:r>
        <w:t>avujících svobodný přístup k informacím. Považuje-li nájemce některé informace uvedené ve smlouvě nebo dodatku za informace, které nemohou být zveřejněny v registru smluv dle zákona ě. 340/2015 Sb., je povinen na to pronajímatele současně s uzavřením tohot</w:t>
      </w:r>
      <w:r>
        <w:t>o dodatku písemně upozornit.</w:t>
      </w:r>
    </w:p>
    <w:p w:rsidR="00B26946" w:rsidRDefault="00610116">
      <w:pPr>
        <w:pStyle w:val="Zkladntext20"/>
        <w:framePr w:w="9101" w:h="5531" w:hRule="exact" w:wrap="none" w:vAnchor="page" w:hAnchor="page" w:x="1327" w:y="1137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 w:line="270" w:lineRule="exact"/>
        <w:ind w:left="740" w:hanging="740"/>
        <w:jc w:val="both"/>
      </w:pPr>
      <w:r>
        <w:t xml:space="preserve">Pronajímatel a nájemce si dodatek přečetli, všechna jeho ustanovení jsou jim jasná a srozumitelná, přičemž dostatečným způsobem vyjadřují vážnou a svobodnou vůli smluvních stran bez jakýchkoli omylů, na důkaz čehož připojují </w:t>
      </w:r>
      <w:r>
        <w:t>smluvní strany své podpisy.</w:t>
      </w:r>
    </w:p>
    <w:p w:rsidR="00B26946" w:rsidRDefault="00610116">
      <w:pPr>
        <w:pStyle w:val="Titulekobrzku0"/>
        <w:framePr w:wrap="none" w:vAnchor="page" w:hAnchor="page" w:x="1320" w:y="8009"/>
        <w:shd w:val="clear" w:color="auto" w:fill="auto"/>
        <w:spacing w:line="240" w:lineRule="exact"/>
      </w:pPr>
      <w:r>
        <w:t>V Praze dne</w:t>
      </w:r>
      <w:r w:rsidR="007945C1">
        <w:t xml:space="preserve">  8. 7. 2016</w:t>
      </w:r>
    </w:p>
    <w:p w:rsidR="00B26946" w:rsidRDefault="00610116">
      <w:pPr>
        <w:pStyle w:val="Zkladntext20"/>
        <w:framePr w:wrap="none" w:vAnchor="page" w:hAnchor="page" w:x="6245" w:y="8024"/>
        <w:shd w:val="clear" w:color="auto" w:fill="auto"/>
        <w:spacing w:before="0" w:after="0" w:line="240" w:lineRule="exact"/>
        <w:ind w:firstLine="0"/>
        <w:jc w:val="left"/>
      </w:pPr>
      <w:r>
        <w:t>V Praze dne</w:t>
      </w:r>
      <w:r w:rsidR="007945C1">
        <w:t xml:space="preserve">  15. 7. 2016</w:t>
      </w:r>
    </w:p>
    <w:p w:rsidR="00B26946" w:rsidRDefault="00B26946">
      <w:pPr>
        <w:pStyle w:val="Zkladntext40"/>
        <w:framePr w:wrap="none" w:vAnchor="page" w:hAnchor="page" w:x="7908" w:y="7906"/>
        <w:shd w:val="clear" w:color="auto" w:fill="auto"/>
        <w:spacing w:line="180" w:lineRule="exact"/>
        <w:ind w:left="1020"/>
      </w:pPr>
    </w:p>
    <w:p w:rsidR="00B26946" w:rsidRDefault="00610116">
      <w:pPr>
        <w:pStyle w:val="Titulekobrzku0"/>
        <w:framePr w:wrap="none" w:vAnchor="page" w:hAnchor="page" w:x="1313" w:y="9381"/>
        <w:shd w:val="clear" w:color="auto" w:fill="auto"/>
        <w:spacing w:line="240" w:lineRule="exact"/>
      </w:pPr>
      <w:r>
        <w:t>Pronajímatel:</w:t>
      </w:r>
    </w:p>
    <w:p w:rsidR="00B26946" w:rsidRDefault="00610116">
      <w:pPr>
        <w:pStyle w:val="Zkladntext20"/>
        <w:framePr w:wrap="none" w:vAnchor="page" w:hAnchor="page" w:x="1327" w:y="9395"/>
        <w:shd w:val="clear" w:color="auto" w:fill="auto"/>
        <w:spacing w:before="0" w:after="0" w:line="240" w:lineRule="exact"/>
        <w:ind w:left="4906" w:firstLine="0"/>
        <w:jc w:val="left"/>
      </w:pPr>
      <w:r>
        <w:t>Nájemce:</w:t>
      </w:r>
    </w:p>
    <w:p w:rsidR="00B26946" w:rsidRDefault="00610116">
      <w:pPr>
        <w:pStyle w:val="Titulekobrzku20"/>
        <w:framePr w:w="2462" w:h="570" w:hRule="exact" w:wrap="none" w:vAnchor="page" w:hAnchor="page" w:x="1309" w:y="10490"/>
        <w:shd w:val="clear" w:color="auto" w:fill="auto"/>
        <w:spacing w:after="0" w:line="240" w:lineRule="exact"/>
      </w:pPr>
      <w:r>
        <w:t>Národní galerie v Praze</w:t>
      </w:r>
    </w:p>
    <w:p w:rsidR="00B26946" w:rsidRDefault="00610116">
      <w:pPr>
        <w:pStyle w:val="Titulekobrzku0"/>
        <w:framePr w:w="2462" w:h="570" w:hRule="exact" w:wrap="none" w:vAnchor="page" w:hAnchor="page" w:x="1309" w:y="10490"/>
        <w:shd w:val="clear" w:color="auto" w:fill="auto"/>
        <w:spacing w:line="240" w:lineRule="exact"/>
      </w:pPr>
      <w:r>
        <w:t>Doc. Dr. et Ing. Jiří Fajt</w:t>
      </w:r>
    </w:p>
    <w:p w:rsidR="007945C1" w:rsidRDefault="007945C1">
      <w:pPr>
        <w:pStyle w:val="Zkladntext60"/>
        <w:framePr w:w="9101" w:h="1365" w:hRule="exact" w:wrap="none" w:vAnchor="page" w:hAnchor="page" w:x="1327" w:y="10004"/>
        <w:shd w:val="clear" w:color="auto" w:fill="auto"/>
        <w:spacing w:line="240" w:lineRule="exact"/>
        <w:ind w:left="4899"/>
      </w:pPr>
    </w:p>
    <w:p w:rsidR="007945C1" w:rsidRDefault="007945C1">
      <w:pPr>
        <w:pStyle w:val="Zkladntext60"/>
        <w:framePr w:w="9101" w:h="1365" w:hRule="exact" w:wrap="none" w:vAnchor="page" w:hAnchor="page" w:x="1327" w:y="10004"/>
        <w:shd w:val="clear" w:color="auto" w:fill="auto"/>
        <w:spacing w:line="240" w:lineRule="exact"/>
        <w:ind w:left="4899"/>
      </w:pPr>
    </w:p>
    <w:p w:rsidR="00B26946" w:rsidRDefault="00610116">
      <w:pPr>
        <w:pStyle w:val="Zkladntext60"/>
        <w:framePr w:w="9101" w:h="1365" w:hRule="exact" w:wrap="none" w:vAnchor="page" w:hAnchor="page" w:x="1327" w:y="10004"/>
        <w:shd w:val="clear" w:color="auto" w:fill="auto"/>
        <w:spacing w:line="240" w:lineRule="exact"/>
        <w:ind w:left="4899"/>
      </w:pPr>
      <w:r>
        <w:t>Česká republika - Ministerstvo kultury</w:t>
      </w:r>
    </w:p>
    <w:p w:rsidR="00B26946" w:rsidRDefault="00610116">
      <w:pPr>
        <w:pStyle w:val="Zkladntext20"/>
        <w:framePr w:w="9101" w:h="1365" w:hRule="exact" w:wrap="none" w:vAnchor="page" w:hAnchor="page" w:x="1327" w:y="10004"/>
        <w:shd w:val="clear" w:color="auto" w:fill="auto"/>
        <w:spacing w:before="0" w:after="0" w:line="240" w:lineRule="exact"/>
        <w:ind w:left="4899" w:firstLine="0"/>
        <w:jc w:val="left"/>
      </w:pPr>
      <w:r>
        <w:t>Ing.</w:t>
      </w:r>
      <w:r w:rsidR="007945C1">
        <w:t xml:space="preserve"> </w:t>
      </w:r>
      <w:r>
        <w:t>Jan Řežábek</w:t>
      </w:r>
    </w:p>
    <w:p w:rsidR="00B26946" w:rsidRDefault="00610116">
      <w:pPr>
        <w:pStyle w:val="ZhlavneboZpat0"/>
        <w:framePr w:wrap="none" w:vAnchor="page" w:hAnchor="page" w:x="5755" w:y="15617"/>
        <w:shd w:val="clear" w:color="auto" w:fill="auto"/>
        <w:spacing w:line="180" w:lineRule="exact"/>
      </w:pPr>
      <w:r>
        <w:t>2</w:t>
      </w:r>
    </w:p>
    <w:p w:rsidR="00B26946" w:rsidRDefault="00B26946">
      <w:pPr>
        <w:rPr>
          <w:sz w:val="2"/>
          <w:szCs w:val="2"/>
        </w:rPr>
      </w:pPr>
      <w:bookmarkStart w:id="12" w:name="_GoBack"/>
      <w:bookmarkEnd w:id="12"/>
    </w:p>
    <w:sectPr w:rsidR="00B2694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16" w:rsidRDefault="00610116">
      <w:r>
        <w:separator/>
      </w:r>
    </w:p>
  </w:endnote>
  <w:endnote w:type="continuationSeparator" w:id="0">
    <w:p w:rsidR="00610116" w:rsidRDefault="0061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16" w:rsidRDefault="00610116"/>
  </w:footnote>
  <w:footnote w:type="continuationSeparator" w:id="0">
    <w:p w:rsidR="00610116" w:rsidRDefault="006101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D5E67"/>
    <w:multiLevelType w:val="multilevel"/>
    <w:tmpl w:val="A394E69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F455C8"/>
    <w:multiLevelType w:val="multilevel"/>
    <w:tmpl w:val="44DC1E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C15CD3"/>
    <w:multiLevelType w:val="multilevel"/>
    <w:tmpl w:val="CA6AFA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6946"/>
    <w:rsid w:val="00610116"/>
    <w:rsid w:val="007945C1"/>
    <w:rsid w:val="00B2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7E40"/>
  <w15:docId w15:val="{079AD280-6CBA-43AE-A1AE-40D77F1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w w:val="20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2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ind w:hanging="760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ind w:hanging="760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300" w:after="60" w:line="0" w:lineRule="atLeast"/>
      <w:outlineLvl w:val="0"/>
    </w:pPr>
    <w:rPr>
      <w:rFonts w:ascii="Segoe UI" w:eastAsia="Segoe UI" w:hAnsi="Segoe UI" w:cs="Segoe UI"/>
      <w:b/>
      <w:bCs/>
      <w:spacing w:val="10"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after="6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30"/>
      <w:w w:val="200"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ourier New" w:eastAsia="Courier New" w:hAnsi="Courier New" w:cs="Courier New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c224.pk.gr-20170614154026</dc:title>
  <dc:subject/>
  <dc:creator/>
  <cp:keywords/>
  <cp:lastModifiedBy>Zdenka Šímová</cp:lastModifiedBy>
  <cp:revision>2</cp:revision>
  <dcterms:created xsi:type="dcterms:W3CDTF">2017-06-14T13:39:00Z</dcterms:created>
  <dcterms:modified xsi:type="dcterms:W3CDTF">2017-06-14T13:42:00Z</dcterms:modified>
</cp:coreProperties>
</file>