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259" w:h="312" w:wrap="none" w:hAnchor="page" w:x="4581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RÁMCOVÁ KUPNÍ SMLOUVA</w:t>
      </w:r>
      <w:bookmarkEnd w:id="0"/>
    </w:p>
    <w:p>
      <w:pPr>
        <w:pStyle w:val="Style4"/>
        <w:keepNext/>
        <w:keepLines/>
        <w:framePr w:w="2429" w:h="1277" w:wrap="none" w:hAnchor="page" w:x="8868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5"/>
        </w:rPr>
        <w:t>muiimii</w:t>
      </w:r>
      <w:bookmarkEnd w:id="2"/>
    </w:p>
    <w:p>
      <w:pPr>
        <w:pStyle w:val="Style6"/>
        <w:keepNext w:val="0"/>
        <w:keepLines w:val="0"/>
        <w:framePr w:w="2429" w:h="1277" w:wrap="none" w:hAnchor="page" w:x="8868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7"/>
        </w:rPr>
        <w:t>2023008230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7" w:right="604" w:bottom="946" w:left="1484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69" w:lineRule="auto"/>
        <w:ind w:left="2040" w:right="0" w:hanging="1300"/>
        <w:jc w:val="left"/>
      </w:pPr>
      <w:r>
        <w:rPr>
          <w:rStyle w:val="CharStyle12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left"/>
        <w:tblLayout w:type="fixed"/>
      </w:tblPr>
      <w:tblGrid>
        <w:gridCol w:w="2664"/>
        <w:gridCol w:w="6202"/>
      </w:tblGrid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5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Kamenice 798/1 d, 625 00 Brno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2"/>
              </w:rPr>
              <w:t>Jednající: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MUDr. Hana Albrechtová, ředitelka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spacing w:val="1"/>
                <w:shd w:val="clear" w:color="auto" w:fill="000000"/>
              </w:rPr>
              <w:t>..</w:t>
            </w:r>
            <w:r>
              <w:rPr>
                <w:rStyle w:val="CharStyle52"/>
                <w:spacing w:val="2"/>
                <w:shd w:val="clear" w:color="auto" w:fill="000000"/>
              </w:rPr>
              <w:t>....</w:t>
            </w:r>
            <w:r>
              <w:rPr>
                <w:rStyle w:val="CharStyle52"/>
                <w:shd w:val="clear" w:color="auto" w:fill="000000"/>
              </w:rPr>
              <w:t>​</w:t>
            </w:r>
            <w:r>
              <w:rPr>
                <w:rStyle w:val="CharStyle52"/>
                <w:spacing w:val="5"/>
                <w:shd w:val="clear" w:color="auto" w:fill="000000"/>
              </w:rPr>
              <w:t>......</w:t>
            </w:r>
            <w:r>
              <w:rPr>
                <w:rStyle w:val="CharStyle52"/>
                <w:spacing w:val="6"/>
                <w:shd w:val="clear" w:color="auto" w:fill="000000"/>
              </w:rPr>
              <w:t>..</w:t>
            </w:r>
            <w:r>
              <w:rPr>
                <w:rStyle w:val="CharStyle52"/>
                <w:shd w:val="clear" w:color="auto" w:fill="000000"/>
              </w:rPr>
              <w:t>​.</w:t>
            </w:r>
            <w:r>
              <w:rPr>
                <w:rStyle w:val="CharStyle52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52"/>
                <w:shd w:val="clear" w:color="auto" w:fill="000000"/>
              </w:rPr>
              <w:t>​</w:t>
            </w:r>
            <w:r>
              <w:rPr>
                <w:rStyle w:val="CharStyle52"/>
                <w:spacing w:val="3"/>
                <w:shd w:val="clear" w:color="auto" w:fill="000000"/>
              </w:rPr>
              <w:t>..</w:t>
            </w:r>
            <w:r>
              <w:rPr>
                <w:rStyle w:val="CharStyle52"/>
                <w:spacing w:val="4"/>
                <w:shd w:val="clear" w:color="auto" w:fill="000000"/>
              </w:rPr>
              <w:t>.</w:t>
            </w:r>
            <w:r>
              <w:rPr>
                <w:rStyle w:val="CharStyle52"/>
                <w:shd w:val="clear" w:color="auto" w:fill="000000"/>
              </w:rPr>
              <w:t>​</w:t>
            </w:r>
            <w:r>
              <w:rPr>
                <w:rStyle w:val="CharStyle52"/>
                <w:spacing w:val="3"/>
                <w:shd w:val="clear" w:color="auto" w:fill="000000"/>
              </w:rPr>
              <w:t>..</w:t>
            </w:r>
            <w:r>
              <w:rPr>
                <w:rStyle w:val="CharStyle52"/>
                <w:spacing w:val="4"/>
                <w:shd w:val="clear" w:color="auto" w:fill="000000"/>
              </w:rPr>
              <w:t>......</w:t>
            </w:r>
            <w:r>
              <w:rPr>
                <w:rStyle w:val="CharStyle52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52"/>
                <w:spacing w:val="1"/>
                <w:u w:val="single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00346292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DIČ: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CZ00346292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Krajský soud v Brně sp. zn. Pr 1245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MONETA Money Bank, a.s., č. ú. 117203514/0600</w:t>
            </w:r>
          </w:p>
        </w:tc>
      </w:tr>
    </w:tbl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49"/>
        </w:rPr>
        <w:t xml:space="preserve">(dále jen </w:t>
      </w:r>
      <w:r>
        <w:rPr>
          <w:rStyle w:val="CharStyle49"/>
          <w:b/>
          <w:bCs/>
          <w:i/>
          <w:iCs/>
        </w:rPr>
        <w:t>„kupující'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64"/>
        <w:gridCol w:w="6197"/>
      </w:tblGrid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a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b/>
                <w:bCs/>
              </w:rPr>
              <w:t>ALWIL Medical s.r.o.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V Podhájí 776/30, 400 01 Ústí nad Labem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Miloš Kaňka, jednatel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spacing w:val="2"/>
                <w:shd w:val="clear" w:color="auto" w:fill="000000"/>
              </w:rPr>
              <w:t>........</w:t>
            </w:r>
            <w:r>
              <w:rPr>
                <w:rStyle w:val="CharStyle52"/>
                <w:spacing w:val="3"/>
                <w:shd w:val="clear" w:color="auto" w:fill="000000"/>
              </w:rPr>
              <w:t>.</w:t>
            </w:r>
            <w:r>
              <w:rPr>
                <w:rStyle w:val="CharStyle52"/>
                <w:shd w:val="clear" w:color="auto" w:fill="000000"/>
              </w:rPr>
              <w:t>​</w:t>
            </w:r>
            <w:r>
              <w:rPr>
                <w:rStyle w:val="CharStyle52"/>
                <w:spacing w:val="1"/>
                <w:shd w:val="clear" w:color="auto" w:fill="000000"/>
              </w:rPr>
              <w:t>..........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IČO: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DIČ: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5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43227791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CZ43227791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vedeném Krajským soudem v Ústí nad Labem, odd. C, vložka 1263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309729/0300, ČSOB</w:t>
            </w:r>
          </w:p>
        </w:tc>
      </w:tr>
    </w:tbl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49"/>
        </w:rPr>
        <w:t xml:space="preserve">(dále jen </w:t>
      </w:r>
      <w:r>
        <w:rPr>
          <w:rStyle w:val="CharStyle49"/>
          <w:b/>
          <w:bCs/>
          <w:i/>
          <w:iCs/>
        </w:rPr>
        <w:t>„prodávající'</w:t>
      </w:r>
    </w:p>
    <w:p>
      <w:pPr>
        <w:widowControl w:val="0"/>
        <w:spacing w:after="55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00" w:right="0" w:hanging="400"/>
        <w:jc w:val="both"/>
      </w:pPr>
      <w:r>
        <w:rPr>
          <w:rStyle w:val="CharStyle12"/>
        </w:rPr>
        <w:t xml:space="preserve">Prodávající je oprávněn na základě svého vlastnického práva nakládat s tímto zbožím: </w:t>
      </w:r>
      <w:r>
        <w:rPr>
          <w:rStyle w:val="CharStyle12"/>
          <w:b/>
          <w:bCs/>
        </w:rPr>
        <w:t xml:space="preserve">jednorázové VBS dýchací okruhy </w:t>
      </w:r>
      <w:r>
        <w:rPr>
          <w:rStyle w:val="CharStyle12"/>
        </w:rPr>
        <w:t>pro transportní ventilátor Hersill VITAE 40. Bližší specifikace zboží je uvedena v příloze č. 1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3" w:lineRule="auto"/>
        <w:ind w:left="400" w:right="0" w:hanging="400"/>
        <w:jc w:val="both"/>
      </w:pPr>
      <w:r>
        <w:rPr>
          <w:rStyle w:val="CharStyle12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6" w:lineRule="auto"/>
        <w:ind w:left="400" w:right="0" w:hanging="400"/>
        <w:jc w:val="both"/>
      </w:pPr>
      <w:r>
        <w:rPr>
          <w:rStyle w:val="CharStyle12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 xml:space="preserve">Prodávající se zavazuje plnit svůj závazek k dodání zboží podle čl. 1 této smlouvy vždy nejpozději do </w:t>
      </w:r>
      <w:r>
        <w:rPr>
          <w:rStyle w:val="CharStyle12"/>
          <w:b/>
          <w:bCs/>
        </w:rPr>
        <w:t xml:space="preserve">5-ti pracovních dní </w:t>
      </w:r>
      <w:r>
        <w:rPr>
          <w:rStyle w:val="CharStyle12"/>
        </w:rPr>
        <w:t>ode dne účinnosti příslušné dílčí kupní smlouvy. Tento závazek se bude považovat za splněný po předání a převzetí příslušného zboží formou písemného předávacího protokolu, podepsaného oběma stranami. Místem dodání je centrální klad v sídle kupujícího, Kamenice 798/1 d, Brno, 625 00.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Kupující se zavazuje zaplatit prodávajícímu za předmět koupě a prodeje podle čl. 1 této smlouvy kupní cenu ve výši součinu počtu odebraných jednotek příslušného zboží a jednotkových cen tohoto zboží. Jednotkové ceny zboží jsou uvedeny v ceníku, který je jako příloha č. 1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hd w:val="clear" w:color="auto" w:fill="000000"/>
        </w:rPr>
        <w:t>​...</w:t>
      </w:r>
      <w:r>
        <w:rPr>
          <w:rStyle w:val="CharStyle12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color w:val="7E9BD0"/>
          <w:lang w:val="en-US" w:eastAsia="en-US" w:bidi="en-US"/>
        </w:rPr>
        <w:t xml:space="preserve"> </w:t>
      </w:r>
      <w:r>
        <w:rPr>
          <w:rStyle w:val="CharStyle12"/>
        </w:rPr>
        <w:t xml:space="preserve">Na faktuře musí být mimo jiné vždy uvedeno toto číslo veřejné zakázky, ke které se faktura vztahuje: </w:t>
      </w:r>
      <w:r>
        <w:rPr>
          <w:rStyle w:val="CharStyle12"/>
          <w:b/>
          <w:bCs/>
        </w:rPr>
        <w:t xml:space="preserve">P23V00003046. </w:t>
      </w:r>
      <w:r>
        <w:rPr>
          <w:rStyle w:val="CharStyle12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S převodem zboží je podle čl. 1 této smlouvy spojena záruka za jeho jakost v trvání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nebojsou u zboží tohoto druhu obvyklé, a že bude po dobu záruční lhůty bezplatně odstraňovat vady, které se na zboží podle čl. 1 této smlouvy vyskytnou, a to ve lhůtě do 5-ti pracovních dnů od doručení příslušné písemné nebo e- 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6" w:lineRule="auto"/>
        <w:ind w:left="400" w:right="0" w:hanging="400"/>
        <w:jc w:val="both"/>
      </w:pPr>
      <w:r>
        <w:rPr>
          <w:rStyle w:val="CharStyle12"/>
        </w:rPr>
        <w:t>Pro případ prodlení se splněním jeho závazku k dodání zboží ve lhůtě podle čl. 4 této smlouvy o více, než 1 týden nebo pro případ výskytu neodstranitelné vady resp. výskytu 3 a více vad na</w:t>
        <w:br w:type="page"/>
      </w:r>
      <w:r>
        <w:rPr>
          <w:rStyle w:val="CharStyle12"/>
        </w:rPr>
        <w:t>jednom kusu zboží, a to i postupně, je kupující oprávněn odstoupit od této smlouvy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00" w:line="286" w:lineRule="auto"/>
        <w:ind w:left="960" w:right="0" w:hanging="380"/>
        <w:jc w:val="both"/>
      </w:pPr>
      <w:r>
        <w:rPr>
          <w:rStyle w:val="CharStyle12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00" w:line="286" w:lineRule="auto"/>
        <w:ind w:left="960" w:right="0" w:hanging="380"/>
        <w:jc w:val="both"/>
      </w:pPr>
      <w:r>
        <w:rPr>
          <w:rStyle w:val="CharStyle12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00"/>
        <w:ind w:left="960" w:right="0" w:hanging="380"/>
        <w:jc w:val="both"/>
      </w:pPr>
      <w:r>
        <w:rPr>
          <w:rStyle w:val="CharStyle12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00" w:line="286" w:lineRule="auto"/>
        <w:ind w:left="960" w:right="0" w:hanging="380"/>
        <w:jc w:val="both"/>
      </w:pPr>
      <w:r>
        <w:rPr>
          <w:rStyle w:val="CharStyle12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40" w:line="286" w:lineRule="auto"/>
        <w:ind w:left="960" w:right="0" w:hanging="380"/>
        <w:jc w:val="both"/>
      </w:pPr>
      <w:r>
        <w:rPr>
          <w:rStyle w:val="CharStyle12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00" w:line="286" w:lineRule="auto"/>
        <w:ind w:left="960" w:right="0" w:hanging="380"/>
        <w:jc w:val="both"/>
      </w:pPr>
      <w:r>
        <w:rPr>
          <w:rStyle w:val="CharStyle12"/>
        </w:rPr>
        <w:t>Tato smlouva nabývá účinnosti po jejím podpisu oběma smluvními stranami dnem jejího uveřejnění v Registru smluv, nejdříve však 1.1. 2024.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200" w:line="286" w:lineRule="auto"/>
        <w:ind w:left="0" w:right="0" w:firstLine="580"/>
        <w:jc w:val="left"/>
      </w:pPr>
      <w:r>
        <w:rPr>
          <w:rStyle w:val="CharStyle12"/>
        </w:rPr>
        <w:t xml:space="preserve">Tato smlouva se uzavírá na dobu určitou, a to do </w:t>
      </w:r>
      <w:r>
        <w:rPr>
          <w:rStyle w:val="CharStyle12"/>
          <w:b/>
          <w:bCs/>
        </w:rPr>
        <w:t>31.12. 2025.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100" w:line="290" w:lineRule="auto"/>
        <w:ind w:left="960" w:right="0" w:hanging="380"/>
        <w:jc w:val="both"/>
      </w:pPr>
      <w:r>
        <w:rPr>
          <w:rStyle w:val="CharStyle12"/>
        </w:rPr>
        <w:t>Dáno ve dvou originálních písemných vyhotoveních, z nichž každá ze smluvních stran obdrží po jednom.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0" w:line="286" w:lineRule="auto"/>
        <w:ind w:left="960" w:right="0" w:hanging="380"/>
        <w:jc w:val="both"/>
      </w:pPr>
      <w:r>
        <w:rPr>
          <w:rStyle w:val="CharStyle12"/>
        </w:rPr>
        <w:t>Prodávající je povinen po celou dobu trvání smluvního vztahu naplňovat podmínky dle Nařízení Rady (EU) 2022/576 ze dne 8. dubna 2022, kterým se mění nařízení (EU) č. 833/2014 o omezujících opatřeních vzhledem k činnostem Ruska destabilizujícím situaci na Ukrajině.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1" w:right="792" w:bottom="1769" w:left="129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67030" distB="6350" distL="0" distR="0" simplePos="0" relativeHeight="125829378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367030</wp:posOffset>
                </wp:positionV>
                <wp:extent cx="2011680" cy="8597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68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V Brně dne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right="0"/>
                              <w:jc w:val="left"/>
                            </w:pPr>
                            <w:r>
                              <w:rPr>
                                <w:rStyle w:val="CharStyle14"/>
                                <w:b/>
                                <w:bCs/>
                                <w:spacing w:val="13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pacing w:val="10"/>
                                <w:sz w:val="19"/>
                                <w:szCs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pacing w:val="11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pacing w:val="5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4"/>
                              </w:rPr>
                              <w:t xml:space="preserve"> 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4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​...................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29"/>
                                <w:spacing w:val="4"/>
                                <w:shd w:val="clear" w:color="auto" w:fill="000000"/>
                              </w:rPr>
                              <w:t>...................</w:t>
                            </w:r>
                            <w:r>
                              <w:rPr>
                                <w:rStyle w:val="CharStyle29"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29"/>
                                <w:spacing w:val="10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9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29"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9"/>
                                <w:spacing w:val="10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29"/>
                                <w:sz w:val="19"/>
                                <w:szCs w:val="19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CharStyle29"/>
                                <w:spacing w:val="1"/>
                                <w:sz w:val="19"/>
                                <w:szCs w:val="19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6.450000000000003pt;margin-top:28.900000000000002pt;width:158.40000000000001pt;height:67.700000000000003pt;z-index:-125829375;mso-wrap-distance-left:0;mso-wrap-distance-top:28.900000000000002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 Brně dne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right="0"/>
                        <w:jc w:val="left"/>
                      </w:pPr>
                      <w:r>
                        <w:rPr>
                          <w:rStyle w:val="CharStyle14"/>
                          <w:b/>
                          <w:bCs/>
                          <w:spacing w:val="13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b/>
                          <w:bCs/>
                          <w:spacing w:val="10"/>
                          <w:sz w:val="19"/>
                          <w:szCs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4"/>
                          <w:b/>
                          <w:bCs/>
                          <w:spacing w:val="11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4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b/>
                          <w:bCs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b/>
                          <w:bCs/>
                          <w:spacing w:val="5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4"/>
                        </w:rPr>
                        <w:t xml:space="preserve"> </w:t>
                      </w:r>
                      <w:r>
                        <w:rPr>
                          <w:rStyle w:val="CharStyle14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b/>
                          <w:bCs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b/>
                          <w:bCs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shd w:val="clear" w:color="auto" w:fill="000000"/>
                          <w:vertAlign w:val="subscript"/>
                        </w:rPr>
                        <w:t>​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  <w:vertAlign w:val="subscript"/>
                        </w:rPr>
                        <w:t>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  <w:vertAlign w:val="subscript"/>
                        </w:rPr>
                        <w:t>....</w:t>
                      </w:r>
                      <w:r>
                        <w:rPr>
                          <w:rStyle w:val="CharStyle14"/>
                          <w:spacing w:val="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4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​...................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29"/>
                          <w:spacing w:val="4"/>
                          <w:shd w:val="clear" w:color="auto" w:fill="000000"/>
                        </w:rPr>
                        <w:t>...................</w:t>
                      </w:r>
                      <w:r>
                        <w:rPr>
                          <w:rStyle w:val="CharStyle29"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9"/>
                          <w:spacing w:val="10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9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9"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9"/>
                          <w:spacing w:val="10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9"/>
                          <w:sz w:val="19"/>
                          <w:szCs w:val="19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CharStyle29"/>
                          <w:spacing w:val="1"/>
                          <w:sz w:val="19"/>
                          <w:szCs w:val="19"/>
                          <w:shd w:val="clear" w:color="auto" w:fill="000000"/>
                          <w:vertAlign w:val="superscript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" distB="722630" distL="0" distR="0" simplePos="0" relativeHeight="125829380" behindDoc="0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342900</wp:posOffset>
                </wp:positionV>
                <wp:extent cx="1844040" cy="1676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404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V Ústí nad Labem dne 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5.65000000000003pt;margin-top:27.pt;width:145.20000000000002pt;height:13.200000000000001pt;z-index:-125829373;mso-wrap-distance-left:0;mso-wrap-distance-top:27.pt;mso-wrap-distance-right:0;mso-wrap-distance-bottom:56.89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 Ústí nad Labem dne 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47700" distB="9525" distL="0" distR="0" simplePos="0" relativeHeight="125829382" behindDoc="0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647700</wp:posOffset>
                </wp:positionV>
                <wp:extent cx="597535" cy="57594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  <w:spacing w:val="7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7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7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8.05000000000001pt;margin-top:51.pt;width:47.050000000000004pt;height:45.350000000000001pt;z-index:-125829371;mso-wrap-distance-left:0;mso-wrap-distance-top:51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  <w:spacing w:val="7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7"/>
                          <w:spacing w:val="8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7"/>
                          <w:spacing w:val="2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0245" distB="635" distL="0" distR="0" simplePos="0" relativeHeight="125829384" behindDoc="0" locked="0" layoutInCell="1" allowOverlap="1">
                <wp:simplePos x="0" y="0"/>
                <wp:positionH relativeFrom="page">
                  <wp:posOffset>5112385</wp:posOffset>
                </wp:positionH>
                <wp:positionV relativeFrom="paragraph">
                  <wp:posOffset>690245</wp:posOffset>
                </wp:positionV>
                <wp:extent cx="682625" cy="5422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2625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43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43"/>
                              </w:rPr>
                              <w:t xml:space="preserve"> </w:t>
                            </w: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3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43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3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43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43"/>
                              </w:rPr>
                              <w:t xml:space="preserve"> </w:t>
                            </w: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3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43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3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3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43"/>
                                <w:spacing w:val="2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43"/>
                              </w:rPr>
                              <w:t xml:space="preserve"> </w:t>
                            </w: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43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4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43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43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2.55000000000001pt;margin-top:54.350000000000001pt;width:53.75pt;height:42.700000000000003pt;z-index:-125829369;mso-wrap-distance-left:0;mso-wrap-distance-top:54.35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43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43"/>
                        </w:rPr>
                        <w:t xml:space="preserve"> </w:t>
                      </w:r>
                      <w:r>
                        <w:rPr>
                          <w:rStyle w:val="CharStyle4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3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43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4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3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43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43"/>
                        </w:rPr>
                        <w:t xml:space="preserve"> </w:t>
                      </w:r>
                      <w:r>
                        <w:rPr>
                          <w:rStyle w:val="CharStyle4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3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43"/>
                          <w:spacing w:val="2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4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3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43"/>
                          <w:spacing w:val="2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43"/>
                        </w:rPr>
                        <w:t xml:space="preserve"> </w:t>
                      </w:r>
                      <w:r>
                        <w:rPr>
                          <w:rStyle w:val="CharStyle43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43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4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43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43"/>
                          <w:spacing w:val="2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96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76" w:right="0" w:bottom="145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4383405</wp:posOffset>
                </wp:positionH>
                <wp:positionV relativeFrom="paragraph">
                  <wp:posOffset>12700</wp:posOffset>
                </wp:positionV>
                <wp:extent cx="709930" cy="49657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Miloš Kaňka jednatel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5.15000000000003pt;margin-top:1.pt;width:55.899999999999999pt;height:39.1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Miloš Kaňka jednatel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0"/>
        <w:jc w:val="left"/>
      </w:pPr>
      <w:r>
        <w:rPr>
          <w:rStyle w:val="CharStyle12"/>
        </w:rPr>
        <w:t>MUDr. Hana Albrechtová ředitelka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80"/>
        <w:ind w:left="0" w:right="0" w:firstLine="140"/>
        <w:jc w:val="left"/>
      </w:pPr>
      <w:r>
        <w:rPr>
          <w:rStyle w:val="CharStyle12"/>
          <w:b/>
          <w:bCs/>
          <w:i/>
          <w:iCs/>
        </w:rPr>
        <w:t>Kupující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rStyle w:val="CharStyle12"/>
          <w:b/>
          <w:bCs/>
        </w:rPr>
        <w:t xml:space="preserve">Příloha č. 1 </w:t>
      </w:r>
      <w:r>
        <w:rPr>
          <w:rStyle w:val="CharStyle12"/>
        </w:rPr>
        <w:t>Specifikace, ceník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bookmarkStart w:id="4" w:name="bookmark4"/>
      <w:r>
        <w:rPr>
          <w:rStyle w:val="CharStyle3"/>
          <w:b/>
          <w:bCs/>
        </w:rPr>
        <w:t>Příloha č. 1 SPECIFIKACE, CENÍK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12"/>
          <w:b/>
          <w:bCs/>
        </w:rPr>
        <w:t xml:space="preserve">Jednorázový VBS dýchací okruh </w:t>
      </w:r>
      <w:r>
        <w:rPr>
          <w:rStyle w:val="CharStyle12"/>
        </w:rPr>
        <w:t>k transportnímu ventilátoru Hersill VITAE 40 - jednorázové použití, včetně HME filtru, délka setu 150 cm.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2"/>
        </w:rPr>
        <w:t>Jednorázový VBS dýchací okruh musí být zcela kompatibilní s přístrojem - Hersill VITAE 40 a vybavením zadavatele, pro které je spotřební materiál a příslušenství k přístroji určeno.</w:t>
      </w:r>
    </w:p>
    <w:tbl>
      <w:tblPr>
        <w:tblOverlap w:val="never"/>
        <w:jc w:val="center"/>
        <w:tblLayout w:type="fixed"/>
      </w:tblPr>
      <w:tblGrid>
        <w:gridCol w:w="355"/>
        <w:gridCol w:w="3250"/>
        <w:gridCol w:w="1934"/>
        <w:gridCol w:w="1747"/>
        <w:gridCol w:w="1584"/>
      </w:tblGrid>
      <w:tr>
        <w:trPr>
          <w:trHeight w:val="8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tabs>
                <w:tab w:pos="3050" w:val="left"/>
              </w:tabs>
              <w:bidi w:val="0"/>
              <w:spacing w:before="0" w:after="120" w:line="240" w:lineRule="auto"/>
              <w:ind w:left="0" w:right="0" w:firstLine="640"/>
              <w:jc w:val="left"/>
            </w:pPr>
            <w:r>
              <w:rPr>
                <w:rStyle w:val="CharStyle52"/>
                <w:b/>
                <w:bCs/>
              </w:rPr>
              <w:t>ty "‘šit- “V,*</w:t>
              <w:tab/>
              <w:t>'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240" w:right="0" w:firstLine="0"/>
              <w:jc w:val="left"/>
            </w:pPr>
            <w:r>
              <w:rPr>
                <w:rStyle w:val="CharStyle52"/>
                <w:b/>
                <w:bCs/>
              </w:rPr>
              <w:t>Nazevzoozr^ ■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tabs>
                <w:tab w:pos="3197" w:val="left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52"/>
                <w:smallCaps/>
                <w:sz w:val="17"/>
                <w:szCs w:val="17"/>
                <w:vertAlign w:val="superscript"/>
              </w:rPr>
              <w:t>f</w:t>
            </w:r>
            <w:r>
              <w:rPr>
                <w:rStyle w:val="CharStyle52"/>
                <w:smallCaps/>
                <w:sz w:val="17"/>
                <w:szCs w:val="17"/>
              </w:rPr>
              <w:t xml:space="preserve"> ...</w:t>
              <w:tab/>
              <w:t>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2"/>
                <w:b/>
                <w:bCs/>
              </w:rPr>
              <w:t>Označení/název *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b/>
                <w:bCs/>
              </w:rPr>
              <w:t xml:space="preserve">■ -'/zboží' </w:t>
            </w:r>
            <w:r>
              <w:rPr>
                <w:rStyle w:val="CharStyle52"/>
                <w:b/>
                <w:bCs/>
                <w:vertAlign w:val="superscript"/>
              </w:rPr>
              <w:t>ř</w:t>
            </w:r>
            <w:r>
              <w:rPr>
                <w:rStyle w:val="CharStyle52"/>
                <w:b/>
                <w:bCs/>
              </w:rPr>
              <w:t>‘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tabs>
                <w:tab w:pos="1423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0"/>
                <w:szCs w:val="10"/>
              </w:rPr>
            </w:pPr>
            <w:r>
              <w:rPr>
                <w:rStyle w:val="CharStyle52"/>
                <w:sz w:val="10"/>
                <w:szCs w:val="10"/>
              </w:rPr>
              <w:t>* -í A</w:t>
              <w:tab/>
              <w:t>/.„</w:t>
            </w:r>
            <w:r>
              <w:rPr>
                <w:rStyle w:val="CharStyle52"/>
                <w:sz w:val="10"/>
                <w:szCs w:val="10"/>
                <w:vertAlign w:val="subscript"/>
              </w:rPr>
              <w:t>4</w:t>
            </w:r>
          </w:p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tabs>
                <w:tab w:pos="571" w:val="left"/>
                <w:tab w:pos="1018" w:val="left"/>
                <w:tab w:pos="1195" w:val="left"/>
                <w:tab w:pos="1478" w:val="left"/>
              </w:tabs>
              <w:bidi w:val="0"/>
              <w:spacing w:before="0" w:after="0" w:line="18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Style w:val="CharStyle52"/>
                <w:sz w:val="10"/>
                <w:szCs w:val="10"/>
              </w:rPr>
              <w:t>4 .</w:t>
              <w:tab/>
              <w:t>A-ík</w:t>
              <w:tab/>
              <w:t>.•</w:t>
              <w:tab/>
              <w:t>&lt;</w:t>
              <w:tab/>
            </w:r>
            <w:r>
              <w:rPr>
                <w:rStyle w:val="CharStyle52"/>
                <w:rFonts w:ascii="Courier New" w:eastAsia="Courier New" w:hAnsi="Courier New" w:cs="Courier New"/>
                <w:i/>
                <w:iCs/>
                <w:sz w:val="8"/>
                <w:szCs w:val="8"/>
              </w:rPr>
              <w:t>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rStyle w:val="CharStyle52"/>
                <w:b/>
                <w:bCs/>
                <w:vertAlign w:val="superscript"/>
              </w:rPr>
              <w:t>ř</w:t>
            </w:r>
            <w:r>
              <w:rPr>
                <w:rStyle w:val="CharStyle52"/>
                <w:b/>
                <w:bCs/>
              </w:rPr>
              <w:t xml:space="preserve"> '^Céna^áíA * /jěliWotku^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b/>
                <w:bCs/>
              </w:rPr>
              <w:t>'.^.Cén^za í jeďncitkď v Ke bťvčetně^Bpň’'ti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b/>
                <w:bCs/>
              </w:rPr>
              <w:t xml:space="preserve">Jednorázový VBS dýchací okruh </w:t>
            </w:r>
            <w:r>
              <w:rPr>
                <w:rStyle w:val="CharStyle52"/>
              </w:rPr>
              <w:t>- dospělý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2"/>
              </w:rPr>
              <w:t>4200892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2"/>
              </w:rPr>
              <w:t>1530,-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52"/>
              </w:rPr>
              <w:t>1851,-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2"/>
                <w:b/>
                <w:bCs/>
              </w:rPr>
              <w:t xml:space="preserve">Jednorázový VBS dýchací okruh </w:t>
            </w:r>
            <w:r>
              <w:rPr>
                <w:rStyle w:val="CharStyle52"/>
              </w:rPr>
              <w:t>- pediatrický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2"/>
              </w:rPr>
              <w:t>4200893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2"/>
              </w:rPr>
              <w:t>1530,-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52"/>
              </w:rPr>
              <w:t>1851,-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276" w:right="1590" w:bottom="1454" w:left="143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967105</wp:posOffset>
              </wp:positionH>
              <wp:positionV relativeFrom="page">
                <wp:posOffset>10029190</wp:posOffset>
              </wp:positionV>
              <wp:extent cx="427926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7926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14-23: Jednorázové dýchací okruhy pro Hersill Vitae 40 - 2024 - 2025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50000000000006pt;margin-top:789.70000000000005pt;width:336.94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14-23: Jednorázové dýchací okruhy pro Hersill Vitae 40 - 2024 - 2025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CharStyle7">
    <w:name w:val="Základní text (6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9">
    <w:name w:val="Základní text (4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7">
    <w:name w:val="Základní text (5)_"/>
    <w:basedOn w:val="DefaultParagraphFont"/>
    <w:link w:val="Style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43">
    <w:name w:val="Základní text (2)_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9">
    <w:name w:val="Titulek tabulky_"/>
    <w:basedOn w:val="DefaultParagraphFont"/>
    <w:link w:val="Style48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2">
    <w:name w:val="Jiné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after="2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6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paragraph" w:customStyle="1" w:styleId="Style6">
    <w:name w:val="Základní text (6)"/>
    <w:basedOn w:val="Normal"/>
    <w:link w:val="CharStyle7"/>
    <w:pPr>
      <w:widowControl w:val="0"/>
      <w:shd w:val="clear" w:color="auto" w:fill="auto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  <w:spacing w:after="40" w:line="158" w:lineRule="auto"/>
      <w:ind w:left="880" w:hanging="8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8">
    <w:name w:val="Základní text (4)"/>
    <w:basedOn w:val="Normal"/>
    <w:link w:val="CharStyle29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6">
    <w:name w:val="Základní text (5)"/>
    <w:basedOn w:val="Normal"/>
    <w:link w:val="CharStyle37"/>
    <w:pPr>
      <w:widowControl w:val="0"/>
      <w:shd w:val="clear" w:color="auto" w:fill="auto"/>
      <w:spacing w:line="235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42">
    <w:name w:val="Základní text (2)"/>
    <w:basedOn w:val="Normal"/>
    <w:link w:val="CharStyle43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8">
    <w:name w:val="Titulek tabulky"/>
    <w:basedOn w:val="Normal"/>
    <w:link w:val="CharStyle49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51">
    <w:name w:val="Jiné"/>
    <w:basedOn w:val="Normal"/>
    <w:link w:val="CharStyle52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