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3"/>
        </w:rPr>
        <w:t>liiiiiiHimniii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8"/>
        </w:rPr>
        <w:t>2023008195</w:t>
      </w:r>
    </w:p>
    <w:p>
      <w:pPr>
        <w:pStyle w:val="Style9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0"/>
          <w:b/>
          <w:bCs/>
        </w:rPr>
        <w:t>SMLOUVA O DÍLO</w:t>
      </w:r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616" w:right="1479" w:bottom="1855" w:left="1551" w:header="188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2"/>
        </w:rPr>
        <w:t>podle ustanovení § 2586 a násl. zákona č. 89/2012 Sb. občanského zákoníku,</w:t>
        <w:br/>
        <w:t>uzavřená mezi (dále jen „smlouva“)</w:t>
      </w: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16" w:right="0" w:bottom="185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609600" distL="25400" distR="25400" simplePos="0" relativeHeight="125829378" behindDoc="0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12700</wp:posOffset>
                </wp:positionV>
                <wp:extent cx="3270250" cy="149034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70250" cy="1490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Zdravotnická záchranná služba Jihomoravského kraje, příspěvková organizace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Kamenice 798/1 d, 625 00 Brno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MUDr. Hana Albrechtová, ředitelka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2"/>
                                <w:spacing w:val="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12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2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2"/>
                                <w:spacing w:val="4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2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1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...........</w:t>
                            </w:r>
                            <w:r>
                              <w:rPr>
                                <w:rStyle w:val="CharStyle12"/>
                                <w:spacing w:val="2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...................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  <w:lang w:val="en-US" w:eastAsia="en-US" w:bidi="en-US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..​</w:t>
                            </w:r>
                            <w:r>
                              <w:rPr>
                                <w:rStyle w:val="CharStyle12"/>
                                <w:spacing w:val="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2"/>
                                <w:spacing w:val="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2"/>
                                <w:shd w:val="clear" w:color="auto" w:fill="000000"/>
                              </w:rPr>
                              <w:t>​.......​.......​......</w:t>
                            </w:r>
                            <w:r>
                              <w:rPr>
                                <w:rStyle w:val="CharStyle12"/>
                              </w:rPr>
                              <w:t xml:space="preserve"> 00346292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CZ00346292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Krajský soud v Brně sp. zn. Pr 1245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MONETA Money Bank, a.s., č. ú. 117203514/0600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15.30000000000001pt;margin-top:1.pt;width:257.5pt;height:117.35000000000001pt;z-index:-125829375;mso-wrap-distance-left:2.pt;mso-wrap-distance-right:2.pt;mso-wrap-distance-bottom:4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Zdravotnická záchranná služba Jihomoravského kraje, příspěvková organizace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Kamenice 798/1 d, 625 00 Brno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MUDr. Hana Albrechtová, ředitelka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2"/>
                          <w:spacing w:val="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12"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2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2"/>
                          <w:spacing w:val="4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2"/>
                          <w:u w:val="single"/>
                          <w:shd w:val="clear" w:color="auto" w:fill="000000"/>
                          <w:lang w:val="en-US" w:eastAsia="en-US" w:bidi="en-US"/>
                        </w:rPr>
                        <w:t>​</w:t>
                      </w:r>
                      <w:r>
                        <w:rPr>
                          <w:rStyle w:val="CharStyle12"/>
                          <w:spacing w:val="1"/>
                          <w:u w:val="single"/>
                          <w:shd w:val="clear" w:color="auto" w:fill="000000"/>
                          <w:lang w:val="en-US" w:eastAsia="en-US" w:bidi="en-US"/>
                        </w:rPr>
                        <w:t>...........</w:t>
                      </w:r>
                      <w:r>
                        <w:rPr>
                          <w:rStyle w:val="CharStyle12"/>
                          <w:spacing w:val="2"/>
                          <w:u w:val="single"/>
                          <w:shd w:val="clear" w:color="auto" w:fill="000000"/>
                          <w:lang w:val="en-US" w:eastAsia="en-US" w:bidi="en-US"/>
                        </w:rPr>
                        <w:t>...................</w:t>
                      </w:r>
                      <w:r>
                        <w:rPr>
                          <w:rStyle w:val="CharStyle12"/>
                          <w:shd w:val="clear" w:color="auto" w:fill="000000"/>
                          <w:lang w:val="en-US" w:eastAsia="en-US" w:bidi="en-US"/>
                        </w:rPr>
                        <w:t>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..​</w:t>
                      </w:r>
                      <w:r>
                        <w:rPr>
                          <w:rStyle w:val="CharStyle12"/>
                          <w:spacing w:val="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2"/>
                          <w:spacing w:val="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2"/>
                          <w:shd w:val="clear" w:color="auto" w:fill="000000"/>
                        </w:rPr>
                        <w:t>​.......​.......​......</w:t>
                      </w:r>
                      <w:r>
                        <w:rPr>
                          <w:rStyle w:val="CharStyle12"/>
                        </w:rPr>
                        <w:t xml:space="preserve"> 00346292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CZ00346292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Krajský soud v Brně sp. zn. Pr 1245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MONETA Money Bank, a.s., č. ú. 117203514/0600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2"/>
        </w:rPr>
        <w:t>Jméno: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Sídlo: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Jednající: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Kontaktní osoba: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IČO: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Zápis v OR: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2"/>
        </w:rPr>
        <w:t>Bankovní spojení (číslo účtu):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  <w:sz w:val="19"/>
          <w:szCs w:val="19"/>
        </w:rPr>
        <w:t>„objednatel“)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2"/>
        </w:rPr>
        <w:t>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Jméno: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Sídlo: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Jednající: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Kontaktní osoba: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IČO: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Zápis v OR: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Bankovní spojení (číslo účtu):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OPTIMALIZACE BUDOV, s.r.o.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Křižínkov 37, 594 53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Ing. Pavel Adam, Ph.D.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shd w:val="clear" w:color="auto" w:fill="000000"/>
        </w:rPr>
        <w:t>.......​</w:t>
      </w:r>
      <w:r>
        <w:rPr>
          <w:rStyle w:val="CharStyle12"/>
          <w:spacing w:val="4"/>
          <w:shd w:val="clear" w:color="auto" w:fill="000000"/>
        </w:rPr>
        <w:t>...</w:t>
      </w:r>
      <w:r>
        <w:rPr>
          <w:rStyle w:val="CharStyle12"/>
          <w:spacing w:val="5"/>
          <w:shd w:val="clear" w:color="auto" w:fill="000000"/>
        </w:rPr>
        <w:t>......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1"/>
          <w:shd w:val="clear" w:color="auto" w:fill="000000"/>
        </w:rPr>
        <w:t>..</w:t>
      </w:r>
      <w:r>
        <w:rPr>
          <w:rStyle w:val="CharStyle12"/>
          <w:spacing w:val="2"/>
          <w:shd w:val="clear" w:color="auto" w:fill="000000"/>
        </w:rPr>
        <w:t>.........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6"/>
          <w:shd w:val="clear" w:color="auto" w:fill="000000"/>
        </w:rPr>
        <w:t>....</w:t>
      </w:r>
      <w:r>
        <w:rPr>
          <w:rStyle w:val="CharStyle12"/>
          <w:spacing w:val="7"/>
          <w:shd w:val="clear" w:color="auto" w:fill="000000"/>
        </w:rPr>
        <w:t>....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05262321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OZ05262321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28. červenec 2016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16" w:right="4924" w:bottom="1855" w:left="1556" w:header="0" w:footer="3" w:gutter="0"/>
          <w:cols w:num="2" w:space="100"/>
          <w:noEndnote/>
          <w:rtlGutter w:val="0"/>
          <w:docGrid w:linePitch="360"/>
        </w:sectPr>
      </w:pPr>
      <w:r>
        <w:rPr>
          <w:rStyle w:val="CharStyle12"/>
        </w:rPr>
        <w:t>2201036906/2010</w:t>
      </w:r>
    </w:p>
    <w:p>
      <w:pPr>
        <w:widowControl w:val="0"/>
        <w:spacing w:line="155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1" w:right="0" w:bottom="165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  <w:sz w:val="19"/>
          <w:szCs w:val="19"/>
        </w:rPr>
        <w:t>„zhotovitel“)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20" w:right="0" w:hanging="420"/>
        <w:jc w:val="both"/>
      </w:pPr>
      <w:r>
        <w:rPr>
          <w:rStyle w:val="CharStyle12"/>
        </w:rPr>
        <w:t>Zhotovitel se zavazuje, že pro objednatele provede dílo, spočívající vypracování průkazů energetické náročnosti budov (dále jen „PENB"). PENB budou zpracovány na základě zákona č. 406/2000 Sb., o hospodaření energií, ve znění pozdějších předpisů, a dle podmínek stanovených vyhláškou č. 264/2020 Sb., o energetické náročnosti budov, ve znění pozdějších předpisů, a to pro jednotlivé objekty objednatele, dále specifikované v příloze č. 1, která je nedílnou součástí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12"/>
        </w:rPr>
        <w:t>PENB budou vypracovány pro každý objekt zvlášť. Zhotovitel provede dílo s odbornou péčí v souladu se smlouvou, podle svých nejlepších znalostí a schopností.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12"/>
        </w:rPr>
        <w:t xml:space="preserve">Zhotovitel se zavazuje provést dílo podle čl. 1 této smlouvy ve lhůtě nejpozději do </w:t>
      </w:r>
      <w:r>
        <w:rPr>
          <w:rStyle w:val="CharStyle12"/>
          <w:b/>
          <w:bCs/>
        </w:rPr>
        <w:t xml:space="preserve">20. 3. 2024. </w:t>
      </w:r>
      <w:r>
        <w:rPr>
          <w:rStyle w:val="CharStyle12"/>
        </w:rPr>
        <w:t>Místem předání díla je sídlo zadavatele dle záhlaví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20" w:right="0" w:hanging="420"/>
        <w:jc w:val="both"/>
      </w:pPr>
      <w:r>
        <w:rPr>
          <w:rStyle w:val="CharStyle12"/>
        </w:rPr>
        <w:t>Závazek zhotovitele k provedení díla v dohodnutém rozsahu se považuje za splněný předáním díla podle čl. 1 této smlouvy, včetně veškeré související dokumentace, a to 1x v písemné podobě a dále v elektronické podobě ve formátu pdf., na základě písemného předávacího protokolu, podepsaného oběma smluvními stranami. Objednatel přitom není povinen potvrdit zhotoviteli předávací protokol, zjistí-li se na předávaném díle jakákoliv vada.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Pro případ prodlení se splněním svého závazku podle čl. 1 této smlouvy ve lhůtě podle čl. 3 této smlouvy se zhotovitel zavazuje zaplatit objednateli smluvní pokutu ve výši 0,1% z celkové ceny díla podle čl. 6 této smlouvy za každý započatý den tohoto prodlení.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2"/>
        </w:rPr>
        <w:t xml:space="preserve">Objednatel se zavazuje zaplatit zhotoviteli za dílo podle čl. 1 této smlouvy cenu díla ve výši: </w:t>
      </w:r>
      <w:r>
        <w:rPr>
          <w:rStyle w:val="CharStyle12"/>
          <w:b/>
          <w:bCs/>
        </w:rPr>
        <w:t xml:space="preserve">102.400,- </w:t>
      </w:r>
      <w:r>
        <w:rPr>
          <w:rStyle w:val="CharStyle12"/>
        </w:rPr>
        <w:t xml:space="preserve">Kč bez DPH, tj. </w:t>
      </w:r>
      <w:r>
        <w:rPr>
          <w:rStyle w:val="CharStyle12"/>
          <w:b/>
          <w:bCs/>
        </w:rPr>
        <w:t xml:space="preserve">123.904,- </w:t>
      </w:r>
      <w:r>
        <w:rPr>
          <w:rStyle w:val="CharStyle12"/>
        </w:rPr>
        <w:t>Kč včetně DPH. Součástí této ceny jsou veškeré náklady zhotovitele, spojené se splněním závazku zhotovitele podle čl. 1 této smlouvy. Změna ceny je možná pouze v případě zákonné změny sazby DPH.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Cena díla podle čl. 6. této smlouvy je splatná po splnění závazku k provedení díla způsobem podle čl. 4 této smlouvy ve lhůtě do 30-ti dnů od předložení jeho písemného vyhotovení (faktury/daňového dokladu). Faktura bude doručena elektronicky na email:</w:t>
      </w:r>
      <w:r>
        <w:rPr>
          <w:rStyle w:val="CharStyle12"/>
          <w:shd w:val="clear" w:color="auto" w:fill="000000"/>
        </w:rPr>
        <w:t>.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12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shd w:val="clear" w:color="auto" w:fill="000000"/>
        </w:rPr>
        <w:t>​..</w:t>
      </w:r>
      <w:r>
        <w:rPr>
          <w:rStyle w:val="CharStyle12"/>
        </w:rPr>
        <w:t xml:space="preserve"> 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shd w:val="clear" w:color="auto" w:fill="000000"/>
          <w:lang w:val="en-US" w:eastAsia="en-US" w:bidi="en-US"/>
        </w:rPr>
        <w:t>..</w:t>
      </w:r>
      <w:r>
        <w:rPr>
          <w:rStyle w:val="CharStyle12"/>
        </w:rPr>
        <w:t xml:space="preserve">Na faktuře musí být mimo jiné uvedeno toto číslo veřejné zakázky, ke které se faktura vztahuje: </w:t>
      </w:r>
      <w:r>
        <w:rPr>
          <w:rStyle w:val="CharStyle12"/>
          <w:b/>
          <w:bCs/>
        </w:rPr>
        <w:t xml:space="preserve">P23V00003076. </w:t>
      </w:r>
      <w:r>
        <w:rPr>
          <w:rStyle w:val="CharStyle12"/>
        </w:rPr>
        <w:t>Součástí faktury bude rovněž kopie podepsaného předávacího protokolu dle čl. 4 této smlouvy.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2"/>
        </w:rPr>
        <w:t>Pro případ prodlení s úhradou ceny díla ve lhůtě podle čl. 7 této smlouvy se objednatel zavazuje zaplatit zhotoviteli úrok z prodlení ve výši dle zákona.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2"/>
        </w:rPr>
        <w:t>Zhotovitel poskytuje objednateli záruku na zhotovené dílo, a to po celou dobu platnosti jednotlivých PENB.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Zhotovitel se zavazuje rozhodovat o písemných reklamacích objednatele v období po dokončení díla písemně ve lhůtě do 10-ti dnů od jejich doručení, a ve stejné lhůtě provést odstranění vad z oprávněných reklamací, nebude-li mezi oběma stranami v jednotlivém případě dohodnuto jinak. Písemná forma reklamace je zachována i v případě jejího odeslání prostřednictvím e-mailu.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2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Nepřikročí-li zhotovitel k odstranění vady ve lhůtě podle čl. 10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2"/>
        </w:rPr>
        <w:t>Pro případ prodlení zhotovitele se splněním jeho povinností podle čl. 9 této smlouvy ve lhůtě podle čl. 11 této smlouvy se zhotovitel zavazuje zaplatit objednateli smluvní pokutu ve výši 500,- Kč za každý započatý den tohoto prodlení.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2"/>
        </w:rPr>
        <w:t>Objednatel je oprávněn odstoupit od této smlouvy o dílo, bude-li zhotovitel v prodlení se splněním svého závazku podle čl. 1 této smlouvy ve lhůtě podle čl. 3 této smlouvy o více než 2 týdny.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12"/>
        </w:rPr>
        <w:t>Zaplacením smluvní pokuty podle této smlouvy není dotčeno právo objednatele na náhradu případné škody v plné výši.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12"/>
        </w:rPr>
        <w:t>Není-li touto smlouvou ujednáno jinak, řídí se vzájemný právní vztah mezi zhotovitelem a objednatelem ust. § 2586 a násl. občanského zákoníku.</w:t>
      </w:r>
      <w:r>
        <w:br w:type="page"/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1" w:val="left"/>
        </w:tabs>
        <w:bidi w:val="0"/>
        <w:spacing w:before="0"/>
        <w:ind w:left="560" w:right="0" w:hanging="400"/>
        <w:jc w:val="both"/>
      </w:pPr>
      <w:r>
        <w:rPr>
          <w:rStyle w:val="CharStyle12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21 této smlouvy. Objednatel přitom předem vylučuje přijetí tohoto návrhu s dodatkem nebo odchylkou ve smyslu ust. § 1740 odst. 3 občanského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1" w:val="left"/>
        </w:tabs>
        <w:bidi w:val="0"/>
        <w:spacing w:before="0"/>
        <w:ind w:left="0" w:right="0" w:firstLine="140"/>
        <w:jc w:val="left"/>
      </w:pPr>
      <w:r>
        <w:rPr>
          <w:rStyle w:val="CharStyle12"/>
        </w:rPr>
        <w:t>Tuto smlouvu lze změnit nebo zrušit pouze jinou písemnou dohodu obou smluvních stran.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1" w:val="left"/>
        </w:tabs>
        <w:bidi w:val="0"/>
        <w:spacing w:before="0" w:line="276" w:lineRule="auto"/>
        <w:ind w:left="560" w:right="0" w:hanging="400"/>
        <w:jc w:val="both"/>
      </w:pPr>
      <w:r>
        <w:rPr>
          <w:rStyle w:val="CharStyle12"/>
        </w:rPr>
        <w:t>Tato smlouva nabývá platnosti dnem jejího uzavření a účinnosti dnem jejího uveřejnění v registru smluv dle příslušných ustanovení zákona č. 340/2015 Sb. o registru smluv.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6" w:val="left"/>
        </w:tabs>
        <w:bidi w:val="0"/>
        <w:spacing w:before="0" w:line="276" w:lineRule="auto"/>
        <w:ind w:left="560" w:right="0" w:hanging="400"/>
        <w:jc w:val="both"/>
      </w:pPr>
      <w:r>
        <w:rPr>
          <w:rStyle w:val="CharStyle12"/>
        </w:rPr>
        <w:t>Dáno ve dvou originálních písemných vyhotoveních, z nichž každá ze smluvních stran obdrží po jednom.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6" w:val="left"/>
        </w:tabs>
        <w:bidi w:val="0"/>
        <w:spacing w:before="0" w:after="920" w:line="286" w:lineRule="auto"/>
        <w:ind w:left="560" w:right="0" w:hanging="400"/>
        <w:jc w:val="both"/>
      </w:pPr>
      <w:r>
        <w:rPr>
          <w:rStyle w:val="CharStyle12"/>
        </w:rPr>
        <w:t>Zhotovitel je povinen po celou dobu trvání smluvního vztahu naplňovat podmínky dle Nařízení Rady (EU) 2022/576 ze dne 8. dubna 2022, kterým se mění nařízení (EU) č. 833/2014 o omezujících opatřeních vzhledem k činnostem Ruska destabilizujícím situaci na Ukrajině.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31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12700</wp:posOffset>
                </wp:positionV>
                <wp:extent cx="1112520" cy="14922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252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9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.5pt;margin-top:1.pt;width:87.600000000000009pt;height:11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9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V Brně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2"/>
        </w:rPr>
        <w:t>V Brně dne 24.10.2023</w:t>
      </w:r>
    </w:p>
    <w:p>
      <w:pPr>
        <w:pStyle w:val="Style44"/>
        <w:keepNext w:val="0"/>
        <w:keepLines w:val="0"/>
        <w:widowControl w:val="0"/>
        <w:shd w:val="clear" w:color="auto" w:fill="auto"/>
        <w:tabs>
          <w:tab w:pos="2065" w:val="left"/>
        </w:tabs>
        <w:bidi w:val="0"/>
        <w:spacing w:before="0" w:after="0" w:line="240" w:lineRule="auto"/>
        <w:ind w:left="0" w:right="0" w:firstLine="500"/>
        <w:jc w:val="left"/>
      </w:pPr>
      <w:r>
        <w:rPr>
          <w:rStyle w:val="CharStyle45"/>
          <w:b/>
          <w:bCs/>
          <w:spacing w:val="10"/>
          <w:sz w:val="22"/>
          <w:szCs w:val="22"/>
          <w:shd w:val="clear" w:color="auto" w:fill="000000"/>
        </w:rPr>
        <w:t>.....</w:t>
      </w:r>
      <w:r>
        <w:rPr>
          <w:rStyle w:val="CharStyle45"/>
          <w:b/>
          <w:bCs/>
          <w:spacing w:val="2"/>
          <w:sz w:val="22"/>
          <w:szCs w:val="22"/>
          <w:shd w:val="clear" w:color="auto" w:fill="000000"/>
        </w:rPr>
        <w:t>......</w:t>
      </w:r>
      <w:r>
        <w:rPr>
          <w:rStyle w:val="CharStyle45"/>
          <w:b/>
          <w:bCs/>
          <w:spacing w:val="3"/>
          <w:sz w:val="22"/>
          <w:szCs w:val="22"/>
          <w:shd w:val="clear" w:color="auto" w:fill="000000"/>
        </w:rPr>
        <w:t>.............</w:t>
      </w:r>
      <w:r>
        <w:rPr>
          <w:rStyle w:val="CharStyle45"/>
          <w:spacing w:val="1"/>
          <w:shd w:val="clear" w:color="auto" w:fill="000000"/>
        </w:rPr>
        <w:t>...............</w:t>
      </w:r>
      <w:r>
        <w:rPr>
          <w:rStyle w:val="CharStyle45"/>
          <w:spacing w:val="2"/>
          <w:shd w:val="clear" w:color="auto" w:fill="000000"/>
        </w:rPr>
        <w:t>.............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40" w:line="180" w:lineRule="auto"/>
        <w:ind w:left="0" w:right="0" w:firstLine="0"/>
        <w:jc w:val="left"/>
      </w:pPr>
      <w:r>
        <w:rPr>
          <w:rStyle w:val="CharStyle45"/>
          <w:spacing w:val="10"/>
          <w:sz w:val="36"/>
          <w:szCs w:val="36"/>
          <w:shd w:val="clear" w:color="auto" w:fill="000000"/>
        </w:rPr>
        <w:t>......</w:t>
      </w:r>
      <w:r>
        <w:rPr>
          <w:rStyle w:val="CharStyle45"/>
          <w:sz w:val="36"/>
          <w:szCs w:val="36"/>
          <w:shd w:val="clear" w:color="auto" w:fill="000000"/>
        </w:rPr>
        <w:t>​</w:t>
      </w:r>
      <w:r>
        <w:rPr>
          <w:rStyle w:val="CharStyle45"/>
          <w:spacing w:val="12"/>
          <w:sz w:val="36"/>
          <w:szCs w:val="36"/>
          <w:shd w:val="clear" w:color="auto" w:fill="000000"/>
        </w:rPr>
        <w:t>.....</w:t>
      </w:r>
      <w:r>
        <w:rPr>
          <w:rStyle w:val="CharStyle45"/>
          <w:sz w:val="36"/>
          <w:szCs w:val="36"/>
          <w:shd w:val="clear" w:color="auto" w:fill="000000"/>
        </w:rPr>
        <w:t>​</w:t>
      </w:r>
      <w:r>
        <w:rPr>
          <w:rStyle w:val="CharStyle45"/>
          <w:spacing w:val="6"/>
          <w:sz w:val="36"/>
          <w:szCs w:val="36"/>
          <w:shd w:val="clear" w:color="auto" w:fill="000000"/>
        </w:rPr>
        <w:t>...</w:t>
      </w:r>
      <w:r>
        <w:rPr>
          <w:rStyle w:val="CharStyle45"/>
          <w:spacing w:val="7"/>
          <w:sz w:val="36"/>
          <w:szCs w:val="36"/>
          <w:shd w:val="clear" w:color="auto" w:fill="000000"/>
        </w:rPr>
        <w:t>......</w:t>
      </w:r>
      <w:r>
        <w:rPr>
          <w:rStyle w:val="CharStyle45"/>
          <w:sz w:val="36"/>
          <w:szCs w:val="36"/>
          <w:shd w:val="clear" w:color="auto" w:fill="000000"/>
          <w:vertAlign w:val="subscript"/>
        </w:rPr>
        <w:t>​</w:t>
      </w:r>
      <w:r>
        <w:rPr>
          <w:rStyle w:val="CharStyle45"/>
          <w:spacing w:val="2"/>
          <w:sz w:val="36"/>
          <w:szCs w:val="36"/>
          <w:shd w:val="clear" w:color="auto" w:fill="000000"/>
          <w:vertAlign w:val="subscript"/>
        </w:rPr>
        <w:t>....</w:t>
      </w:r>
      <w:r>
        <w:rPr>
          <w:rStyle w:val="CharStyle45"/>
          <w:spacing w:val="3"/>
          <w:sz w:val="36"/>
          <w:szCs w:val="36"/>
          <w:shd w:val="clear" w:color="auto" w:fill="000000"/>
          <w:vertAlign w:val="subscript"/>
        </w:rPr>
        <w:t>.....</w:t>
      </w:r>
      <w:r>
        <w:rPr>
          <w:rStyle w:val="CharStyle45"/>
          <w:sz w:val="36"/>
          <w:szCs w:val="36"/>
          <w:shd w:val="clear" w:color="auto" w:fill="000000"/>
        </w:rPr>
        <w:t>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2"/>
          <w:shd w:val="clear" w:color="auto" w:fill="000000"/>
        </w:rPr>
        <w:t>....</w:t>
      </w:r>
      <w:r>
        <w:rPr>
          <w:rStyle w:val="CharStyle45"/>
          <w:spacing w:val="3"/>
          <w:shd w:val="clear" w:color="auto" w:fill="000000"/>
        </w:rPr>
        <w:t>.....</w:t>
      </w:r>
      <w:r>
        <w:rPr>
          <w:rStyle w:val="CharStyle45"/>
          <w:shd w:val="clear" w:color="auto" w:fill="000000"/>
        </w:rPr>
        <w:t>​</w:t>
      </w:r>
      <w:r>
        <w:rPr>
          <w:rStyle w:val="CharStyle45"/>
          <w:spacing w:val="1"/>
          <w:shd w:val="clear" w:color="auto" w:fill="000000"/>
        </w:rPr>
        <w:t>...............</w:t>
      </w:r>
      <w:r>
        <w:rPr>
          <w:rStyle w:val="CharStyle45"/>
        </w:rPr>
        <w:t>vá</w:t>
      </w:r>
    </w:p>
    <w:p>
      <w:pPr>
        <w:pStyle w:val="Style6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1" w:right="1480" w:bottom="1650" w:left="1396" w:header="393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30810" distB="137795" distL="114300" distR="1537970" simplePos="0" relativeHeight="125829382" behindDoc="0" locked="0" layoutInCell="1" allowOverlap="1">
                <wp:simplePos x="0" y="0"/>
                <wp:positionH relativeFrom="page">
                  <wp:posOffset>4120515</wp:posOffset>
                </wp:positionH>
                <wp:positionV relativeFrom="margin">
                  <wp:posOffset>4221480</wp:posOffset>
                </wp:positionV>
                <wp:extent cx="1322705" cy="59118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591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9"/>
                                <w:shd w:val="clear" w:color="auto" w:fill="000000"/>
                              </w:rPr>
                              <w:t>.......​........</w:t>
                            </w:r>
                            <w:r>
                              <w:rPr>
                                <w:rStyle w:val="CharStyle29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9"/>
                              </w:rPr>
                              <w:br/>
                            </w:r>
                            <w:r>
                              <w:rPr>
                                <w:rStyle w:val="CharStyle2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9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29"/>
                                <w:spacing w:val="5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29"/>
                                <w:shd w:val="clear" w:color="auto" w:fill="000000"/>
                              </w:rPr>
                              <w:t>​.......</w:t>
                            </w:r>
                            <w:r>
                              <w:rPr>
                                <w:rStyle w:val="CharStyle29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4.44999999999999pt;margin-top:332.40000000000003pt;width:104.15000000000001pt;height:46.550000000000004pt;z-index:-125829371;mso-wrap-distance-left:9.pt;mso-wrap-distance-top:10.300000000000001pt;mso-wrap-distance-right:121.10000000000001pt;mso-wrap-distance-bottom:10.8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9"/>
                          <w:shd w:val="clear" w:color="auto" w:fill="000000"/>
                        </w:rPr>
                        <w:t>.......​........</w:t>
                      </w:r>
                      <w:r>
                        <w:rPr>
                          <w:rStyle w:val="CharStyle29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9"/>
                        </w:rPr>
                        <w:br/>
                      </w:r>
                      <w:r>
                        <w:rPr>
                          <w:rStyle w:val="CharStyle2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9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9"/>
                          <w:spacing w:val="5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9"/>
                          <w:shd w:val="clear" w:color="auto" w:fill="000000"/>
                        </w:rPr>
                        <w:t>​.......</w:t>
                      </w:r>
                      <w:r>
                        <w:rPr>
                          <w:rStyle w:val="CharStyle29"/>
                          <w:spacing w:val="1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421765" distR="114300" simplePos="0" relativeHeight="125829384" behindDoc="0" locked="0" layoutInCell="1" allowOverlap="1">
                <wp:simplePos x="0" y="0"/>
                <wp:positionH relativeFrom="page">
                  <wp:posOffset>5427980</wp:posOffset>
                </wp:positionH>
                <wp:positionV relativeFrom="margin">
                  <wp:posOffset>4090670</wp:posOffset>
                </wp:positionV>
                <wp:extent cx="1438910" cy="85979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859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5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pacing w:val="5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pacing w:val="4"/>
                                <w:shd w:val="clear" w:color="auto" w:fill="000000"/>
                              </w:rPr>
                              <w:t>......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35"/>
                              </w:rPr>
                              <w:t xml:space="preserve"> 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​...........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.............................</w:t>
                            </w:r>
                            <w:r>
                              <w:rPr>
                                <w:rStyle w:val="CharStyle35"/>
                              </w:rPr>
                              <w:t xml:space="preserve"> 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pacing w:val="4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........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​..​</w:t>
                            </w:r>
                            <w:r>
                              <w:rPr>
                                <w:rStyle w:val="CharStyle35"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pacing w:val="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pacing w:val="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​.........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5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</w:rPr>
                              <w:t xml:space="preserve"> 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............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​......................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</w:rPr>
                              <w:t>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7.40000000000003pt;margin-top:322.10000000000002pt;width:113.3pt;height:67.700000000000003pt;z-index:-125829369;mso-wrap-distance-left:111.95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  <w:spacing w:val="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pacing w:val="5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pacing w:val="4"/>
                          <w:shd w:val="clear" w:color="auto" w:fill="000000"/>
                        </w:rPr>
                        <w:t>......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5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  <w:spacing w:val="3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5"/>
                        </w:rPr>
                        <w:t xml:space="preserve"> 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​...........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.............................</w:t>
                      </w:r>
                      <w:r>
                        <w:rPr>
                          <w:rStyle w:val="CharStyle35"/>
                        </w:rPr>
                        <w:t xml:space="preserve"> 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spacing w:val="4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​..​</w:t>
                      </w:r>
                      <w:r>
                        <w:rPr>
                          <w:rStyle w:val="CharStyle35"/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pacing w:val="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pacing w:val="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​.........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0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5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</w:rPr>
                        <w:t xml:space="preserve"> 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............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​......................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3"/>
                          <w:shd w:val="clear" w:color="auto" w:fill="000000"/>
                        </w:rPr>
                        <w:t>.........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600" distB="0" distL="114300" distR="3235325" simplePos="0" relativeHeight="125829386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margin">
                  <wp:posOffset>4998720</wp:posOffset>
                </wp:positionV>
                <wp:extent cx="1405255" cy="5029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5255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5.799999999999997pt;margin-top:393.60000000000002pt;width:110.65000000000001pt;height:39.600000000000001pt;z-index:-125829367;mso-wrap-distance-left:9.pt;mso-wrap-distance-top:8.pt;mso-wrap-distance-right:254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MUDr. Hana Albrechtová ředitelka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za objednatele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600" distB="3175" distL="3333115" distR="114300" simplePos="0" relativeHeight="125829388" behindDoc="0" locked="0" layoutInCell="1" allowOverlap="1">
                <wp:simplePos x="0" y="0"/>
                <wp:positionH relativeFrom="page">
                  <wp:posOffset>4181475</wp:posOffset>
                </wp:positionH>
                <wp:positionV relativeFrom="margin">
                  <wp:posOffset>4998720</wp:posOffset>
                </wp:positionV>
                <wp:extent cx="1307465" cy="49974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7465" cy="499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Ing. Pavel Adam, Ph D.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 xml:space="preserve">Jednatel společnosti 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25pt;margin-top:393.60000000000002pt;width:102.95pt;height:39.350000000000001pt;z-index:-125829365;mso-wrap-distance-left:262.44999999999999pt;mso-wrap-distance-top:8.pt;mso-wrap-distance-right:9.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Ing. Pavel Adam, Ph D.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 xml:space="preserve">Jednatel společnosti </w:t>
                      </w:r>
                      <w:r>
                        <w:rPr>
                          <w:rStyle w:val="CharStyle12"/>
                          <w:b/>
                          <w:bCs/>
                        </w:rPr>
                        <w:t>za zhotovitele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61"/>
          <w:shd w:val="clear" w:color="auto" w:fill="000000"/>
        </w:rPr>
        <w:t>....................</w:t>
      </w:r>
      <w:bookmarkStart w:id="4" w:name="bookmark4"/>
      <w:r>
        <w:rPr>
          <w:rStyle w:val="CharStyle61"/>
          <w:shd w:val="clear" w:color="auto" w:fill="000000"/>
          <w:vertAlign w:val="subscript"/>
        </w:rPr>
        <w:t>​</w:t>
      </w:r>
      <w:r>
        <w:rPr>
          <w:rStyle w:val="CharStyle61"/>
          <w:spacing w:val="66"/>
          <w:shd w:val="clear" w:color="auto" w:fill="000000"/>
          <w:vertAlign w:val="subscript"/>
        </w:rPr>
        <w:t>.</w:t>
      </w:r>
      <w:r>
        <w:rPr>
          <w:rStyle w:val="CharStyle61"/>
          <w:spacing w:val="28"/>
          <w:shd w:val="clear" w:color="auto" w:fill="000000"/>
        </w:rPr>
        <w:t>.</w:t>
      </w:r>
      <w:r>
        <w:rPr>
          <w:rStyle w:val="CharStyle61"/>
          <w:spacing w:val="20"/>
          <w:shd w:val="clear" w:color="auto" w:fill="000000"/>
        </w:rPr>
        <w:t>...</w:t>
      </w:r>
      <w:r>
        <w:rPr>
          <w:rStyle w:val="CharStyle61"/>
          <w:spacing w:val="-31"/>
          <w:shd w:val="clear" w:color="auto" w:fill="000000"/>
        </w:rPr>
        <w:t>.</w:t>
      </w:r>
      <w:bookmarkEnd w:id="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4" w:right="0" w:bottom="155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4" w:right="1575" w:bottom="1554" w:left="13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  <w:b/>
          <w:bCs/>
        </w:rPr>
        <w:t>Příloha č. 1 Seznam budov, ceník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280"/>
        <w:jc w:val="left"/>
      </w:pPr>
      <w:r>
        <w:rPr>
          <w:rStyle w:val="CharStyle12"/>
          <w:b/>
          <w:bCs/>
        </w:rPr>
        <w:t>Příloha č. 1 Seznam budov, ceník</w:t>
      </w:r>
    </w:p>
    <w:tbl>
      <w:tblPr>
        <w:tblOverlap w:val="never"/>
        <w:jc w:val="center"/>
        <w:tblLayout w:type="fixed"/>
      </w:tblPr>
      <w:tblGrid>
        <w:gridCol w:w="2208"/>
        <w:gridCol w:w="2760"/>
        <w:gridCol w:w="1925"/>
        <w:gridCol w:w="1805"/>
      </w:tblGrid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Budova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Adresa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Cena za zhotovení PENB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Cena za zhotovení PENB v Kč vč. DPH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Bohunice - hl. budova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8"/>
                <w:sz w:val="17"/>
                <w:szCs w:val="17"/>
              </w:rPr>
              <w:t>Kamenice 798/1 d, 625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rStyle w:val="CharStyle68"/>
              </w:rPr>
              <w:t>37 800,-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rStyle w:val="CharStyle68"/>
              </w:rPr>
              <w:t>45 738,-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Bohunice - výcvikové a vzdělávací středisko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8"/>
                <w:sz w:val="17"/>
                <w:szCs w:val="17"/>
              </w:rPr>
              <w:t>Kamenice 798/1 d, 625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</w:rPr>
              <w:t>0,- (spojeno s hl. budovou)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</w:rPr>
              <w:t>0,- (spojeno s hl. budovou)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Černovice VZ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8"/>
                <w:sz w:val="17"/>
                <w:szCs w:val="17"/>
              </w:rPr>
              <w:t>Těžební 1a, 627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rStyle w:val="CharStyle68"/>
              </w:rPr>
              <w:t>13.600,-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</w:rPr>
              <w:t>16.456,-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Ivančice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8"/>
                <w:sz w:val="17"/>
                <w:szCs w:val="17"/>
              </w:rPr>
              <w:t>Široká 11, 664 91 Ivančice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</w:rPr>
              <w:t>9.200,-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rStyle w:val="CharStyle68"/>
              </w:rPr>
              <w:t>11.132,-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Tišnov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8"/>
                <w:sz w:val="17"/>
                <w:szCs w:val="17"/>
              </w:rPr>
              <w:t>Purkyňova 1884, 666 01 Tišnov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</w:pPr>
            <w:r>
              <w:rPr>
                <w:rStyle w:val="CharStyle68"/>
              </w:rPr>
              <w:t>9.500,-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</w:rPr>
              <w:t>11.495,-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8"/>
                <w:sz w:val="17"/>
                <w:szCs w:val="17"/>
              </w:rPr>
              <w:t>K.H. Máchy 17, 678 01 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rStyle w:val="CharStyle68"/>
              </w:rPr>
              <w:t>13.600,-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</w:rPr>
              <w:t>16.456,-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Horní Lhota (ubytovna)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8"/>
                <w:sz w:val="17"/>
                <w:szCs w:val="17"/>
              </w:rPr>
              <w:t>Horní Lhota 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</w:rPr>
              <w:t>8.800,-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</w:rPr>
              <w:t>10.648,.-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68"/>
                <w:sz w:val="17"/>
                <w:szCs w:val="17"/>
              </w:rPr>
              <w:t>Purkyňova 36, 682 01, 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both"/>
            </w:pPr>
            <w:r>
              <w:rPr>
                <w:rStyle w:val="CharStyle68"/>
              </w:rPr>
              <w:t>9.900,-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rStyle w:val="CharStyle68"/>
              </w:rPr>
              <w:t>11.979,-</w:t>
            </w:r>
          </w:p>
        </w:tc>
      </w:tr>
      <w:tr>
        <w:trPr>
          <w:trHeight w:val="50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8"/>
                <w:sz w:val="18"/>
                <w:szCs w:val="18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  <w:b/>
                <w:bCs/>
              </w:rPr>
              <w:t>102 400,-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8"/>
                <w:b/>
                <w:bCs/>
              </w:rPr>
              <w:t>123 904,-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608" w:right="1561" w:bottom="1608" w:left="1315" w:header="118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1015365</wp:posOffset>
              </wp:positionH>
              <wp:positionV relativeFrom="page">
                <wp:posOffset>9960610</wp:posOffset>
              </wp:positionV>
              <wp:extent cx="1740535" cy="1155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4053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VZ 55_2023 Vypracování PENB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950000000000003pt;margin-top:784.30000000000007pt;width:137.05000000000001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55_2023 Vypracování PENB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5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Nadpis #3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Základní text (4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35">
    <w:name w:val="Základní text (2)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5">
    <w:name w:val="Základní text (3)_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1">
    <w:name w:val="Nadpis #2_"/>
    <w:basedOn w:val="DefaultParagraphFont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68">
    <w:name w:val="Jiné_"/>
    <w:basedOn w:val="DefaultParagraphFont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00"/>
      <w:ind w:right="5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5)"/>
    <w:basedOn w:val="Normal"/>
    <w:link w:val="CharStyle8"/>
    <w:pPr>
      <w:widowControl w:val="0"/>
      <w:shd w:val="clear" w:color="auto" w:fill="auto"/>
      <w:spacing w:after="280"/>
      <w:ind w:right="5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auto"/>
      <w:spacing w:after="24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28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8">
    <w:name w:val="Základní text (4)"/>
    <w:basedOn w:val="Normal"/>
    <w:link w:val="CharStyle29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34">
    <w:name w:val="Základní text (2)"/>
    <w:basedOn w:val="Normal"/>
    <w:link w:val="CharStyle3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44">
    <w:name w:val="Základní text (3)"/>
    <w:basedOn w:val="Normal"/>
    <w:link w:val="CharStyle45"/>
    <w:pPr>
      <w:widowControl w:val="0"/>
      <w:shd w:val="clear" w:color="auto" w:fill="auto"/>
      <w:spacing w:after="20" w:line="209" w:lineRule="auto"/>
      <w:ind w:firstLine="2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0">
    <w:name w:val="Nadpis #2"/>
    <w:basedOn w:val="Normal"/>
    <w:link w:val="CharStyle61"/>
    <w:pPr>
      <w:widowControl w:val="0"/>
      <w:shd w:val="clear" w:color="auto" w:fill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67">
    <w:name w:val="Jiné"/>
    <w:basedOn w:val="Normal"/>
    <w:link w:val="CharStyle68"/>
    <w:pPr>
      <w:widowControl w:val="0"/>
      <w:shd w:val="clear" w:color="auto" w:fill="auto"/>
      <w:spacing w:after="28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