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37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4" w:name="bookmark4"/>
      <w:r>
        <w:rPr>
          <w:rStyle w:val="CharStyle38"/>
        </w:rPr>
        <w:t>■IIMIIMM</w:t>
      </w:r>
      <w:bookmarkEnd w:id="4"/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640" w:firstLine="0"/>
        <w:jc w:val="right"/>
      </w:pPr>
      <w:r>
        <w:rPr>
          <w:rStyle w:val="CharStyle19"/>
        </w:rPr>
        <w:t>2023008196</w:t>
      </w:r>
    </w:p>
    <w:p>
      <w:pPr>
        <w:pStyle w:val="Style43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6" w:name="bookmark6"/>
      <w:r>
        <w:rPr>
          <w:rStyle w:val="CharStyle44"/>
          <w:b/>
          <w:bCs/>
          <w:u w:val="single"/>
        </w:rPr>
        <w:t>RÁMCOVÁ KUPNÍ SMLOUVA</w:t>
      </w:r>
      <w:bookmarkEnd w:id="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57" w:lineRule="auto"/>
        <w:ind w:left="2060" w:right="0" w:hanging="122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uzavřená v souladu s ustanovení § 2079 a násl. zákona č. 89/2012 Sb., občanský zákoník, mezi níže uvedenými smluvními stranami</w:t>
      </w:r>
    </w:p>
    <w:tbl>
      <w:tblPr>
        <w:tblOverlap w:val="never"/>
        <w:jc w:val="center"/>
        <w:tblLayout w:type="fixed"/>
      </w:tblPr>
      <w:tblGrid>
        <w:gridCol w:w="2669"/>
        <w:gridCol w:w="6216"/>
      </w:tblGrid>
      <w:tr>
        <w:trPr>
          <w:trHeight w:val="50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51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Kamenice 798/1 d, 625 00 Brno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51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MUDr. Hana Albrechtová, ředitelka</w:t>
            </w:r>
          </w:p>
        </w:tc>
      </w:tr>
      <w:tr>
        <w:trPr>
          <w:trHeight w:val="49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51"/>
                <w:spacing w:val="1"/>
                <w:shd w:val="clear" w:color="auto" w:fill="000000"/>
              </w:rPr>
              <w:t>..</w:t>
            </w:r>
            <w:r>
              <w:rPr>
                <w:rStyle w:val="CharStyle51"/>
                <w:spacing w:val="2"/>
                <w:shd w:val="clear" w:color="auto" w:fill="000000"/>
              </w:rPr>
              <w:t>....</w:t>
            </w:r>
            <w:r>
              <w:rPr>
                <w:rStyle w:val="CharStyle51"/>
                <w:shd w:val="clear" w:color="auto" w:fill="000000"/>
              </w:rPr>
              <w:t>​</w:t>
            </w:r>
            <w:r>
              <w:rPr>
                <w:rStyle w:val="CharStyle51"/>
                <w:spacing w:val="2"/>
                <w:shd w:val="clear" w:color="auto" w:fill="000000"/>
              </w:rPr>
              <w:t>............</w:t>
            </w:r>
            <w:r>
              <w:rPr>
                <w:rStyle w:val="CharStyle51"/>
                <w:spacing w:val="3"/>
                <w:shd w:val="clear" w:color="auto" w:fill="000000"/>
              </w:rPr>
              <w:t>..</w:t>
            </w:r>
            <w:r>
              <w:rPr>
                <w:rStyle w:val="CharStyle51"/>
                <w:shd w:val="clear" w:color="auto" w:fill="000000"/>
              </w:rPr>
              <w:t>​</w:t>
            </w:r>
            <w:r>
              <w:rPr>
                <w:rStyle w:val="CharStyle51"/>
                <w:spacing w:val="2"/>
                <w:shd w:val="clear" w:color="auto" w:fill="000000"/>
              </w:rPr>
              <w:t>..</w:t>
            </w:r>
            <w:r>
              <w:rPr>
                <w:rStyle w:val="CharStyle51"/>
                <w:spacing w:val="3"/>
                <w:shd w:val="clear" w:color="auto" w:fill="000000"/>
              </w:rPr>
              <w:t>............</w:t>
            </w:r>
            <w:r>
              <w:rPr>
                <w:rStyle w:val="CharStyle51"/>
                <w:shd w:val="clear" w:color="auto" w:fill="000000"/>
              </w:rPr>
              <w:t>​</w:t>
            </w:r>
            <w:r>
              <w:rPr>
                <w:rStyle w:val="CharStyle51"/>
                <w:spacing w:val="4"/>
                <w:shd w:val="clear" w:color="auto" w:fill="000000"/>
              </w:rPr>
              <w:t>....</w:t>
            </w:r>
            <w:r>
              <w:rPr>
                <w:rStyle w:val="CharStyle51"/>
                <w:spacing w:val="5"/>
                <w:shd w:val="clear" w:color="auto" w:fill="000000"/>
              </w:rPr>
              <w:t>.....</w:t>
            </w:r>
            <w:r>
              <w:rPr>
                <w:rStyle w:val="CharStyle51"/>
                <w:shd w:val="clear" w:color="auto" w:fill="000000"/>
              </w:rPr>
              <w:t>​</w:t>
            </w:r>
            <w:r>
              <w:rPr>
                <w:rStyle w:val="CharStyle51"/>
                <w:spacing w:val="3"/>
                <w:shd w:val="clear" w:color="auto" w:fill="000000"/>
              </w:rPr>
              <w:t>..</w:t>
            </w:r>
            <w:r>
              <w:rPr>
                <w:rStyle w:val="CharStyle51"/>
                <w:spacing w:val="4"/>
                <w:shd w:val="clear" w:color="auto" w:fill="000000"/>
              </w:rPr>
              <w:t>.</w:t>
            </w:r>
            <w:r>
              <w:rPr>
                <w:rStyle w:val="CharStyle51"/>
                <w:shd w:val="clear" w:color="auto" w:fill="000000"/>
              </w:rPr>
              <w:t>​</w:t>
            </w:r>
            <w:r>
              <w:rPr>
                <w:rStyle w:val="CharStyle51"/>
                <w:spacing w:val="3"/>
                <w:shd w:val="clear" w:color="auto" w:fill="000000"/>
              </w:rPr>
              <w:t>..</w:t>
            </w:r>
            <w:r>
              <w:rPr>
                <w:rStyle w:val="CharStyle51"/>
                <w:spacing w:val="4"/>
                <w:shd w:val="clear" w:color="auto" w:fill="000000"/>
              </w:rPr>
              <w:t>......</w:t>
            </w:r>
            <w:r>
              <w:rPr>
                <w:rStyle w:val="CharStyle51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51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</w:t>
            </w:r>
            <w:r>
              <w:rPr>
                <w:rStyle w:val="CharStyle51"/>
                <w:spacing w:val="2"/>
                <w:u w:val="single"/>
                <w:shd w:val="clear" w:color="auto" w:fill="000000"/>
                <w:lang w:val="en-US" w:eastAsia="en-US" w:bidi="en-US"/>
              </w:rPr>
              <w:t>......</w:t>
            </w:r>
            <w:r>
              <w:rPr>
                <w:rStyle w:val="CharStyle51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51"/>
                <w:shd w:val="clear" w:color="auto" w:fill="000000"/>
              </w:rPr>
              <w:t>​</w:t>
            </w:r>
            <w:r>
              <w:rPr>
                <w:rStyle w:val="CharStyle51"/>
                <w:spacing w:val="10"/>
                <w:shd w:val="clear" w:color="auto" w:fill="000000"/>
              </w:rPr>
              <w:t>..</w:t>
            </w:r>
            <w:r>
              <w:rPr>
                <w:rStyle w:val="CharStyle51"/>
                <w:spacing w:val="11"/>
                <w:shd w:val="clear" w:color="auto" w:fill="000000"/>
              </w:rPr>
              <w:t>..</w:t>
            </w:r>
            <w:r>
              <w:rPr>
                <w:rStyle w:val="CharStyle51"/>
              </w:rPr>
              <w:t xml:space="preserve"> </w:t>
            </w:r>
            <w:r>
              <w:rPr>
                <w:rStyle w:val="CharStyle51"/>
                <w:shd w:val="clear" w:color="auto" w:fill="000000"/>
              </w:rPr>
              <w:t>​....</w:t>
            </w:r>
            <w:r>
              <w:rPr>
                <w:rStyle w:val="CharStyle51"/>
                <w:spacing w:val="1"/>
                <w:shd w:val="clear" w:color="auto" w:fill="000000"/>
              </w:rPr>
              <w:t>.....</w:t>
            </w:r>
            <w:r>
              <w:rPr>
                <w:rStyle w:val="CharStyle51"/>
                <w:shd w:val="clear" w:color="auto" w:fill="000000"/>
              </w:rPr>
              <w:t>​.......​</w:t>
            </w:r>
            <w:r>
              <w:rPr>
                <w:rStyle w:val="CharStyle51"/>
                <w:spacing w:val="6"/>
                <w:shd w:val="clear" w:color="auto" w:fill="000000"/>
              </w:rPr>
              <w:t>...</w:t>
            </w:r>
            <w:r>
              <w:rPr>
                <w:rStyle w:val="CharStyle51"/>
                <w:spacing w:val="7"/>
                <w:shd w:val="clear" w:color="auto" w:fill="000000"/>
              </w:rPr>
              <w:t>...</w:t>
            </w:r>
            <w:r>
              <w:rPr>
                <w:rStyle w:val="CharStyle51"/>
                <w:shd w:val="clear" w:color="auto" w:fill="000000"/>
              </w:rPr>
              <w:t>​......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00346292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CZ00346292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Krajský soud v Brně sp. zn. Pr 1245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MONETA Money Bank, a.s., č. ú. 117203514/0600</w:t>
            </w:r>
          </w:p>
        </w:tc>
      </w:tr>
    </w:tbl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rStyle w:val="CharStyle48"/>
        </w:rPr>
        <w:t xml:space="preserve">(dále jen </w:t>
      </w:r>
      <w:r>
        <w:rPr>
          <w:rStyle w:val="CharStyle48"/>
          <w:i/>
          <w:iCs/>
        </w:rPr>
        <w:t>„kupující“)</w:t>
      </w:r>
    </w:p>
    <w:p>
      <w:pPr>
        <w:widowControl w:val="0"/>
        <w:spacing w:after="2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669"/>
        <w:gridCol w:w="6211"/>
      </w:tblGrid>
      <w:tr>
        <w:trPr>
          <w:trHeight w:val="57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d</w:t>
            </w:r>
          </w:p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  <w:b/>
                <w:bCs/>
              </w:rPr>
              <w:t>Teleflex Medical s.r.o.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Pražská třída 209/182, 500 04 Hradec Králové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Martin Hlaváček, jednatel</w:t>
            </w:r>
          </w:p>
        </w:tc>
      </w:tr>
      <w:tr>
        <w:trPr>
          <w:trHeight w:val="65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  <w:spacing w:val="1"/>
                <w:shd w:val="clear" w:color="auto" w:fill="000000"/>
              </w:rPr>
              <w:t>..</w:t>
            </w:r>
            <w:r>
              <w:rPr>
                <w:rStyle w:val="CharStyle51"/>
                <w:spacing w:val="2"/>
                <w:shd w:val="clear" w:color="auto" w:fill="000000"/>
              </w:rPr>
              <w:t>....</w:t>
            </w:r>
            <w:r>
              <w:rPr>
                <w:rStyle w:val="CharStyle51"/>
                <w:shd w:val="clear" w:color="auto" w:fill="000000"/>
              </w:rPr>
              <w:t>​</w:t>
            </w:r>
            <w:r>
              <w:rPr>
                <w:rStyle w:val="CharStyle51"/>
                <w:spacing w:val="5"/>
                <w:shd w:val="clear" w:color="auto" w:fill="000000"/>
              </w:rPr>
              <w:t>.........</w:t>
            </w:r>
            <w:r>
              <w:rPr>
                <w:rStyle w:val="CharStyle51"/>
                <w:spacing w:val="6"/>
                <w:shd w:val="clear" w:color="auto" w:fill="000000"/>
              </w:rPr>
              <w:t>.</w:t>
            </w:r>
            <w:r>
              <w:rPr>
                <w:rStyle w:val="CharStyle51"/>
                <w:shd w:val="clear" w:color="auto" w:fill="000000"/>
              </w:rPr>
              <w:t>​</w:t>
            </w:r>
            <w:r>
              <w:rPr>
                <w:rStyle w:val="CharStyle51"/>
                <w:spacing w:val="1"/>
                <w:shd w:val="clear" w:color="auto" w:fill="000000"/>
              </w:rPr>
              <w:t>.......</w:t>
            </w:r>
            <w:r>
              <w:rPr>
                <w:rStyle w:val="CharStyle51"/>
                <w:spacing w:val="2"/>
                <w:shd w:val="clear" w:color="auto" w:fill="000000"/>
              </w:rPr>
              <w:t>..........</w:t>
            </w:r>
            <w:r>
              <w:rPr>
                <w:rStyle w:val="CharStyle51"/>
                <w:shd w:val="clear" w:color="auto" w:fill="000000"/>
              </w:rPr>
              <w:t>​.....</w:t>
            </w:r>
            <w:r>
              <w:rPr>
                <w:rStyle w:val="CharStyle51"/>
                <w:spacing w:val="1"/>
                <w:shd w:val="clear" w:color="auto" w:fill="000000"/>
              </w:rPr>
              <w:t>.........</w:t>
            </w:r>
            <w:r>
              <w:rPr>
                <w:rStyle w:val="CharStyle51"/>
                <w:shd w:val="clear" w:color="auto" w:fill="000000"/>
              </w:rPr>
              <w:t>​</w:t>
            </w:r>
            <w:r>
              <w:rPr>
                <w:rStyle w:val="CharStyle51"/>
                <w:spacing w:val="5"/>
                <w:shd w:val="clear" w:color="auto" w:fill="000000"/>
              </w:rPr>
              <w:t>..</w:t>
            </w:r>
            <w:r>
              <w:rPr>
                <w:rStyle w:val="CharStyle51"/>
                <w:spacing w:val="6"/>
                <w:shd w:val="clear" w:color="auto" w:fill="000000"/>
              </w:rPr>
              <w:t>.......</w:t>
            </w:r>
            <w:r>
              <w:rPr>
                <w:rStyle w:val="CharStyle51"/>
                <w:shd w:val="clear" w:color="auto" w:fill="000000"/>
              </w:rPr>
              <w:t>​</w:t>
            </w:r>
            <w:r>
              <w:rPr>
                <w:rStyle w:val="CharStyle51"/>
                <w:spacing w:val="3"/>
                <w:shd w:val="clear" w:color="auto" w:fill="000000"/>
              </w:rPr>
              <w:t>....</w:t>
            </w:r>
            <w:r>
              <w:rPr>
                <w:rStyle w:val="CharStyle51"/>
                <w:spacing w:val="4"/>
                <w:shd w:val="clear" w:color="auto" w:fill="000000"/>
              </w:rPr>
              <w:t>..........</w:t>
            </w:r>
            <w:r>
              <w:rPr>
                <w:rStyle w:val="CharStyle51"/>
                <w:shd w:val="clear" w:color="auto" w:fill="000000"/>
              </w:rPr>
              <w:t>​</w:t>
            </w:r>
            <w:r>
              <w:rPr>
                <w:rStyle w:val="CharStyle51"/>
                <w:spacing w:val="1"/>
                <w:shd w:val="clear" w:color="auto" w:fill="000000"/>
              </w:rPr>
              <w:t>.</w:t>
            </w:r>
            <w:r>
              <w:rPr>
                <w:rStyle w:val="CharStyle51"/>
                <w:spacing w:val="2"/>
                <w:shd w:val="clear" w:color="auto" w:fill="000000"/>
              </w:rPr>
              <w:t>.........</w:t>
            </w:r>
            <w:r>
              <w:rPr>
                <w:rStyle w:val="CharStyle51"/>
              </w:rPr>
              <w:t xml:space="preserve"> </w:t>
            </w:r>
            <w:r>
              <w:rPr>
                <w:rStyle w:val="CharStyle51"/>
                <w:shd w:val="clear" w:color="auto" w:fill="000000"/>
              </w:rPr>
              <w:t>​</w:t>
            </w:r>
            <w:r>
              <w:rPr>
                <w:rStyle w:val="CharStyle51"/>
                <w:spacing w:val="3"/>
                <w:shd w:val="clear" w:color="auto" w:fill="000000"/>
              </w:rPr>
              <w:t>..</w:t>
            </w:r>
            <w:r>
              <w:rPr>
                <w:rStyle w:val="CharStyle51"/>
                <w:spacing w:val="4"/>
                <w:shd w:val="clear" w:color="auto" w:fill="000000"/>
              </w:rPr>
              <w:t>.</w:t>
            </w:r>
            <w:r>
              <w:rPr>
                <w:rStyle w:val="CharStyle51"/>
                <w:shd w:val="clear" w:color="auto" w:fill="000000"/>
              </w:rPr>
              <w:t>​</w:t>
            </w:r>
            <w:r>
              <w:rPr>
                <w:rStyle w:val="CharStyle51"/>
                <w:spacing w:val="3"/>
                <w:shd w:val="clear" w:color="auto" w:fill="000000"/>
              </w:rPr>
              <w:t>..</w:t>
            </w:r>
            <w:r>
              <w:rPr>
                <w:rStyle w:val="CharStyle51"/>
                <w:spacing w:val="4"/>
                <w:shd w:val="clear" w:color="auto" w:fill="000000"/>
              </w:rPr>
              <w:t>......</w:t>
            </w:r>
            <w:r>
              <w:rPr>
                <w:rStyle w:val="CharStyle51"/>
                <w:u w:val="single"/>
                <w:shd w:val="clear" w:color="auto" w:fill="000000"/>
                <w:lang w:val="en-US" w:eastAsia="en-US" w:bidi="en-US"/>
              </w:rPr>
              <w:t>​..</w:t>
            </w:r>
            <w:r>
              <w:rPr>
                <w:rStyle w:val="CharStyle51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..............................................</w:t>
            </w:r>
            <w:r>
              <w:rPr>
                <w:rStyle w:val="CharStyle51"/>
                <w:color w:val="7F9DCF"/>
                <w:u w:val="single"/>
                <w:lang w:val="en-US" w:eastAsia="en-US" w:bidi="en-US"/>
              </w:rPr>
              <w:t xml:space="preserve"> </w:t>
            </w:r>
            <w:r>
              <w:rPr>
                <w:rStyle w:val="CharStyle51"/>
                <w:shd w:val="clear" w:color="auto" w:fill="000000"/>
              </w:rPr>
              <w:t>​</w:t>
            </w:r>
            <w:r>
              <w:rPr>
                <w:rStyle w:val="CharStyle51"/>
                <w:spacing w:val="10"/>
                <w:shd w:val="clear" w:color="auto" w:fill="000000"/>
              </w:rPr>
              <w:t>..</w:t>
            </w:r>
            <w:r>
              <w:rPr>
                <w:rStyle w:val="CharStyle51"/>
                <w:spacing w:val="11"/>
                <w:shd w:val="clear" w:color="auto" w:fill="000000"/>
              </w:rPr>
              <w:t>..</w:t>
            </w:r>
            <w:r>
              <w:rPr>
                <w:rStyle w:val="CharStyle51"/>
                <w:shd w:val="clear" w:color="auto" w:fill="000000"/>
              </w:rPr>
              <w:t>​....</w:t>
            </w:r>
            <w:r>
              <w:rPr>
                <w:rStyle w:val="CharStyle51"/>
                <w:spacing w:val="1"/>
                <w:shd w:val="clear" w:color="auto" w:fill="000000"/>
              </w:rPr>
              <w:t>.....</w:t>
            </w:r>
            <w:r>
              <w:rPr>
                <w:rStyle w:val="CharStyle51"/>
                <w:shd w:val="clear" w:color="auto" w:fill="000000"/>
              </w:rPr>
              <w:t>​.......​.......​......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288 49 809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CZ28849809</w:t>
            </w:r>
          </w:p>
        </w:tc>
      </w:tr>
      <w:tr>
        <w:trPr>
          <w:trHeight w:val="44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Zápis v 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společnost zapsána u Krajského soudu v Hradci Králové, oddíl C, spisová značka 30847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1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rStyle w:val="CharStyle51"/>
              </w:rPr>
              <w:t>Unicredit Bank Czech Republic and Slovakia, a.s. Č. účtu: 2107845037/2700</w:t>
            </w:r>
          </w:p>
        </w:tc>
      </w:tr>
    </w:tbl>
    <w:p>
      <w:pPr>
        <w:widowControl w:val="0"/>
        <w:spacing w:after="4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76" w:lineRule="auto"/>
        <w:ind w:left="0" w:right="0" w:firstLine="0"/>
        <w:jc w:val="left"/>
      </w:pPr>
      <w:r>
        <w:rPr>
          <w:rStyle w:val="CharStyle3"/>
        </w:rPr>
        <w:t xml:space="preserve">(dále jen </w:t>
      </w:r>
      <w:r>
        <w:rPr>
          <w:rStyle w:val="CharStyle3"/>
          <w:i/>
          <w:iCs/>
        </w:rPr>
        <w:t>„prodávající')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76" w:lineRule="auto"/>
        <w:ind w:left="400" w:right="0" w:hanging="400"/>
        <w:jc w:val="both"/>
      </w:pPr>
      <w:r>
        <w:rPr>
          <w:rStyle w:val="CharStyle3"/>
        </w:rPr>
        <w:t xml:space="preserve">Prodávající je oprávněn na základě svého vlastnického práva nakládat s tímto zbožím: </w:t>
      </w:r>
      <w:r>
        <w:rPr>
          <w:rStyle w:val="CharStyle3"/>
          <w:b/>
          <w:bCs/>
        </w:rPr>
        <w:t xml:space="preserve">pomůcky pro intraoseální vstup, </w:t>
      </w:r>
      <w:r>
        <w:rPr>
          <w:rStyle w:val="CharStyle3"/>
        </w:rPr>
        <w:t>jejichž bližší specifikace je uvedena v příloze č. 1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120" w:line="276" w:lineRule="auto"/>
        <w:ind w:left="400" w:right="0" w:hanging="400"/>
        <w:jc w:val="both"/>
      </w:pPr>
      <w:r>
        <w:rPr>
          <w:rStyle w:val="CharStyle3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120" w:line="276" w:lineRule="auto"/>
        <w:ind w:left="400" w:right="0" w:hanging="400"/>
        <w:jc w:val="both"/>
      </w:pPr>
      <w:r>
        <w:rPr>
          <w:rStyle w:val="CharStyle3"/>
        </w:rPr>
        <w:t>Součástí dodávky zboží podle čl. 1 této smlouvy je vždy předání veškerých písemných dokladů, které jsou potřebné k používání tohoto zboží.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 xml:space="preserve">Prodávající se zavazuje plnit svůj závazek k dodání zboží podle čl. 1 této smlouvy vždy nejpozději do </w:t>
      </w:r>
      <w:r>
        <w:rPr>
          <w:rStyle w:val="CharStyle3"/>
          <w:b/>
          <w:bCs/>
        </w:rPr>
        <w:t xml:space="preserve">5-ti pracovních dní </w:t>
      </w:r>
      <w:r>
        <w:rPr>
          <w:rStyle w:val="CharStyle3"/>
        </w:rPr>
        <w:t>ode dne účinnosti příslušné dílčí kupní smlouvy, nebude-li dohodnuto jinak. Tento závazek se bude považovat za splněný po předání a převzetí příslušného zboží, formou písemného předávacího protokolu. Místem dodání je centrální sklad v sídle zadavatele.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6" w:lineRule="auto"/>
        <w:ind w:left="400" w:right="0" w:hanging="400"/>
        <w:jc w:val="both"/>
      </w:pPr>
      <w:r>
        <w:rPr>
          <w:rStyle w:val="CharStyle3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6" w:lineRule="auto"/>
        <w:ind w:left="400" w:right="0" w:hanging="400"/>
        <w:jc w:val="both"/>
      </w:pPr>
      <w:r>
        <w:rPr>
          <w:rStyle w:val="CharStyle3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76" w:lineRule="auto"/>
        <w:ind w:left="400" w:right="0" w:hanging="400"/>
        <w:jc w:val="both"/>
      </w:pPr>
      <w:r>
        <w:rPr>
          <w:rStyle w:val="CharStyle3"/>
        </w:rPr>
        <w:t>Kupující se zavazuje zaplatit prodávajícímu za předmět koupě a prodeje podle čl. 1 smlouvy kupní cenu, která je součinem počtu jednotek zboží podle čl. 1 této smlouvy a jednotkových cen tohoto zboží dle přílohy č. 1 této smlouvy. Součástí těchto cen jsou veškeré náklady prodávajícího na splnění jeho závazku k dodání zboží podle této smlouvy. Výše uvedené ceny se prodávající zavazuje garantovat po dobu podle čl. 20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 xml:space="preserve">Kupní cena podle či.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Faktura/daňový doklad bude doručena elektronicky na email: </w:t>
      </w:r>
      <w:r>
        <w:rPr>
          <w:rStyle w:val="CharStyle3"/>
          <w:spacing w:val="2"/>
          <w:u w:val="single"/>
          <w:shd w:val="clear" w:color="auto" w:fill="000000"/>
        </w:rPr>
        <w:t>...</w:t>
      </w:r>
      <w:r>
        <w:rPr>
          <w:rStyle w:val="CharStyle3"/>
          <w:spacing w:val="3"/>
          <w:u w:val="single"/>
          <w:shd w:val="clear" w:color="auto" w:fill="000000"/>
        </w:rPr>
        <w:t>............</w:t>
      </w:r>
      <w:r>
        <w:rPr>
          <w:rStyle w:val="CharStyle3"/>
          <w:u w:val="single"/>
          <w:shd w:val="clear" w:color="auto" w:fill="000000"/>
        </w:rPr>
        <w:t>​</w:t>
      </w:r>
      <w:r>
        <w:rPr>
          <w:rStyle w:val="CharStyle3"/>
          <w:spacing w:val="5"/>
          <w:u w:val="single"/>
          <w:shd w:val="clear" w:color="auto" w:fill="000000"/>
        </w:rPr>
        <w:t>....</w:t>
      </w:r>
      <w:r>
        <w:rPr>
          <w:rStyle w:val="CharStyle3"/>
          <w:spacing w:val="1"/>
          <w:u w:val="single"/>
          <w:shd w:val="clear" w:color="auto" w:fill="000000"/>
        </w:rPr>
        <w:t>..</w:t>
      </w:r>
      <w:r>
        <w:rPr>
          <w:rStyle w:val="CharStyle3"/>
          <w:spacing w:val="2"/>
          <w:u w:val="single"/>
          <w:shd w:val="clear" w:color="auto" w:fill="000000"/>
        </w:rPr>
        <w:t>.............</w:t>
      </w:r>
      <w:r>
        <w:rPr>
          <w:rStyle w:val="CharStyle3"/>
          <w:color w:val="7F9DCF"/>
          <w:u w:val="single"/>
        </w:rPr>
        <w:t xml:space="preserve"> </w:t>
      </w:r>
      <w:r>
        <w:rPr>
          <w:rStyle w:val="CharStyle3"/>
          <w:shd w:val="clear" w:color="auto" w:fill="000000"/>
        </w:rPr>
        <w:t>​...</w:t>
      </w:r>
      <w:r>
        <w:rPr>
          <w:rStyle w:val="CharStyle3"/>
          <w:u w:val="single"/>
          <w:shd w:val="clear" w:color="auto" w:fill="000000"/>
        </w:rPr>
        <w:t>​</w:t>
      </w:r>
      <w:r>
        <w:rPr>
          <w:rStyle w:val="CharStyle3"/>
          <w:spacing w:val="2"/>
          <w:u w:val="single"/>
          <w:shd w:val="clear" w:color="auto" w:fill="000000"/>
        </w:rPr>
        <w:t>..........</w:t>
      </w:r>
      <w:r>
        <w:rPr>
          <w:rStyle w:val="CharStyle3"/>
          <w:spacing w:val="3"/>
          <w:u w:val="single"/>
          <w:shd w:val="clear" w:color="auto" w:fill="000000"/>
        </w:rPr>
        <w:t>...</w:t>
      </w:r>
      <w:r>
        <w:rPr>
          <w:rStyle w:val="CharStyle3"/>
          <w:u w:val="single"/>
          <w:shd w:val="clear" w:color="auto" w:fill="000000"/>
        </w:rPr>
        <w:t>​</w:t>
      </w:r>
      <w:r>
        <w:rPr>
          <w:rStyle w:val="CharStyle3"/>
          <w:spacing w:val="5"/>
          <w:u w:val="single"/>
          <w:shd w:val="clear" w:color="auto" w:fill="000000"/>
        </w:rPr>
        <w:t>....</w:t>
      </w:r>
      <w:r>
        <w:rPr>
          <w:rStyle w:val="CharStyle3"/>
          <w:spacing w:val="1"/>
          <w:u w:val="single"/>
          <w:shd w:val="clear" w:color="auto" w:fill="000000"/>
        </w:rPr>
        <w:t>..</w:t>
      </w:r>
      <w:r>
        <w:rPr>
          <w:rStyle w:val="CharStyle3"/>
          <w:spacing w:val="2"/>
          <w:u w:val="single"/>
          <w:shd w:val="clear" w:color="auto" w:fill="000000"/>
        </w:rPr>
        <w:t>.............</w:t>
      </w:r>
      <w:r>
        <w:rPr>
          <w:rStyle w:val="CharStyle3"/>
          <w:shd w:val="clear" w:color="auto" w:fill="000000"/>
        </w:rPr>
        <w:t>.</w:t>
      </w:r>
      <w:r>
        <w:rPr>
          <w:rStyle w:val="CharStyle3"/>
          <w:color w:val="7F9DCF"/>
        </w:rPr>
        <w:t xml:space="preserve"> </w:t>
      </w:r>
      <w:r>
        <w:rPr>
          <w:rStyle w:val="CharStyle3"/>
        </w:rPr>
        <w:t xml:space="preserve">Na faktuře/daňovém dokladu musí být mimo jiné vždy uvedeno toto číslo veřejné zakázky, ke které se faktura vztahuje: </w:t>
      </w:r>
      <w:r>
        <w:rPr>
          <w:rStyle w:val="CharStyle3"/>
          <w:b/>
          <w:bCs/>
        </w:rPr>
        <w:t xml:space="preserve">P23V00003048. </w:t>
      </w:r>
      <w:r>
        <w:rPr>
          <w:rStyle w:val="CharStyle3"/>
        </w:rPr>
        <w:t>Součástí faktury bude rovněž kopie podepsaného předávacího protokolu dle čl. 4 této smlouvy. 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S převodem zboží je podle čl. 1 této smlouvy spojena záruka za jeho jakost v trvání minimálně 24 měsíců ode dne předání příslušného zboží. V rámci záruky se prodávající zavazuje, že zboží podle čl. 1 této smlouvy bude mít po dobu uvedené záruční lhůty vlastnosti, které jsou stanoveny touto smlouvou, právními předpisy nebo technickými normami nebo jsou u zboží tohoto druhu obvyklé, a že bude po dobu záruční lhůty bezplatně odstraňovat vady, které se na zboží podle čl. 1 této smlouvy vyskytnou, a to ve lhůtě do 3 pracovních dnů od doručení příslušné písemné nebo e-mailové reklamace kupujícího, pokud nebude dohodnuto jinak. Vzhledem k povaze zboží podle čl. 1 této smlouvy lze přitom odstranění vady provést jen výměnou vadného zboží za nové bezvadné.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6" w:lineRule="auto"/>
        <w:ind w:left="400" w:right="0" w:hanging="400"/>
        <w:jc w:val="both"/>
      </w:pPr>
      <w:r>
        <w:rPr>
          <w:rStyle w:val="CharStyle3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Pro případ prodlení se splněním závazku prodávajícího k dodání zboží ve lhůtě podle čl. 4 této smlouvy se prodávající zavazuje platit kupujícímu smluvní pokutu ve výši 0,1 % z kupní ceny tohoto zboží podle čl. 7 této smlouvy za každý započatý den tohoto prodlení. Pro případ prodlení s odstraněním vady ve lhůtě podle čl. 9 této smlouvy se prodávající zavazuje platit kupujícímu smluvní pokutu ve výši 0,1% z kupní ceny reklamovaného zboží za každý den tohoto prodlení.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76" w:lineRule="auto"/>
        <w:ind w:left="400" w:right="0" w:hanging="400"/>
        <w:jc w:val="both"/>
      </w:pPr>
      <w:r>
        <w:rPr>
          <w:rStyle w:val="CharStyle3"/>
        </w:rPr>
        <w:t>Pro případ prodlení se splněním jeho závazku k dodání zboží ve lhůtě podle čl. 4 této smlouvy o více, než 1 týden nebo pro případ výskytu neodstranitelné vady resp. výskytu 3 a více vad, a to</w:t>
        <w:br w:type="page"/>
      </w:r>
      <w:r>
        <w:rPr>
          <w:rStyle w:val="CharStyle3"/>
        </w:rPr>
        <w:t>i postupně, je kupující oprávněn odstoupit od jednotlivé dílčí kupní smlouvy i od této smlouvy s účinky ex tuno.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Pro případ prodlení kupujícího se zaplacením kupní ceny nebo její části ve lhůtě podle čl. 8 této smlouvy o víc, než 2 týdny, je prodávající oprávněn od jednotlivé dílčí kupní smlouvy i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76" w:lineRule="auto"/>
        <w:ind w:left="400" w:right="0" w:hanging="40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6" w:lineRule="auto"/>
        <w:ind w:left="400" w:right="0" w:hanging="40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6" w:lineRule="auto"/>
        <w:ind w:left="400" w:right="0" w:hanging="400"/>
        <w:jc w:val="both"/>
      </w:pPr>
      <w:r>
        <w:rPr>
          <w:rStyle w:val="CharStyle3"/>
        </w:rPr>
        <w:t xml:space="preserve">Tato smlouva nabývá účinnosti po jejím podpisu oběma smluvními stranami dnem jejího uveřejnění v Registru smluv, nejdříve však </w:t>
      </w:r>
      <w:r>
        <w:rPr>
          <w:rStyle w:val="CharStyle3"/>
          <w:b/>
          <w:bCs/>
        </w:rPr>
        <w:t>01. 01. 2024.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0" w:right="0" w:firstLine="0"/>
        <w:jc w:val="both"/>
      </w:pPr>
      <w:r>
        <w:rPr>
          <w:rStyle w:val="CharStyle3"/>
        </w:rPr>
        <w:t xml:space="preserve">Tato smlouva se uzavírá na dobu určitou, a to do </w:t>
      </w:r>
      <w:r>
        <w:rPr>
          <w:rStyle w:val="CharStyle3"/>
          <w:b/>
          <w:bCs/>
        </w:rPr>
        <w:t>31. 12. 2024.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580" w:line="286" w:lineRule="auto"/>
        <w:ind w:left="400" w:right="0" w:hanging="40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26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12700</wp:posOffset>
                </wp:positionV>
                <wp:extent cx="1112520" cy="14922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252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168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.350000000000009pt;margin-top:1.pt;width:87.600000000000009pt;height:11.7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68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3"/>
        </w:rPr>
        <w:t>V Hradci Králové dne</w:t>
      </w:r>
    </w:p>
    <w:p>
      <w:pPr>
        <w:widowControl w:val="0"/>
        <w:spacing w:line="1" w:lineRule="exac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618" w:right="1519" w:bottom="1425" w:left="1467" w:header="0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52730" distB="0" distL="0" distR="0" simplePos="0" relativeHeight="125829380" behindDoc="0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252730</wp:posOffset>
                </wp:positionV>
                <wp:extent cx="1228090" cy="58547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8090" cy="585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5"/>
                                <w:spacing w:val="2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5"/>
                                <w:spacing w:val="3"/>
                                <w:shd w:val="clear" w:color="auto" w:fill="000000"/>
                              </w:rPr>
                              <w:t>.</w:t>
                            </w:r>
                            <w:bookmarkStart w:id="0" w:name="bookmark0"/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7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5"/>
                                <w:spacing w:val="8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5"/>
                              </w:rPr>
                              <w:br/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​..........</w:t>
                            </w: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</w:rPr>
                              <w:t>.........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1.450000000000003pt;margin-top:19.900000000000002pt;width:96.700000000000003pt;height:46.100000000000001pt;z-index:-125829373;mso-wrap-distance-left:0;mso-wrap-distance-top:19.900000000000002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rStyle w:val="CharStyle5"/>
                          <w:spacing w:val="2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5"/>
                          <w:spacing w:val="3"/>
                          <w:shd w:val="clear" w:color="auto" w:fill="000000"/>
                        </w:rPr>
                        <w:t>.</w:t>
                      </w:r>
                      <w:bookmarkStart w:id="0" w:name="bookmark0"/>
                      <w:r>
                        <w:rPr>
                          <w:rStyle w:val="CharStyle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spacing w:val="7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5"/>
                          <w:spacing w:val="8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5"/>
                        </w:rPr>
                        <w:br/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​..........</w:t>
                      </w:r>
                      <w:r>
                        <w:rPr>
                          <w:rStyle w:val="CharStyle5"/>
                          <w:spacing w:val="1"/>
                          <w:shd w:val="clear" w:color="auto" w:fill="000000"/>
                        </w:rPr>
                        <w:t>.........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47015" distB="3175" distL="0" distR="0" simplePos="0" relativeHeight="125829382" behindDoc="0" locked="0" layoutInCell="1" allowOverlap="1">
                <wp:simplePos x="0" y="0"/>
                <wp:positionH relativeFrom="page">
                  <wp:posOffset>2221230</wp:posOffset>
                </wp:positionH>
                <wp:positionV relativeFrom="paragraph">
                  <wp:posOffset>247015</wp:posOffset>
                </wp:positionV>
                <wp:extent cx="1295400" cy="58801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95400" cy="588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13"/>
                                <w:spacing w:val="1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1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3"/>
                                <w:spacing w:val="2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13"/>
                                <w:spacing w:val="3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1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3"/>
                                <w:spacing w:val="1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13"/>
                                <w:spacing w:val="2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3"/>
                              </w:rPr>
                              <w:t xml:space="preserve"> </w:t>
                            </w:r>
                            <w:r>
                              <w:rPr>
                                <w:rStyle w:val="CharStyle1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3"/>
                                <w:spacing w:val="2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13"/>
                                <w:spacing w:val="3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13"/>
                                <w:shd w:val="clear" w:color="auto" w:fill="000000"/>
                              </w:rPr>
                              <w:t>​............</w:t>
                            </w:r>
                            <w:r>
                              <w:rPr>
                                <w:rStyle w:val="CharStyle13"/>
                                <w:spacing w:val="1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13"/>
                              </w:rPr>
                              <w:t xml:space="preserve"> </w:t>
                            </w:r>
                            <w:r>
                              <w:rPr>
                                <w:rStyle w:val="CharStyle1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3"/>
                                <w:spacing w:val="2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13"/>
                                <w:spacing w:val="3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13"/>
                                <w:shd w:val="clear" w:color="auto" w:fill="000000"/>
                              </w:rPr>
                              <w:t>​..........</w:t>
                            </w:r>
                            <w:r>
                              <w:rPr>
                                <w:rStyle w:val="CharStyle13"/>
                                <w:spacing w:val="1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13"/>
                              </w:rPr>
                              <w:t xml:space="preserve"> </w:t>
                            </w:r>
                            <w:r>
                              <w:rPr>
                                <w:rStyle w:val="CharStyle13"/>
                                <w:shd w:val="clear" w:color="auto" w:fill="000000"/>
                              </w:rPr>
                              <w:t>​.........</w:t>
                            </w:r>
                            <w:r>
                              <w:rPr>
                                <w:rStyle w:val="CharStyle13"/>
                                <w:spacing w:val="1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1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3"/>
                                <w:spacing w:val="2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13"/>
                                <w:spacing w:val="3"/>
                                <w:shd w:val="clear" w:color="auto" w:fill="000000"/>
                              </w:rPr>
                              <w:t>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74.90000000000001pt;margin-top:19.449999999999999pt;width:102.pt;height:46.300000000000004pt;z-index:-125829371;mso-wrap-distance-left:0;mso-wrap-distance-top:19.449999999999999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13"/>
                          <w:spacing w:val="1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1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3"/>
                          <w:spacing w:val="2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13"/>
                          <w:spacing w:val="3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1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3"/>
                          <w:spacing w:val="1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13"/>
                          <w:spacing w:val="2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3"/>
                        </w:rPr>
                        <w:t xml:space="preserve"> </w:t>
                      </w:r>
                      <w:r>
                        <w:rPr>
                          <w:rStyle w:val="CharStyle1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3"/>
                          <w:spacing w:val="2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3"/>
                          <w:spacing w:val="3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13"/>
                          <w:shd w:val="clear" w:color="auto" w:fill="000000"/>
                        </w:rPr>
                        <w:t>​............</w:t>
                      </w:r>
                      <w:r>
                        <w:rPr>
                          <w:rStyle w:val="CharStyle13"/>
                          <w:spacing w:val="1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13"/>
                        </w:rPr>
                        <w:t xml:space="preserve"> </w:t>
                      </w:r>
                      <w:r>
                        <w:rPr>
                          <w:rStyle w:val="CharStyle1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3"/>
                          <w:spacing w:val="2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3"/>
                          <w:spacing w:val="3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13"/>
                          <w:shd w:val="clear" w:color="auto" w:fill="000000"/>
                        </w:rPr>
                        <w:t>​..........</w:t>
                      </w:r>
                      <w:r>
                        <w:rPr>
                          <w:rStyle w:val="CharStyle13"/>
                          <w:spacing w:val="1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13"/>
                        </w:rPr>
                        <w:t xml:space="preserve"> </w:t>
                      </w:r>
                      <w:r>
                        <w:rPr>
                          <w:rStyle w:val="CharStyle13"/>
                          <w:shd w:val="clear" w:color="auto" w:fill="000000"/>
                        </w:rPr>
                        <w:t>​.........</w:t>
                      </w:r>
                      <w:r>
                        <w:rPr>
                          <w:rStyle w:val="CharStyle13"/>
                          <w:spacing w:val="1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1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3"/>
                          <w:spacing w:val="2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13"/>
                          <w:spacing w:val="3"/>
                          <w:shd w:val="clear" w:color="auto" w:fill="000000"/>
                        </w:rPr>
                        <w:t>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28600" distB="350520" distL="0" distR="0" simplePos="0" relativeHeight="125829384" behindDoc="0" locked="0" layoutInCell="1" allowOverlap="1">
                <wp:simplePos x="0" y="0"/>
                <wp:positionH relativeFrom="page">
                  <wp:posOffset>4241800</wp:posOffset>
                </wp:positionH>
                <wp:positionV relativeFrom="paragraph">
                  <wp:posOffset>228600</wp:posOffset>
                </wp:positionV>
                <wp:extent cx="643255" cy="25908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3255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5"/>
                                <w:spacing w:val="1"/>
                                <w:shd w:val="clear" w:color="auto" w:fill="000000"/>
                              </w:rPr>
                              <w:t>....</w:t>
                            </w:r>
                            <w:bookmarkStart w:id="2" w:name="bookmark2"/>
                            <w:bookmarkEnd w:id="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34.pt;margin-top:18.pt;width:50.649999999999999pt;height:20.400000000000002pt;z-index:-125829369;mso-wrap-distance-left:0;mso-wrap-distance-top:18.pt;mso-wrap-distance-right:0;mso-wrap-distance-bottom:27.60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5"/>
                          <w:spacing w:val="1"/>
                          <w:shd w:val="clear" w:color="auto" w:fill="000000"/>
                        </w:rPr>
                        <w:t>....</w:t>
                      </w:r>
                      <w:bookmarkStart w:id="2" w:name="bookmark2"/>
                      <w:bookmarkEnd w:id="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43840" distB="328930" distL="0" distR="0" simplePos="0" relativeHeight="125829386" behindDoc="0" locked="0" layoutInCell="1" allowOverlap="1">
                <wp:simplePos x="0" y="0"/>
                <wp:positionH relativeFrom="page">
                  <wp:posOffset>5120005</wp:posOffset>
                </wp:positionH>
                <wp:positionV relativeFrom="paragraph">
                  <wp:posOffset>243840</wp:posOffset>
                </wp:positionV>
                <wp:extent cx="875030" cy="26543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5030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9"/>
                                <w:spacing w:val="1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19"/>
                                <w:spacing w:val="2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9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9"/>
                                <w:spacing w:val="2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9"/>
                                <w:spacing w:val="10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9"/>
                              </w:rPr>
                              <w:t xml:space="preserve"> </w:t>
                            </w:r>
                            <w:r>
                              <w:rPr>
                                <w:rStyle w:val="CharStyle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9"/>
                                <w:spacing w:val="3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9"/>
                                <w:spacing w:val="4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9"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9"/>
                                <w:spacing w:val="2"/>
                                <w:shd w:val="clear" w:color="auto" w:fill="000000"/>
                              </w:rPr>
                              <w:t>.............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03.15000000000003pt;margin-top:19.199999999999999pt;width:68.900000000000006pt;height:20.900000000000002pt;z-index:-125829367;mso-wrap-distance-left:0;mso-wrap-distance-top:19.199999999999999pt;mso-wrap-distance-right:0;mso-wrap-distance-bottom:25.900000000000002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8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9"/>
                          <w:spacing w:val="1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19"/>
                          <w:spacing w:val="2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9"/>
                          <w:spacing w:val="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9"/>
                          <w:spacing w:val="2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1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9"/>
                          <w:spacing w:val="10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9"/>
                        </w:rPr>
                        <w:t xml:space="preserve"> </w:t>
                      </w:r>
                      <w:r>
                        <w:rPr>
                          <w:rStyle w:val="CharStyle1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9"/>
                          <w:spacing w:val="3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9"/>
                          <w:spacing w:val="4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1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9"/>
                          <w:spacing w:val="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9"/>
                          <w:spacing w:val="2"/>
                          <w:shd w:val="clear" w:color="auto" w:fill="000000"/>
                        </w:rPr>
                        <w:t>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11810" distB="58420" distL="0" distR="0" simplePos="0" relativeHeight="125829388" behindDoc="0" locked="0" layoutInCell="1" allowOverlap="1">
                <wp:simplePos x="0" y="0"/>
                <wp:positionH relativeFrom="page">
                  <wp:posOffset>4241800</wp:posOffset>
                </wp:positionH>
                <wp:positionV relativeFrom="paragraph">
                  <wp:posOffset>511810</wp:posOffset>
                </wp:positionV>
                <wp:extent cx="1667510" cy="26797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67510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4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9"/>
                                <w:shd w:val="clear" w:color="auto" w:fill="000000"/>
                              </w:rPr>
                              <w:t>....​....​</w:t>
                            </w:r>
                            <w:r>
                              <w:rPr>
                                <w:rStyle w:val="CharStyle19"/>
                                <w:spacing w:val="2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9"/>
                                <w:spacing w:val="3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9"/>
                                <w:spacing w:val="-5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9"/>
                                <w:spacing w:val="16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9"/>
                                <w:spacing w:val="17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9"/>
                                <w:spacing w:val="1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19"/>
                                <w:spacing w:val="2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9"/>
                                <w:spacing w:val="2"/>
                                <w:shd w:val="clear" w:color="auto" w:fill="000000"/>
                              </w:rPr>
                              <w:t>.................</w:t>
                            </w:r>
                            <w:r>
                              <w:rPr>
                                <w:rStyle w:val="CharStyle19"/>
                              </w:rPr>
                              <w:t xml:space="preserve"> </w:t>
                            </w:r>
                            <w:r>
                              <w:rPr>
                                <w:rStyle w:val="CharStyle19"/>
                                <w:sz w:val="34"/>
                                <w:szCs w:val="34"/>
                                <w:shd w:val="clear" w:color="auto" w:fill="000000"/>
                              </w:rPr>
                              <w:t>​..</w:t>
                            </w:r>
                            <w:r>
                              <w:rPr>
                                <w:rStyle w:val="CharStyle19"/>
                                <w:spacing w:val="1"/>
                                <w:sz w:val="34"/>
                                <w:szCs w:val="34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9"/>
                                <w:sz w:val="34"/>
                                <w:szCs w:val="34"/>
                                <w:shd w:val="clear" w:color="auto" w:fill="000000"/>
                              </w:rPr>
                              <w:t>​..​..</w:t>
                            </w:r>
                            <w:r>
                              <w:rPr>
                                <w:rStyle w:val="CharStyle19"/>
                                <w:spacing w:val="1"/>
                                <w:sz w:val="34"/>
                                <w:szCs w:val="34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9"/>
                                <w:sz w:val="34"/>
                                <w:szCs w:val="34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9"/>
                                <w:spacing w:val="19"/>
                                <w:sz w:val="34"/>
                                <w:szCs w:val="34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9"/>
                                <w:spacing w:val="20"/>
                                <w:sz w:val="34"/>
                                <w:szCs w:val="34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9"/>
                                <w:sz w:val="34"/>
                                <w:szCs w:val="34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9"/>
                                <w:spacing w:val="19"/>
                                <w:sz w:val="34"/>
                                <w:szCs w:val="34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9"/>
                                <w:spacing w:val="20"/>
                                <w:sz w:val="34"/>
                                <w:szCs w:val="34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9"/>
                                <w:sz w:val="34"/>
                                <w:szCs w:val="34"/>
                                <w:shd w:val="clear" w:color="auto" w:fill="000000"/>
                              </w:rPr>
                              <w:t>​..</w:t>
                            </w:r>
                            <w:r>
                              <w:rPr>
                                <w:rStyle w:val="CharStyle19"/>
                                <w:spacing w:val="1"/>
                                <w:sz w:val="34"/>
                                <w:szCs w:val="34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9"/>
                                <w:sz w:val="34"/>
                                <w:szCs w:val="34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9"/>
                                <w:spacing w:val="13"/>
                                <w:sz w:val="34"/>
                                <w:szCs w:val="34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9"/>
                                <w:sz w:val="34"/>
                                <w:szCs w:val="34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9"/>
                                <w:spacing w:val="20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9"/>
                                <w:spacing w:val="2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9"/>
                                <w:spacing w:val="4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9"/>
                                <w:spacing w:val="5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19"/>
                              </w:rPr>
                              <w:t xml:space="preserve"> +02'00'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34.pt;margin-top:40.300000000000004pt;width:131.30000000000001pt;height:21.100000000000001pt;z-index:-125829365;mso-wrap-distance-left:0;mso-wrap-distance-top:40.300000000000004pt;mso-wrap-distance-right:0;mso-wrap-distance-bottom:4.6000000000000005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4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9"/>
                          <w:shd w:val="clear" w:color="auto" w:fill="000000"/>
                        </w:rPr>
                        <w:t>....​....​</w:t>
                      </w:r>
                      <w:r>
                        <w:rPr>
                          <w:rStyle w:val="CharStyle19"/>
                          <w:spacing w:val="2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9"/>
                          <w:spacing w:val="3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9"/>
                          <w:spacing w:val="-5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9"/>
                          <w:spacing w:val="16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9"/>
                          <w:spacing w:val="17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9"/>
                          <w:spacing w:val="1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9"/>
                          <w:spacing w:val="2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1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9"/>
                          <w:spacing w:val="2"/>
                          <w:shd w:val="clear" w:color="auto" w:fill="000000"/>
                        </w:rPr>
                        <w:t>.................</w:t>
                      </w:r>
                      <w:r>
                        <w:rPr>
                          <w:rStyle w:val="CharStyle19"/>
                        </w:rPr>
                        <w:t xml:space="preserve"> </w:t>
                      </w:r>
                      <w:r>
                        <w:rPr>
                          <w:rStyle w:val="CharStyle19"/>
                          <w:sz w:val="34"/>
                          <w:szCs w:val="34"/>
                          <w:shd w:val="clear" w:color="auto" w:fill="000000"/>
                        </w:rPr>
                        <w:t>​..</w:t>
                      </w:r>
                      <w:r>
                        <w:rPr>
                          <w:rStyle w:val="CharStyle19"/>
                          <w:spacing w:val="1"/>
                          <w:sz w:val="34"/>
                          <w:szCs w:val="34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9"/>
                          <w:sz w:val="34"/>
                          <w:szCs w:val="34"/>
                          <w:shd w:val="clear" w:color="auto" w:fill="000000"/>
                        </w:rPr>
                        <w:t>​..​..</w:t>
                      </w:r>
                      <w:r>
                        <w:rPr>
                          <w:rStyle w:val="CharStyle19"/>
                          <w:spacing w:val="1"/>
                          <w:sz w:val="34"/>
                          <w:szCs w:val="34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9"/>
                          <w:sz w:val="34"/>
                          <w:szCs w:val="34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9"/>
                          <w:spacing w:val="19"/>
                          <w:sz w:val="34"/>
                          <w:szCs w:val="34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9"/>
                          <w:spacing w:val="20"/>
                          <w:sz w:val="34"/>
                          <w:szCs w:val="34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9"/>
                          <w:sz w:val="34"/>
                          <w:szCs w:val="34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9"/>
                          <w:spacing w:val="19"/>
                          <w:sz w:val="34"/>
                          <w:szCs w:val="34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9"/>
                          <w:spacing w:val="20"/>
                          <w:sz w:val="34"/>
                          <w:szCs w:val="34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9"/>
                          <w:sz w:val="34"/>
                          <w:szCs w:val="34"/>
                          <w:shd w:val="clear" w:color="auto" w:fill="000000"/>
                        </w:rPr>
                        <w:t>​..</w:t>
                      </w:r>
                      <w:r>
                        <w:rPr>
                          <w:rStyle w:val="CharStyle19"/>
                          <w:spacing w:val="1"/>
                          <w:sz w:val="34"/>
                          <w:szCs w:val="34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9"/>
                          <w:sz w:val="34"/>
                          <w:szCs w:val="34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9"/>
                          <w:spacing w:val="13"/>
                          <w:sz w:val="34"/>
                          <w:szCs w:val="34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9"/>
                          <w:sz w:val="34"/>
                          <w:szCs w:val="34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9"/>
                          <w:spacing w:val="20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9"/>
                          <w:spacing w:val="2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9"/>
                          <w:spacing w:val="4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9"/>
                          <w:spacing w:val="5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19"/>
                        </w:rPr>
                        <w:t xml:space="preserve"> +02'00'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9" w:lineRule="exact"/>
        <w:rPr>
          <w:sz w:val="2"/>
          <w:szCs w:val="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97" w:right="0" w:bottom="2263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4214495</wp:posOffset>
                </wp:positionH>
                <wp:positionV relativeFrom="paragraph">
                  <wp:posOffset>12700</wp:posOffset>
                </wp:positionV>
                <wp:extent cx="917575" cy="438785"/>
                <wp:wrapSquare wrapText="lef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7575" cy="4387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Martin Hlaváček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Jednatel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31.85000000000002pt;margin-top:1.pt;width:72.25pt;height:34.550000000000004pt;z-index:-1258293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Martin Hlaváček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Prodávající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0" w:right="0" w:firstLine="0"/>
        <w:jc w:val="left"/>
      </w:pPr>
      <w:r>
        <w:rPr>
          <w:rStyle w:val="CharStyle3"/>
        </w:rPr>
        <w:t>MUDr. Hana Albrechtová ředitelka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340"/>
        <w:jc w:val="left"/>
      </w:pPr>
      <w:r>
        <w:rPr>
          <w:rStyle w:val="CharStyle3"/>
          <w:b/>
          <w:bCs/>
          <w:i/>
          <w:iCs/>
        </w:rPr>
        <w:t>kupující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34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97" w:right="836" w:bottom="2263" w:left="1060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>Příloha č. 1 Specifikace, Ceník</w:t>
      </w:r>
    </w:p>
    <w:p>
      <w:pPr>
        <w:pStyle w:val="Style43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bookmarkStart w:id="8" w:name="bookmark8"/>
      <w:r>
        <w:rPr>
          <w:rStyle w:val="CharStyle44"/>
          <w:b/>
          <w:bCs/>
        </w:rPr>
        <w:t>Příloha č. 1 Rámcové kupní smlouvy</w:t>
      </w:r>
      <w:bookmarkEnd w:id="8"/>
    </w:p>
    <w:p>
      <w:pPr>
        <w:pStyle w:val="Style43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580"/>
        <w:jc w:val="left"/>
      </w:pPr>
      <w:bookmarkStart w:id="10" w:name="bookmark10"/>
      <w:r>
        <w:rPr>
          <w:rStyle w:val="CharStyle44"/>
          <w:b/>
          <w:bCs/>
        </w:rPr>
        <w:t>SPECIFIKACE</w:t>
      </w:r>
      <w:bookmarkEnd w:id="10"/>
    </w:p>
    <w:tbl>
      <w:tblPr>
        <w:tblOverlap w:val="never"/>
        <w:jc w:val="center"/>
        <w:tblLayout w:type="fixed"/>
      </w:tblPr>
      <w:tblGrid>
        <w:gridCol w:w="490"/>
        <w:gridCol w:w="1507"/>
        <w:gridCol w:w="4214"/>
        <w:gridCol w:w="2189"/>
        <w:gridCol w:w="1603"/>
      </w:tblGrid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rStyle w:val="CharStyle51"/>
                <w:b/>
                <w:bCs/>
                <w:sz w:val="17"/>
                <w:szCs w:val="17"/>
              </w:rPr>
              <w:t>p.</w:t>
            </w:r>
          </w:p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rStyle w:val="CharStyle51"/>
                <w:b/>
                <w:bCs/>
                <w:sz w:val="17"/>
                <w:szCs w:val="17"/>
              </w:rPr>
              <w:t>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51"/>
                <w:b/>
                <w:bCs/>
                <w:sz w:val="17"/>
                <w:szCs w:val="17"/>
              </w:rPr>
              <w:t>Název zboží, specifikace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51"/>
                <w:b/>
                <w:bCs/>
                <w:sz w:val="17"/>
                <w:szCs w:val="17"/>
              </w:rPr>
              <w:t>Specifikace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51"/>
                <w:b/>
                <w:bCs/>
                <w:sz w:val="17"/>
                <w:szCs w:val="17"/>
              </w:rPr>
              <w:t>Výrobce, typ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51"/>
                <w:b/>
                <w:bCs/>
                <w:sz w:val="17"/>
                <w:szCs w:val="17"/>
              </w:rPr>
              <w:t>KÓD VZP (ZUM)</w:t>
            </w:r>
          </w:p>
        </w:tc>
      </w:tr>
      <w:tr>
        <w:trPr>
          <w:trHeight w:val="10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rStyle w:val="CharStyle51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51"/>
                <w:b/>
                <w:bCs/>
                <w:sz w:val="17"/>
                <w:szCs w:val="17"/>
              </w:rPr>
              <w:t>Intraoseální vrtačka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51"/>
                <w:sz w:val="17"/>
                <w:szCs w:val="17"/>
              </w:rPr>
              <w:t>Kompletní sada intraoseální vratčky typ EZ IO, obsahující tělo vrtačky s akumulátorem, uložení v držáku v pouzdře. Pouzdro na suchý zip, s dvojitým členěním, vnitřním držákem a gumičkovými úchyty pro příslušenství.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51"/>
                <w:sz w:val="17"/>
                <w:szCs w:val="17"/>
              </w:rPr>
              <w:t>Teleflex Medical</w:t>
            </w:r>
          </w:p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51"/>
                <w:i/>
                <w:iCs/>
                <w:color w:val="E581A3"/>
                <w:sz w:val="17"/>
                <w:szCs w:val="17"/>
              </w:rPr>
              <w:t>9058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51"/>
                <w:sz w:val="17"/>
                <w:szCs w:val="17"/>
              </w:rPr>
              <w:t>x</w:t>
            </w:r>
          </w:p>
        </w:tc>
      </w:tr>
      <w:tr>
        <w:trPr>
          <w:trHeight w:val="10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rStyle w:val="CharStyle51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51"/>
                <w:b/>
                <w:bCs/>
                <w:sz w:val="17"/>
                <w:szCs w:val="17"/>
              </w:rPr>
              <w:t>Intraoseální jehla - růžová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51"/>
                <w:sz w:val="17"/>
                <w:szCs w:val="17"/>
              </w:rPr>
              <w:t>Intraoseální jehla pro děti (3 - 39kg) k EZ - IO, barva růžová, materiál nerezová ocel/plast, rozměr 15 mm, sterilně baleno po 1 ks, součástí balení také identifikační štítek na ruku pacienta. Včetně fixátoru IO jehly.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51"/>
                <w:sz w:val="17"/>
                <w:szCs w:val="17"/>
              </w:rPr>
              <w:t xml:space="preserve">Teleflex Medical </w:t>
            </w:r>
            <w:r>
              <w:rPr>
                <w:rStyle w:val="CharStyle51"/>
                <w:i/>
                <w:iCs/>
                <w:color w:val="E581A3"/>
                <w:sz w:val="17"/>
                <w:szCs w:val="17"/>
              </w:rPr>
              <w:t>9018P-EU-005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51"/>
                <w:sz w:val="17"/>
                <w:szCs w:val="17"/>
              </w:rPr>
              <w:t>194805</w:t>
            </w:r>
          </w:p>
        </w:tc>
      </w:tr>
      <w:tr>
        <w:trPr>
          <w:trHeight w:val="10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rStyle w:val="CharStyle51"/>
                <w:sz w:val="17"/>
                <w:szCs w:val="17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51"/>
                <w:b/>
                <w:bCs/>
                <w:sz w:val="17"/>
                <w:szCs w:val="17"/>
              </w:rPr>
              <w:t>Intraoseální jehla - modrá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51"/>
                <w:sz w:val="17"/>
                <w:szCs w:val="17"/>
              </w:rPr>
              <w:t>Intraoseální jehla pro dospělé nad 40 kg k EZ - IO, barva modrá, materiál nerezová ocel/plast, rozměr 25 mm, sterilně baleno po 1 ks, součástí balení také identifikační štítek na ruku pacienta. Včetně fixátoru IO jehly.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51"/>
                <w:sz w:val="17"/>
                <w:szCs w:val="17"/>
              </w:rPr>
              <w:t xml:space="preserve">Teleflex Medical </w:t>
            </w:r>
            <w:r>
              <w:rPr>
                <w:rStyle w:val="CharStyle51"/>
                <w:i/>
                <w:iCs/>
                <w:color w:val="E581A3"/>
                <w:sz w:val="17"/>
                <w:szCs w:val="17"/>
              </w:rPr>
              <w:t>9001P-EU-005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51"/>
                <w:sz w:val="17"/>
                <w:szCs w:val="17"/>
              </w:rPr>
              <w:t>194805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rStyle w:val="CharStyle51"/>
                <w:sz w:val="17"/>
                <w:szCs w:val="17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51"/>
                <w:b/>
                <w:bCs/>
                <w:sz w:val="17"/>
                <w:szCs w:val="17"/>
              </w:rPr>
              <w:t>Intraoseální jehla - žlutá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51"/>
                <w:sz w:val="17"/>
                <w:szCs w:val="17"/>
              </w:rPr>
              <w:t>Intraoseální jehla pro obézní pacienty k EZ - IO, barva žlutá, materiál nerezová ocel/plast, rozměr 45 mm, sterilně baleno po 1 ks, součástí balení také identifikační štítek na ruku pacienta. Včetně fixátoru IO jehly.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51"/>
                <w:sz w:val="17"/>
                <w:szCs w:val="17"/>
              </w:rPr>
              <w:t xml:space="preserve">Teleflex Medical </w:t>
            </w:r>
            <w:r>
              <w:rPr>
                <w:rStyle w:val="CharStyle51"/>
                <w:i/>
                <w:iCs/>
                <w:color w:val="E581A3"/>
                <w:sz w:val="17"/>
                <w:szCs w:val="17"/>
              </w:rPr>
              <w:t>9079P-EU-005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51"/>
                <w:sz w:val="17"/>
                <w:szCs w:val="17"/>
              </w:rPr>
              <w:t>194806</w:t>
            </w:r>
          </w:p>
        </w:tc>
      </w:tr>
    </w:tbl>
    <w:p>
      <w:pPr>
        <w:widowControl w:val="0"/>
        <w:spacing w:after="479" w:line="1" w:lineRule="exact"/>
      </w:pPr>
    </w:p>
    <w:p>
      <w:pPr>
        <w:pStyle w:val="Style43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580"/>
        <w:jc w:val="left"/>
      </w:pPr>
      <w:bookmarkStart w:id="12" w:name="bookmark12"/>
      <w:r>
        <w:rPr>
          <w:rStyle w:val="CharStyle44"/>
          <w:b/>
          <w:bCs/>
        </w:rPr>
        <w:t>CENÍK</w:t>
      </w:r>
      <w:bookmarkEnd w:id="12"/>
    </w:p>
    <w:tbl>
      <w:tblPr>
        <w:tblOverlap w:val="never"/>
        <w:jc w:val="center"/>
        <w:tblLayout w:type="fixed"/>
      </w:tblPr>
      <w:tblGrid>
        <w:gridCol w:w="600"/>
        <w:gridCol w:w="2664"/>
        <w:gridCol w:w="902"/>
        <w:gridCol w:w="2530"/>
        <w:gridCol w:w="2765"/>
      </w:tblGrid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51"/>
                <w:b/>
                <w:bCs/>
                <w:sz w:val="17"/>
                <w:szCs w:val="17"/>
              </w:rPr>
              <w:t>P. 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7"/>
                <w:szCs w:val="17"/>
              </w:rPr>
            </w:pPr>
            <w:r>
              <w:rPr>
                <w:rStyle w:val="CharStyle51"/>
                <w:b/>
                <w:bCs/>
                <w:sz w:val="17"/>
                <w:szCs w:val="17"/>
              </w:rPr>
              <w:t>Název zboží, specifikace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51"/>
                <w:b/>
                <w:bCs/>
                <w:sz w:val="17"/>
                <w:szCs w:val="17"/>
              </w:rPr>
              <w:t>Jednotky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51"/>
                <w:b/>
                <w:bCs/>
                <w:sz w:val="17"/>
                <w:szCs w:val="17"/>
              </w:rPr>
              <w:t>Jednotková cena v Kč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51"/>
                <w:b/>
                <w:bCs/>
                <w:sz w:val="17"/>
                <w:szCs w:val="17"/>
              </w:rPr>
              <w:t>Jednotková cena v Kč včetně DPH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rStyle w:val="CharStyle51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51"/>
                <w:b/>
                <w:bCs/>
                <w:sz w:val="17"/>
                <w:szCs w:val="17"/>
              </w:rPr>
              <w:t>Intraoseální vrtačka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51"/>
                <w:sz w:val="17"/>
                <w:szCs w:val="17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51"/>
                <w:sz w:val="17"/>
                <w:szCs w:val="17"/>
              </w:rPr>
              <w:t>7 355,00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51"/>
                <w:sz w:val="17"/>
                <w:szCs w:val="17"/>
              </w:rPr>
              <w:t>8 899,55 Kč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rStyle w:val="CharStyle51"/>
                <w:i/>
                <w:iCs/>
                <w:sz w:val="17"/>
                <w:szCs w:val="17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51"/>
                <w:b/>
                <w:bCs/>
                <w:sz w:val="17"/>
                <w:szCs w:val="17"/>
              </w:rPr>
              <w:t>Intraoseální jehla - růžová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51"/>
                <w:sz w:val="17"/>
                <w:szCs w:val="17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51"/>
                <w:sz w:val="17"/>
                <w:szCs w:val="17"/>
              </w:rPr>
              <w:t>2 220,00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51"/>
                <w:i/>
                <w:iCs/>
                <w:sz w:val="17"/>
                <w:szCs w:val="17"/>
              </w:rPr>
              <w:t>2</w:t>
            </w:r>
            <w:r>
              <w:rPr>
                <w:rStyle w:val="CharStyle51"/>
                <w:sz w:val="17"/>
                <w:szCs w:val="17"/>
              </w:rPr>
              <w:t xml:space="preserve"> 686,20 Kč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rStyle w:val="CharStyle51"/>
                <w:sz w:val="17"/>
                <w:szCs w:val="17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51"/>
                <w:b/>
                <w:bCs/>
                <w:sz w:val="17"/>
                <w:szCs w:val="17"/>
              </w:rPr>
              <w:t>Intraoseální jehla - modrá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51"/>
                <w:sz w:val="17"/>
                <w:szCs w:val="17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51"/>
                <w:sz w:val="17"/>
                <w:szCs w:val="17"/>
              </w:rPr>
              <w:t>2 220,00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51"/>
                <w:sz w:val="17"/>
                <w:szCs w:val="17"/>
              </w:rPr>
              <w:t>2 686,20 Kč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rStyle w:val="CharStyle51"/>
                <w:sz w:val="17"/>
                <w:szCs w:val="17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51"/>
                <w:b/>
                <w:bCs/>
                <w:sz w:val="17"/>
                <w:szCs w:val="17"/>
              </w:rPr>
              <w:t>Intraoseální jehla - žlutá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51"/>
                <w:sz w:val="17"/>
                <w:szCs w:val="17"/>
              </w:rPr>
              <w:t>ks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51"/>
                <w:sz w:val="17"/>
                <w:szCs w:val="17"/>
              </w:rPr>
              <w:t>2 464,00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51"/>
                <w:sz w:val="17"/>
                <w:szCs w:val="17"/>
              </w:rPr>
              <w:t>2 981,44 Kč</w:t>
            </w:r>
          </w:p>
        </w:tc>
      </w:tr>
    </w:tbl>
    <w:sectPr>
      <w:footerReference w:type="default" r:id="rId7"/>
      <w:footerReference w:type="even" r:id="rId8"/>
      <w:footnotePr>
        <w:pos w:val="pageBottom"/>
        <w:numFmt w:val="decimal"/>
        <w:numRestart w:val="continuous"/>
      </w:footnotePr>
      <w:pgSz w:w="11900" w:h="16840"/>
      <w:pgMar w:top="1397" w:right="836" w:bottom="2263" w:left="1060" w:header="969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1060450</wp:posOffset>
              </wp:positionH>
              <wp:positionV relativeFrom="page">
                <wp:posOffset>10066655</wp:posOffset>
              </wp:positionV>
              <wp:extent cx="2325370" cy="10985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2537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40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\/Z </w:t>
                          </w:r>
                          <w:r>
                            <w:rPr>
                              <w:rStyle w:val="CharStyle40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30- 23 Pomůcky pro intraoseální vstup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83.5pt;margin-top:792.64999999999998pt;width:183.09999999999999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40"/>
                        <w:rFonts w:ascii="Arial" w:eastAsia="Arial" w:hAnsi="Arial" w:cs="Arial"/>
                        <w:sz w:val="17"/>
                        <w:szCs w:val="17"/>
                      </w:rPr>
                      <w:t xml:space="preserve">\/Z </w:t>
                    </w:r>
                    <w:r>
                      <w:rPr>
                        <w:rStyle w:val="CharStyle40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30- 23 Pomůcky pro intraoseální vstup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968375</wp:posOffset>
              </wp:positionH>
              <wp:positionV relativeFrom="page">
                <wp:posOffset>10008870</wp:posOffset>
              </wp:positionV>
              <wp:extent cx="2328545" cy="11303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2854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40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VZ </w:t>
                          </w:r>
                          <w:r>
                            <w:rPr>
                              <w:rStyle w:val="CharStyle40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30- 23 Pomůcky pro intraoseální vstup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6.25pt;margin-top:788.10000000000002pt;width:183.34999999999999pt;height:8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40"/>
                        <w:rFonts w:ascii="Arial" w:eastAsia="Arial" w:hAnsi="Arial" w:cs="Arial"/>
                        <w:sz w:val="17"/>
                        <w:szCs w:val="17"/>
                      </w:rPr>
                      <w:t xml:space="preserve">VZ </w:t>
                    </w:r>
                    <w:r>
                      <w:rPr>
                        <w:rStyle w:val="CharStyle40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30- 23 Pomůcky pro intraoseální vstup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1060450</wp:posOffset>
              </wp:positionH>
              <wp:positionV relativeFrom="page">
                <wp:posOffset>10066655</wp:posOffset>
              </wp:positionV>
              <wp:extent cx="2325370" cy="10985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2537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40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\/Z </w:t>
                          </w:r>
                          <w:r>
                            <w:rPr>
                              <w:rStyle w:val="CharStyle40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30- 23 Pomůcky pro intraoseální vstup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83.5pt;margin-top:792.64999999999998pt;width:183.09999999999999pt;height:8.6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40"/>
                        <w:rFonts w:ascii="Arial" w:eastAsia="Arial" w:hAnsi="Arial" w:cs="Arial"/>
                        <w:sz w:val="17"/>
                        <w:szCs w:val="17"/>
                      </w:rPr>
                      <w:t xml:space="preserve">\/Z </w:t>
                    </w:r>
                    <w:r>
                      <w:rPr>
                        <w:rStyle w:val="CharStyle40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30- 23 Pomůcky pro intraoseální vstup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1060450</wp:posOffset>
              </wp:positionH>
              <wp:positionV relativeFrom="page">
                <wp:posOffset>10066655</wp:posOffset>
              </wp:positionV>
              <wp:extent cx="2325370" cy="10985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2537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40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\/Z </w:t>
                          </w:r>
                          <w:r>
                            <w:rPr>
                              <w:rStyle w:val="CharStyle40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30- 23 Pomůcky pro intraoseální vstup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83.5pt;margin-top:792.64999999999998pt;width:183.09999999999999pt;height:8.65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40"/>
                        <w:rFonts w:ascii="Arial" w:eastAsia="Arial" w:hAnsi="Arial" w:cs="Arial"/>
                        <w:sz w:val="17"/>
                        <w:szCs w:val="17"/>
                      </w:rPr>
                      <w:t xml:space="preserve">\/Z </w:t>
                    </w:r>
                    <w:r>
                      <w:rPr>
                        <w:rStyle w:val="CharStyle40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30- 23 Pomůcky pro intraoseální vstup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Nadpis #2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13">
    <w:name w:val="Základní text (3)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9">
    <w:name w:val="Základní text (2)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38">
    <w:name w:val="Nadpis #1_"/>
    <w:basedOn w:val="DefaultParagraphFont"/>
    <w:link w:val="Styl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CharStyle40">
    <w:name w:val="Záhlaví nebo zápatí (2)_"/>
    <w:basedOn w:val="DefaultParagraphFont"/>
    <w:link w:val="Styl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4">
    <w:name w:val="Nadpis #3_"/>
    <w:basedOn w:val="DefaultParagraphFont"/>
    <w:link w:val="Style4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8">
    <w:name w:val="Titulek tabulky_"/>
    <w:basedOn w:val="DefaultParagraphFont"/>
    <w:link w:val="Style47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51">
    <w:name w:val="Jiné_"/>
    <w:basedOn w:val="DefaultParagraphFont"/>
    <w:link w:val="Style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0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Nadpis #2"/>
    <w:basedOn w:val="Normal"/>
    <w:link w:val="CharStyle5"/>
    <w:pPr>
      <w:widowControl w:val="0"/>
      <w:shd w:val="clear" w:color="auto" w:fill="auto"/>
      <w:spacing w:line="276" w:lineRule="auto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Style12">
    <w:name w:val="Základní text (3)"/>
    <w:basedOn w:val="Normal"/>
    <w:link w:val="CharStyle13"/>
    <w:pPr>
      <w:widowControl w:val="0"/>
      <w:shd w:val="clear" w:color="auto" w:fill="auto"/>
      <w:spacing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8">
    <w:name w:val="Základní text (2)"/>
    <w:basedOn w:val="Normal"/>
    <w:link w:val="CharStyle19"/>
    <w:pPr>
      <w:widowControl w:val="0"/>
      <w:shd w:val="clear" w:color="auto" w:fill="auto"/>
      <w:spacing w:line="26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37">
    <w:name w:val="Nadpis #1"/>
    <w:basedOn w:val="Normal"/>
    <w:link w:val="CharStyle38"/>
    <w:pPr>
      <w:widowControl w:val="0"/>
      <w:shd w:val="clear" w:color="auto" w:fill="auto"/>
      <w:spacing w:after="40"/>
      <w:ind w:right="640"/>
      <w:jc w:val="right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paragraph" w:customStyle="1" w:styleId="Style39">
    <w:name w:val="Záhlaví nebo zápatí (2)"/>
    <w:basedOn w:val="Normal"/>
    <w:link w:val="CharStyle4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3">
    <w:name w:val="Nadpis #3"/>
    <w:basedOn w:val="Normal"/>
    <w:link w:val="CharStyle44"/>
    <w:pPr>
      <w:widowControl w:val="0"/>
      <w:shd w:val="clear" w:color="auto" w:fill="auto"/>
      <w:spacing w:after="230"/>
      <w:ind w:firstLine="29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47">
    <w:name w:val="Titulek tabulky"/>
    <w:basedOn w:val="Normal"/>
    <w:link w:val="CharStyle48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yle50">
    <w:name w:val="Jiné"/>
    <w:basedOn w:val="Normal"/>
    <w:link w:val="CharStyle51"/>
    <w:pPr>
      <w:widowControl w:val="0"/>
      <w:shd w:val="clear" w:color="auto" w:fill="auto"/>
      <w:spacing w:after="20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/Relationships>
</file>