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46043A">
        <w:rPr>
          <w:b/>
          <w:sz w:val="40"/>
        </w:rPr>
        <w:t>593</w:t>
      </w:r>
      <w:r w:rsidR="00B26A88">
        <w:rPr>
          <w:b/>
          <w:sz w:val="40"/>
        </w:rPr>
        <w:t>1</w:t>
      </w:r>
      <w:r w:rsidR="00B0283C">
        <w:rPr>
          <w:b/>
          <w:sz w:val="40"/>
        </w:rPr>
        <w:t>5</w:t>
      </w:r>
      <w:r w:rsidR="00B26A88">
        <w:rPr>
          <w:b/>
          <w:sz w:val="40"/>
        </w:rPr>
        <w:t>3</w:t>
      </w:r>
      <w:r w:rsidR="0046043A">
        <w:rPr>
          <w:b/>
          <w:sz w:val="40"/>
        </w:rPr>
        <w:t>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46043A" w:rsidP="00A860F2">
      <w:pPr>
        <w:pStyle w:val="Zkladntext"/>
        <w:rPr>
          <w:b/>
          <w:i/>
          <w:szCs w:val="24"/>
        </w:rPr>
      </w:pPr>
      <w:r>
        <w:rPr>
          <w:b/>
          <w:szCs w:val="24"/>
        </w:rPr>
        <w:t>Obec Čepí</w:t>
      </w:r>
    </w:p>
    <w:p w:rsidR="00A860F2" w:rsidRPr="00525B97" w:rsidRDefault="00F56057" w:rsidP="00A860F2">
      <w:pPr>
        <w:pStyle w:val="Zkladntext"/>
        <w:rPr>
          <w:szCs w:val="24"/>
        </w:rPr>
      </w:pPr>
      <w:r w:rsidRPr="00525B97">
        <w:rPr>
          <w:szCs w:val="24"/>
        </w:rPr>
        <w:t xml:space="preserve">kontaktní adresa: </w:t>
      </w:r>
      <w:r w:rsidR="0046043A">
        <w:rPr>
          <w:szCs w:val="24"/>
        </w:rPr>
        <w:t>Obecní</w:t>
      </w:r>
      <w:r w:rsidR="00FB6EB1">
        <w:rPr>
          <w:szCs w:val="24"/>
        </w:rPr>
        <w:t xml:space="preserve"> </w:t>
      </w:r>
      <w:r w:rsidR="00E94577">
        <w:rPr>
          <w:szCs w:val="24"/>
        </w:rPr>
        <w:t xml:space="preserve">úřad </w:t>
      </w:r>
      <w:r w:rsidR="0046043A">
        <w:rPr>
          <w:szCs w:val="24"/>
        </w:rPr>
        <w:t>Čepí, Čepí 79, 533 32 Čepí</w:t>
      </w:r>
    </w:p>
    <w:p w:rsidR="00BE2E3C" w:rsidRPr="00525B97" w:rsidRDefault="00EB4108" w:rsidP="00A860F2">
      <w:pPr>
        <w:pStyle w:val="Zkladntext"/>
        <w:rPr>
          <w:szCs w:val="24"/>
        </w:rPr>
      </w:pPr>
      <w:r w:rsidRPr="00525B97">
        <w:rPr>
          <w:szCs w:val="24"/>
        </w:rPr>
        <w:t xml:space="preserve">IČ: </w:t>
      </w:r>
      <w:r w:rsidR="001B768B">
        <w:t>00</w:t>
      </w:r>
      <w:r w:rsidR="00BB3929">
        <w:t>27</w:t>
      </w:r>
      <w:r w:rsidR="0046043A">
        <w:t>3457</w:t>
      </w:r>
    </w:p>
    <w:p w:rsidR="00737957" w:rsidRPr="00525B97" w:rsidRDefault="00F56057" w:rsidP="00A860F2">
      <w:pPr>
        <w:pStyle w:val="Zkladntext"/>
        <w:rPr>
          <w:szCs w:val="24"/>
        </w:rPr>
      </w:pPr>
      <w:r w:rsidRPr="00525B97">
        <w:rPr>
          <w:szCs w:val="24"/>
        </w:rPr>
        <w:t>z</w:t>
      </w:r>
      <w:r w:rsidR="00737957" w:rsidRPr="00525B97">
        <w:rPr>
          <w:szCs w:val="24"/>
        </w:rPr>
        <w:t>astoupen</w:t>
      </w:r>
      <w:r w:rsidR="0046043A">
        <w:rPr>
          <w:szCs w:val="24"/>
        </w:rPr>
        <w:t>á</w:t>
      </w:r>
      <w:r w:rsidRPr="00525B97">
        <w:rPr>
          <w:szCs w:val="24"/>
        </w:rPr>
        <w:t xml:space="preserve"> staros</w:t>
      </w:r>
      <w:r w:rsidR="003F7540">
        <w:rPr>
          <w:szCs w:val="24"/>
        </w:rPr>
        <w:t>t</w:t>
      </w:r>
      <w:r w:rsidR="0046043A">
        <w:rPr>
          <w:szCs w:val="24"/>
        </w:rPr>
        <w:t>k</w:t>
      </w:r>
      <w:r w:rsidR="00FC6C95">
        <w:rPr>
          <w:szCs w:val="24"/>
        </w:rPr>
        <w:t>ou</w:t>
      </w:r>
      <w:r w:rsidR="0093187F">
        <w:rPr>
          <w:szCs w:val="24"/>
        </w:rPr>
        <w:t xml:space="preserve"> </w:t>
      </w:r>
      <w:r w:rsidR="0046043A">
        <w:rPr>
          <w:szCs w:val="24"/>
        </w:rPr>
        <w:t xml:space="preserve">MVDr. </w:t>
      </w:r>
      <w:proofErr w:type="gramStart"/>
      <w:r w:rsidR="0046043A">
        <w:rPr>
          <w:szCs w:val="24"/>
        </w:rPr>
        <w:t>Zuzanou  D v o ř á k o v o u</w:t>
      </w:r>
      <w:proofErr w:type="gramEnd"/>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46043A">
        <w:t>916561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46043A">
        <w:t>593</w:t>
      </w:r>
      <w:r w:rsidR="00ED79D4">
        <w:t>15</w:t>
      </w:r>
      <w:r w:rsidR="00E45433">
        <w:t>3</w:t>
      </w:r>
      <w:r w:rsidR="0046043A">
        <w:t>1</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46043A">
        <w:t>150 982</w:t>
      </w:r>
      <w:r w:rsidR="009244F6">
        <w:t xml:space="preserve"> </w:t>
      </w:r>
      <w:r w:rsidR="00B75816">
        <w:t>K</w:t>
      </w:r>
      <w:r>
        <w:t>č</w:t>
      </w:r>
    </w:p>
    <w:p w:rsidR="001D45AE" w:rsidRDefault="005F4627">
      <w:pPr>
        <w:pStyle w:val="Zkladntext"/>
        <w:jc w:val="center"/>
      </w:pPr>
      <w:r>
        <w:t xml:space="preserve">(slovy: </w:t>
      </w:r>
      <w:r w:rsidR="00F35F2F">
        <w:t xml:space="preserve">jedno sto </w:t>
      </w:r>
      <w:r w:rsidR="0046043A">
        <w:t>padesát</w:t>
      </w:r>
      <w:r w:rsidR="003308F7">
        <w:t xml:space="preserve"> </w:t>
      </w:r>
      <w:r w:rsidR="00C2549E">
        <w:t>t</w:t>
      </w:r>
      <w:r w:rsidR="002A0051">
        <w:t>isíc</w:t>
      </w:r>
      <w:r w:rsidR="00075B6C">
        <w:t xml:space="preserve"> </w:t>
      </w:r>
      <w:r w:rsidR="0046043A">
        <w:t>devět</w:t>
      </w:r>
      <w:r w:rsidR="00BB3929">
        <w:t xml:space="preserve"> set </w:t>
      </w:r>
      <w:r w:rsidR="0046043A">
        <w:t>osmdesát dva</w:t>
      </w:r>
      <w:r w:rsidR="000E6C67">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46043A">
        <w:t>Vytvoření funkčních ploch v rámci zkvalitnění ekosystému zeleně v obci</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BB3929">
        <w:t> </w:t>
      </w:r>
      <w:r w:rsidR="0046043A">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46043A">
        <w:t>188 727</w:t>
      </w:r>
      <w:r w:rsidR="005A6FE5">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46043A">
        <w:t>1</w:t>
      </w:r>
      <w:r w:rsidR="00980641">
        <w:t>9</w:t>
      </w:r>
      <w:r w:rsidRPr="0042618B">
        <w:t xml:space="preserve">. </w:t>
      </w:r>
      <w:r>
        <w:t>0</w:t>
      </w:r>
      <w:r w:rsidR="0046043A">
        <w:t>9</w:t>
      </w:r>
      <w:r w:rsidRPr="0042618B">
        <w:t>. 201</w:t>
      </w:r>
      <w:r>
        <w:t>6</w:t>
      </w:r>
      <w:r w:rsidR="004009EC">
        <w:t xml:space="preserve"> </w:t>
      </w:r>
      <w:r>
        <w:t xml:space="preserve">odpovídá částka </w:t>
      </w:r>
      <w:r w:rsidR="0046043A">
        <w:t xml:space="preserve">188 727 </w:t>
      </w:r>
      <w:r>
        <w:t xml:space="preserve">Kč 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431187">
        <w:t>, kt</w:t>
      </w:r>
      <w:r w:rsidR="00E55E93">
        <w:t xml:space="preserve">erý je součástí žádosti ze dne </w:t>
      </w:r>
      <w:r w:rsidR="0046043A">
        <w:t>27</w:t>
      </w:r>
      <w:r w:rsidR="0042073D">
        <w:t>. 03</w:t>
      </w:r>
      <w:r w:rsidR="00431187">
        <w:t>. 201</w:t>
      </w:r>
      <w:r w:rsidR="0042073D">
        <w:t>5</w:t>
      </w:r>
      <w:r w:rsidR="00431187">
        <w:t xml:space="preserve">, </w:t>
      </w:r>
      <w:r w:rsidR="00E55E93">
        <w:t xml:space="preserve">podle </w:t>
      </w:r>
      <w:r w:rsidR="0046043A">
        <w:t xml:space="preserve">aktualizované </w:t>
      </w:r>
      <w:r w:rsidR="00E55E93">
        <w:t xml:space="preserve">projektové dokumentace </w:t>
      </w:r>
      <w:r w:rsidR="002C7B2B">
        <w:t>(</w:t>
      </w:r>
      <w:r w:rsidR="0046043A">
        <w:t>Ing. Lenka Marková, MUDr. Ducháčkové 352, 530 03 Pardubice z 02/2016</w:t>
      </w:r>
      <w:r w:rsidR="001306E8">
        <w:t>)</w:t>
      </w:r>
      <w:r w:rsidR="004A47AB">
        <w:t xml:space="preserve"> </w:t>
      </w:r>
      <w:r w:rsidR="002C7B2B">
        <w:t>a</w:t>
      </w:r>
      <w:r w:rsidR="00E55E93">
        <w:t xml:space="preserve"> </w:t>
      </w:r>
      <w:r w:rsidR="00431187">
        <w:t>v souladu s</w:t>
      </w:r>
      <w:r w:rsidR="004A47AB">
        <w:t> kompletní dokumentací výběrového řízení</w:t>
      </w:r>
      <w:r w:rsidR="0046043A">
        <w:t xml:space="preserve"> včetně smlouvy o dílo ze dne 24. 06. 2016</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46043A" w:rsidRDefault="0046043A" w:rsidP="00497EDB">
      <w:pPr>
        <w:pStyle w:val="Zkladntext"/>
        <w:numPr>
          <w:ilvl w:val="0"/>
          <w:numId w:val="25"/>
        </w:numPr>
        <w:snapToGrid w:val="0"/>
        <w:ind w:left="709" w:hanging="283"/>
        <w:jc w:val="both"/>
      </w:pPr>
      <w:r>
        <w:t>vysadí 43 ks dřevin,</w:t>
      </w:r>
    </w:p>
    <w:p w:rsidR="00A87D6F" w:rsidRDefault="0046043A" w:rsidP="00497EDB">
      <w:pPr>
        <w:pStyle w:val="Zkladntext"/>
        <w:numPr>
          <w:ilvl w:val="0"/>
          <w:numId w:val="25"/>
        </w:numPr>
        <w:snapToGrid w:val="0"/>
        <w:ind w:left="709" w:hanging="283"/>
        <w:jc w:val="both"/>
      </w:pPr>
      <w:r>
        <w:t>založí 700 m</w:t>
      </w:r>
      <w:r>
        <w:rPr>
          <w:vertAlign w:val="superscript"/>
        </w:rPr>
        <w:t>2</w:t>
      </w:r>
      <w:r>
        <w:t xml:space="preserve"> trávníku</w:t>
      </w:r>
      <w:r w:rsidR="004A47AB">
        <w:t>,</w:t>
      </w:r>
    </w:p>
    <w:p w:rsidR="0046043A" w:rsidRDefault="0046043A" w:rsidP="00497EDB">
      <w:pPr>
        <w:pStyle w:val="Zkladntext"/>
        <w:numPr>
          <w:ilvl w:val="0"/>
          <w:numId w:val="25"/>
        </w:numPr>
        <w:snapToGrid w:val="0"/>
        <w:ind w:left="709" w:hanging="283"/>
        <w:jc w:val="both"/>
      </w:pPr>
      <w:r>
        <w:t>osadí mobiliář</w:t>
      </w:r>
      <w:r w:rsidR="00104CAF">
        <w:t>,</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 xml:space="preserve">bude zpřístupňovat veřejnosti informace o životním prostředí podle zákona č. 123/1998 </w:t>
      </w:r>
      <w:proofErr w:type="gramStart"/>
      <w:r w:rsidRPr="000F4BA3">
        <w:rPr>
          <w:bCs/>
          <w:szCs w:val="24"/>
        </w:rPr>
        <w:t>Sb.,        o právu</w:t>
      </w:r>
      <w:proofErr w:type="gramEnd"/>
      <w:r w:rsidRPr="000F4BA3">
        <w:rPr>
          <w:bCs/>
          <w:szCs w:val="24"/>
        </w:rPr>
        <w:t xml:space="preserve">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rsidR="001F7BA9">
        <w:t>termín</w:t>
      </w:r>
      <w:proofErr w:type="gramEnd"/>
      <w:r w:rsidR="001F7BA9">
        <w:t xml:space="preserve"> dokončení akce do </w:t>
      </w:r>
      <w:r w:rsidR="003D7AB4">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46043A">
        <w:t>09</w:t>
      </w:r>
      <w:r w:rsidR="00497EDB">
        <w:t>/201</w:t>
      </w:r>
      <w:r w:rsidR="0046043A">
        <w:t>6</w:t>
      </w:r>
      <w:r w:rsidR="00912A89">
        <w:t>.</w:t>
      </w:r>
    </w:p>
    <w:p w:rsidR="000C6284" w:rsidRDefault="000C6284" w:rsidP="000C6284">
      <w:pPr>
        <w:pStyle w:val="Zkladntext"/>
        <w:ind w:left="426" w:hanging="426"/>
        <w:jc w:val="both"/>
      </w:pPr>
      <w:proofErr w:type="gramStart"/>
      <w:r>
        <w:t>c)  Nejpozději</w:t>
      </w:r>
      <w:proofErr w:type="gramEnd"/>
      <w:r>
        <w:t xml:space="preserve"> do konce </w:t>
      </w:r>
      <w:r w:rsidR="003D7AB4">
        <w:t>03</w:t>
      </w:r>
      <w:r w:rsidR="00097F21">
        <w:t>/201</w:t>
      </w:r>
      <w:r w:rsidR="003D7AB4">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lastRenderedPageBreak/>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realizace akce i po jejím dokončení, a to v takovém rozsahu (i pokud jde o poskytnutí příslušných </w:t>
      </w:r>
      <w:r>
        <w:lastRenderedPageBreak/>
        <w:t>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46043A">
        <w:t>135 884</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w:t>
      </w:r>
      <w:r>
        <w:lastRenderedPageBreak/>
        <w:t xml:space="preserve">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3D7AB4">
        <w:t> </w:t>
      </w:r>
      <w:r w:rsidR="0046043A">
        <w:t>roce</w:t>
      </w:r>
      <w:r w:rsidR="000E6C67">
        <w:t xml:space="preserv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46043A">
        <w:t>52 843</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lastRenderedPageBreak/>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lastRenderedPageBreak/>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 xml:space="preserve">bude příjemce podpory povinen zaplatit Fondu úroky z prodlení, určené předpisy práva občanského. K tomu se konstatuje, že aktuálně je výše těchto úroků z prodlení určena § 2 nařízením </w:t>
      </w:r>
      <w:proofErr w:type="gramStart"/>
      <w:r>
        <w:t>vlády              č.</w:t>
      </w:r>
      <w:proofErr w:type="gramEnd"/>
      <w:r>
        <w:t xml:space="preserve">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w:t>
      </w:r>
      <w:r>
        <w:lastRenderedPageBreak/>
        <w:t xml:space="preserve">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1D45AE" w:rsidRDefault="001D45AE">
      <w:pPr>
        <w:pStyle w:val="Zkladntext"/>
        <w:jc w:val="center"/>
        <w:rPr>
          <w:b/>
        </w:rPr>
      </w:pPr>
      <w:r>
        <w:rPr>
          <w:b/>
        </w:rPr>
        <w:lastRenderedPageBreak/>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46043A" w:rsidRDefault="0046043A">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ECF" w:rsidRDefault="00CE4ECF">
      <w:r>
        <w:separator/>
      </w:r>
    </w:p>
  </w:endnote>
  <w:endnote w:type="continuationSeparator" w:id="0">
    <w:p w:rsidR="00CE4ECF" w:rsidRDefault="00CE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ECF" w:rsidRDefault="00CE4ECF">
      <w:r>
        <w:separator/>
      </w:r>
    </w:p>
  </w:footnote>
  <w:footnote w:type="continuationSeparator" w:id="0">
    <w:p w:rsidR="00CE4ECF" w:rsidRDefault="00CE4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8203FF">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72179"/>
    <w:rsid w:val="00075B6C"/>
    <w:rsid w:val="00077552"/>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09C1"/>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CAF"/>
    <w:rsid w:val="00104E25"/>
    <w:rsid w:val="001111CE"/>
    <w:rsid w:val="0011588E"/>
    <w:rsid w:val="00120C69"/>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43A"/>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47AB"/>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567E1"/>
    <w:rsid w:val="00761B5A"/>
    <w:rsid w:val="00770CB5"/>
    <w:rsid w:val="007971D8"/>
    <w:rsid w:val="0079768D"/>
    <w:rsid w:val="007A1713"/>
    <w:rsid w:val="007A1C30"/>
    <w:rsid w:val="007A26FD"/>
    <w:rsid w:val="007A6BC3"/>
    <w:rsid w:val="007B10D5"/>
    <w:rsid w:val="007B1939"/>
    <w:rsid w:val="007B5E4E"/>
    <w:rsid w:val="007C3F79"/>
    <w:rsid w:val="007C44A7"/>
    <w:rsid w:val="007D16F0"/>
    <w:rsid w:val="007D223F"/>
    <w:rsid w:val="007D3C17"/>
    <w:rsid w:val="007D42C1"/>
    <w:rsid w:val="007E0E0B"/>
    <w:rsid w:val="007E5D23"/>
    <w:rsid w:val="007E7BDF"/>
    <w:rsid w:val="007F5A8E"/>
    <w:rsid w:val="00805D69"/>
    <w:rsid w:val="00806841"/>
    <w:rsid w:val="00807C6E"/>
    <w:rsid w:val="008134E4"/>
    <w:rsid w:val="0081789F"/>
    <w:rsid w:val="008203F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3929"/>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D68"/>
    <w:rsid w:val="00CD3547"/>
    <w:rsid w:val="00CD49E9"/>
    <w:rsid w:val="00CD63FE"/>
    <w:rsid w:val="00CE0BD2"/>
    <w:rsid w:val="00CE0DD7"/>
    <w:rsid w:val="00CE4245"/>
    <w:rsid w:val="00CE4ECF"/>
    <w:rsid w:val="00CE627F"/>
    <w:rsid w:val="00CF3B3B"/>
    <w:rsid w:val="00CF588C"/>
    <w:rsid w:val="00CF6208"/>
    <w:rsid w:val="00CF7ABB"/>
    <w:rsid w:val="00D0631C"/>
    <w:rsid w:val="00D070F7"/>
    <w:rsid w:val="00D1523C"/>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5C8C"/>
    <w:rsid w:val="00E3440D"/>
    <w:rsid w:val="00E40F2F"/>
    <w:rsid w:val="00E42775"/>
    <w:rsid w:val="00E4450D"/>
    <w:rsid w:val="00E44664"/>
    <w:rsid w:val="00E45433"/>
    <w:rsid w:val="00E46D91"/>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4D0"/>
    <w:rsid w:val="00F52682"/>
    <w:rsid w:val="00F56057"/>
    <w:rsid w:val="00F611C6"/>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3862</Words>
  <Characters>22787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26596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5</cp:revision>
  <cp:lastPrinted>2016-10-19T06:05:00Z</cp:lastPrinted>
  <dcterms:created xsi:type="dcterms:W3CDTF">2016-10-18T08:09:00Z</dcterms:created>
  <dcterms:modified xsi:type="dcterms:W3CDTF">2016-10-19T06:09:00Z</dcterms:modified>
</cp:coreProperties>
</file>