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C720C3">
      <w:pPr>
        <w:pStyle w:val="Bezmezer"/>
        <w:numPr>
          <w:ilvl w:val="0"/>
          <w:numId w:val="0"/>
        </w:numPr>
        <w:ind w:left="4956" w:firstLine="708"/>
        <w:jc w:val="right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B150DC">
        <w:rPr>
          <w:b/>
          <w:sz w:val="20"/>
          <w:szCs w:val="20"/>
        </w:rPr>
        <w:t>12407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5A6F74" w:rsidP="00C720C3">
      <w:pPr>
        <w:pStyle w:val="Bezmezer"/>
        <w:numPr>
          <w:ilvl w:val="0"/>
          <w:numId w:val="0"/>
        </w:numPr>
        <w:ind w:left="5948"/>
        <w:rPr>
          <w:b/>
          <w:sz w:val="20"/>
          <w:szCs w:val="20"/>
        </w:rPr>
      </w:pPr>
      <w:r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Pr="000D474B">
        <w:rPr>
          <w:b/>
          <w:sz w:val="20"/>
          <w:szCs w:val="20"/>
        </w:rPr>
        <w:t>: KÚ-</w:t>
      </w:r>
      <w:r w:rsidR="00FC663A">
        <w:rPr>
          <w:b/>
          <w:sz w:val="20"/>
          <w:szCs w:val="20"/>
        </w:rPr>
        <w:t>12633</w:t>
      </w:r>
      <w:r w:rsidRPr="000D474B">
        <w:rPr>
          <w:b/>
          <w:sz w:val="20"/>
          <w:szCs w:val="20"/>
        </w:rPr>
        <w:t>/2023-770-01001-</w:t>
      </w:r>
      <w:r w:rsidR="00FB1359" w:rsidRPr="000D474B">
        <w:rPr>
          <w:b/>
          <w:sz w:val="20"/>
          <w:szCs w:val="20"/>
        </w:rPr>
        <w:t>2</w:t>
      </w:r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B150DC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Vaše nemovitost</w:t>
      </w:r>
      <w:r w:rsidR="00455194">
        <w:rPr>
          <w:b/>
        </w:rPr>
        <w:t xml:space="preserve"> </w:t>
      </w:r>
      <w:r w:rsidR="007C0838">
        <w:rPr>
          <w:b/>
        </w:rPr>
        <w:t>s</w:t>
      </w:r>
      <w:r w:rsidR="00B72BA1">
        <w:rPr>
          <w:b/>
        </w:rPr>
        <w:t>.r.o</w:t>
      </w:r>
      <w:r w:rsidR="000B13A5">
        <w:rPr>
          <w:b/>
        </w:rPr>
        <w:t>.</w:t>
      </w:r>
    </w:p>
    <w:p w:rsidR="002D54B4" w:rsidRPr="00C603D3" w:rsidRDefault="00B150DC" w:rsidP="002D3169">
      <w:pPr>
        <w:pStyle w:val="Bezmezer"/>
        <w:numPr>
          <w:ilvl w:val="0"/>
          <w:numId w:val="0"/>
        </w:numPr>
      </w:pPr>
      <w:r>
        <w:t>Budovatelů 240/3, Přerov I-Město, 750 02 Přerov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B150DC">
        <w:t>089 14 320</w:t>
      </w:r>
    </w:p>
    <w:p w:rsidR="00455194" w:rsidRDefault="00B150DC" w:rsidP="002D3169">
      <w:pPr>
        <w:pStyle w:val="Bezmezer"/>
        <w:numPr>
          <w:ilvl w:val="0"/>
          <w:numId w:val="0"/>
        </w:numPr>
      </w:pPr>
      <w:r>
        <w:t>DIČ: CZ08914320</w:t>
      </w:r>
    </w:p>
    <w:p w:rsidR="00E6744E" w:rsidRDefault="00455194" w:rsidP="002D3169">
      <w:pPr>
        <w:pStyle w:val="Bezmezer"/>
        <w:numPr>
          <w:ilvl w:val="0"/>
          <w:numId w:val="0"/>
        </w:numPr>
      </w:pPr>
      <w:r>
        <w:t xml:space="preserve">zapsaná v OR, vedená u </w:t>
      </w:r>
      <w:r w:rsidR="00B150DC">
        <w:t>Krajského soudu v Ostravě</w:t>
      </w:r>
      <w:r w:rsidR="00E6744E">
        <w:t xml:space="preserve">, oddíl C, vložka </w:t>
      </w:r>
      <w:r w:rsidR="00B150DC">
        <w:t>81279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B150DC">
        <w:t>Jiřím Dostálem</w:t>
      </w:r>
      <w:r w:rsidR="002F1756">
        <w:t>, jednatel</w:t>
      </w:r>
      <w:r w:rsidR="00B150DC">
        <w:t>em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D03253">
        <w:t xml:space="preserve">správního </w:t>
      </w:r>
      <w:r w:rsidR="00D03253" w:rsidRPr="00C034B9">
        <w:t xml:space="preserve">poplatku za přijetí návrhu na zahájení </w:t>
      </w:r>
      <w:r w:rsidR="00D03253">
        <w:t>řízení o povolení vkladu práva do katastru nemovitostí k nemovitým věcem podaného</w:t>
      </w:r>
      <w:r w:rsidR="00D03253" w:rsidRPr="00C034B9">
        <w:t xml:space="preserve"> Poplatníkem Katastrálním</w:t>
      </w:r>
      <w:r w:rsidR="00D03253">
        <w:t>u</w:t>
      </w:r>
      <w:r w:rsidR="00D03253" w:rsidRPr="00C034B9">
        <w:t xml:space="preserve"> úřad</w:t>
      </w:r>
      <w:r w:rsidR="00D03253">
        <w:t>u</w:t>
      </w:r>
      <w:r w:rsidR="00D03253" w:rsidRPr="00C034B9">
        <w:t xml:space="preserve"> (dále společně jen „Návrh“, dále společně 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 xml:space="preserve">z čísla </w:t>
      </w:r>
      <w:r w:rsidRPr="00CE6938">
        <w:t>účtu</w:t>
      </w:r>
      <w:r w:rsidR="00513C9D" w:rsidRPr="00CE6938">
        <w:t>:</w:t>
      </w:r>
      <w:r w:rsidRPr="00CE6938">
        <w:t xml:space="preserve"> </w:t>
      </w:r>
      <w:r w:rsidR="00D03253">
        <w:rPr>
          <w:b/>
        </w:rPr>
        <w:t>6210241977/0600</w:t>
      </w:r>
      <w:r w:rsidRPr="00CE6938">
        <w:t>, a to</w:t>
      </w:r>
      <w:r w:rsidRPr="00C603D3">
        <w:t xml:space="preserve">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CE6938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</w:t>
      </w:r>
      <w:r w:rsidR="002F1756" w:rsidRPr="00CE6938">
        <w:t xml:space="preserve">součtu </w:t>
      </w:r>
      <w:r w:rsidR="00D03253">
        <w:rPr>
          <w:b/>
        </w:rPr>
        <w:t>4</w:t>
      </w:r>
      <w:r w:rsidR="00CE6938" w:rsidRPr="00CE6938">
        <w:rPr>
          <w:b/>
        </w:rPr>
        <w:t>.000</w:t>
      </w:r>
      <w:r w:rsidR="00CE6938">
        <w:rPr>
          <w:b/>
        </w:rPr>
        <w:t>,-</w:t>
      </w:r>
      <w:r w:rsidR="00910A6B" w:rsidRPr="00CE6938">
        <w:rPr>
          <w:b/>
        </w:rPr>
        <w:t xml:space="preserve"> Kč.</w:t>
      </w:r>
      <w:r w:rsidRPr="00CE6938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lastRenderedPageBreak/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CE6938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 xml:space="preserve">průběžně Poplatníkovi doklad obsahující seznam čísel </w:t>
      </w:r>
      <w:r w:rsidR="007B19DC" w:rsidRPr="00CE6938">
        <w:rPr>
          <w:rFonts w:ascii="Arial" w:hAnsi="Arial" w:cs="Arial"/>
        </w:rPr>
        <w:t xml:space="preserve">řízení, u kterých byla inkasní platba provedena na uvedenou </w:t>
      </w:r>
      <w:r w:rsidRPr="00CE6938">
        <w:rPr>
          <w:rFonts w:ascii="Arial" w:hAnsi="Arial" w:cs="Arial"/>
        </w:rPr>
        <w:t>e-mailovou adresu:</w:t>
      </w:r>
      <w:r w:rsidR="00DE5E39">
        <w:rPr>
          <w:rFonts w:ascii="Arial" w:hAnsi="Arial" w:cs="Arial"/>
        </w:rPr>
        <w:t xml:space="preserve"> </w:t>
      </w:r>
      <w:r w:rsidR="00DE5E39" w:rsidRPr="00DE5E39">
        <w:rPr>
          <w:rFonts w:ascii="Arial" w:hAnsi="Arial" w:cs="Arial"/>
          <w:shd w:val="clear" w:color="auto" w:fill="F2F2F2" w:themeFill="background1" w:themeFillShade="F2"/>
        </w:rPr>
        <w:t>XXXXXXXXXX</w:t>
      </w:r>
      <w:r w:rsidR="001F60B2" w:rsidRPr="00CE6938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7801F7" w:rsidP="005B2789">
      <w:pPr>
        <w:pStyle w:val="Bezmezer"/>
        <w:numPr>
          <w:ilvl w:val="0"/>
          <w:numId w:val="17"/>
        </w:numPr>
      </w:pPr>
      <w:r>
        <w:t>Jiří Dostál</w:t>
      </w:r>
      <w:r w:rsidR="00C323CC">
        <w:t>,</w:t>
      </w:r>
      <w:r w:rsidR="00382455">
        <w:t xml:space="preserve"> </w:t>
      </w:r>
      <w:r w:rsidR="00122317">
        <w:t>e-mail:</w:t>
      </w:r>
      <w:r w:rsidR="00DE5E39" w:rsidRPr="00DE5E39">
        <w:rPr>
          <w:shd w:val="clear" w:color="auto" w:fill="F2F2F2" w:themeFill="background1" w:themeFillShade="F2"/>
        </w:rPr>
        <w:t xml:space="preserve"> </w:t>
      </w:r>
      <w:r w:rsidR="00DE5E39" w:rsidRPr="00DE5E39">
        <w:rPr>
          <w:shd w:val="clear" w:color="auto" w:fill="F2F2F2" w:themeFill="background1" w:themeFillShade="F2"/>
        </w:rPr>
        <w:t>XXXXXXXXXX</w:t>
      </w:r>
      <w:r w:rsidR="00122317">
        <w:t xml:space="preserve">, telefon: </w:t>
      </w:r>
      <w:r w:rsidR="00DE5E39" w:rsidRPr="00DE5E39">
        <w:rPr>
          <w:shd w:val="clear" w:color="auto" w:fill="F2F2F2" w:themeFill="background1" w:themeFillShade="F2"/>
        </w:rPr>
        <w:t>XXXXXXXXXX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 xml:space="preserve">Mgr. Eva </w:t>
      </w:r>
      <w:proofErr w:type="spellStart"/>
      <w:r>
        <w:t>Kloková</w:t>
      </w:r>
      <w:proofErr w:type="spellEnd"/>
      <w:r>
        <w:t>, e-mail:</w:t>
      </w:r>
      <w:r w:rsidR="00DE5E39">
        <w:t xml:space="preserve"> </w:t>
      </w:r>
      <w:r w:rsidR="00DE5E39" w:rsidRPr="00DE5E39">
        <w:rPr>
          <w:shd w:val="clear" w:color="auto" w:fill="F2F2F2" w:themeFill="background1" w:themeFillShade="F2"/>
        </w:rPr>
        <w:t>XXXXXXXXXX</w:t>
      </w:r>
      <w:r>
        <w:t xml:space="preserve">, telefon: </w:t>
      </w:r>
      <w:r w:rsidR="00DE5E39" w:rsidRPr="00DE5E39">
        <w:rPr>
          <w:shd w:val="clear" w:color="auto" w:fill="F2F2F2" w:themeFill="background1" w:themeFillShade="F2"/>
        </w:rPr>
        <w:t>XXXXXXXXXX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D303D8" w:rsidRDefault="00D303D8" w:rsidP="002D3169">
      <w:pPr>
        <w:pStyle w:val="Bezmezer"/>
        <w:numPr>
          <w:ilvl w:val="0"/>
          <w:numId w:val="0"/>
        </w:numPr>
      </w:pPr>
    </w:p>
    <w:p w:rsidR="00D303D8" w:rsidRDefault="00D303D8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12409B" w:rsidRDefault="0012409B" w:rsidP="00CD5329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</w:t>
      </w:r>
      <w:r>
        <w:t> elektronické formě a je podepsaná platnými zaručenými elektronickými podpisy smluvních stran založenými na kvalifikovaných certifikátech. Každá ze smluvních stran obdrží smlouvu v elektronické formě s uznávanými elektronickými podpisy smluvních stran.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D303D8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Vaše nemovitost </w:t>
            </w:r>
            <w:r w:rsidR="00C323CC">
              <w:rPr>
                <w:rFonts w:ascii="Arial" w:hAnsi="Arial" w:cs="Arial"/>
              </w:rPr>
              <w:t>s</w:t>
            </w:r>
            <w:r w:rsidR="007D7E32">
              <w:rPr>
                <w:rFonts w:ascii="Arial" w:hAnsi="Arial" w:cs="Arial"/>
              </w:rPr>
              <w:t>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Default="00A61C2E" w:rsidP="009076F2">
            <w:pPr>
              <w:rPr>
                <w:rFonts w:ascii="Arial" w:hAnsi="Arial" w:cs="Arial"/>
              </w:rPr>
            </w:pPr>
          </w:p>
          <w:p w:rsidR="00FC663A" w:rsidRPr="002151D3" w:rsidRDefault="00FC663A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D303D8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Dostál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FC663A" w:rsidRPr="00E22D92" w:rsidRDefault="00FC663A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612C2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474B"/>
    <w:rsid w:val="000D7683"/>
    <w:rsid w:val="000F080D"/>
    <w:rsid w:val="00112BF4"/>
    <w:rsid w:val="00122317"/>
    <w:rsid w:val="0012409B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75702"/>
    <w:rsid w:val="0028645D"/>
    <w:rsid w:val="002B2CF8"/>
    <w:rsid w:val="002D3169"/>
    <w:rsid w:val="002D54B4"/>
    <w:rsid w:val="002E37D2"/>
    <w:rsid w:val="002F1756"/>
    <w:rsid w:val="002F6DB4"/>
    <w:rsid w:val="00310144"/>
    <w:rsid w:val="00314473"/>
    <w:rsid w:val="00316BB2"/>
    <w:rsid w:val="003204C2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4ABC"/>
    <w:rsid w:val="004151F2"/>
    <w:rsid w:val="0043135F"/>
    <w:rsid w:val="00442FD8"/>
    <w:rsid w:val="00447A7A"/>
    <w:rsid w:val="00455194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73F8E"/>
    <w:rsid w:val="006A5E98"/>
    <w:rsid w:val="006C5580"/>
    <w:rsid w:val="006F3C2E"/>
    <w:rsid w:val="007060EE"/>
    <w:rsid w:val="0075263E"/>
    <w:rsid w:val="007574BB"/>
    <w:rsid w:val="0077037A"/>
    <w:rsid w:val="007801F7"/>
    <w:rsid w:val="0078596E"/>
    <w:rsid w:val="007B19DC"/>
    <w:rsid w:val="007B2782"/>
    <w:rsid w:val="007C0838"/>
    <w:rsid w:val="007D7E32"/>
    <w:rsid w:val="007E1269"/>
    <w:rsid w:val="007F02E0"/>
    <w:rsid w:val="008028F0"/>
    <w:rsid w:val="00820108"/>
    <w:rsid w:val="0086600F"/>
    <w:rsid w:val="008913F8"/>
    <w:rsid w:val="008C0794"/>
    <w:rsid w:val="008F4888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D17FB"/>
    <w:rsid w:val="00AD38BF"/>
    <w:rsid w:val="00AD7BE5"/>
    <w:rsid w:val="00AF2A73"/>
    <w:rsid w:val="00B0603B"/>
    <w:rsid w:val="00B150DC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106F5"/>
    <w:rsid w:val="00C21613"/>
    <w:rsid w:val="00C323CC"/>
    <w:rsid w:val="00C603D3"/>
    <w:rsid w:val="00C60FC4"/>
    <w:rsid w:val="00C67E0E"/>
    <w:rsid w:val="00C720C3"/>
    <w:rsid w:val="00C75737"/>
    <w:rsid w:val="00C857D9"/>
    <w:rsid w:val="00C87E1A"/>
    <w:rsid w:val="00C93110"/>
    <w:rsid w:val="00CA78D6"/>
    <w:rsid w:val="00CB1FEC"/>
    <w:rsid w:val="00CD2B29"/>
    <w:rsid w:val="00CD5329"/>
    <w:rsid w:val="00CE6938"/>
    <w:rsid w:val="00D0041A"/>
    <w:rsid w:val="00D03253"/>
    <w:rsid w:val="00D20A46"/>
    <w:rsid w:val="00D30050"/>
    <w:rsid w:val="00D303D8"/>
    <w:rsid w:val="00D30489"/>
    <w:rsid w:val="00D370D3"/>
    <w:rsid w:val="00DA0C44"/>
    <w:rsid w:val="00DD7FDC"/>
    <w:rsid w:val="00DE5E39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B1359"/>
    <w:rsid w:val="00FB3053"/>
    <w:rsid w:val="00FC663A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76F6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FABC-9099-400E-8245-29949E6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Suchánková Hana</cp:lastModifiedBy>
  <cp:revision>61</cp:revision>
  <cp:lastPrinted>2023-04-13T12:21:00Z</cp:lastPrinted>
  <dcterms:created xsi:type="dcterms:W3CDTF">2019-09-23T07:37:00Z</dcterms:created>
  <dcterms:modified xsi:type="dcterms:W3CDTF">2023-10-30T13:11:00Z</dcterms:modified>
</cp:coreProperties>
</file>