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3F00" w14:textId="77777777" w:rsidR="00B17623" w:rsidRDefault="00B17623" w:rsidP="00B17623">
      <w:pPr>
        <w:rPr>
          <w:rStyle w:val="Siln"/>
          <w:color w:val="000000"/>
          <w:sz w:val="22"/>
          <w:szCs w:val="22"/>
        </w:rPr>
      </w:pPr>
    </w:p>
    <w:p w14:paraId="6D46EFF2" w14:textId="21FAB54D" w:rsidR="00B17623" w:rsidRDefault="006160A5" w:rsidP="00B17623">
      <w:pPr>
        <w:rPr>
          <w:rStyle w:val="Siln"/>
          <w:color w:val="000000"/>
          <w:sz w:val="22"/>
          <w:szCs w:val="22"/>
        </w:rPr>
      </w:pPr>
      <w:r>
        <w:t xml:space="preserve">      </w:t>
      </w:r>
      <w:r w:rsidR="00B17623">
        <w:fldChar w:fldCharType="begin"/>
      </w:r>
      <w:r w:rsidR="00B17623">
        <w:instrText xml:space="preserve"> INCLUDEPICTURE  "cid:image001.jpg@01D4E965.984D2BB0" \* MERGEFORMATINET </w:instrText>
      </w:r>
      <w:r w:rsidR="00B17623">
        <w:fldChar w:fldCharType="separate"/>
      </w:r>
      <w:r w:rsidR="003B050A">
        <w:fldChar w:fldCharType="begin"/>
      </w:r>
      <w:r w:rsidR="003B050A">
        <w:instrText xml:space="preserve"> INCLUDEPICTURE  "cid:image001.jpg@01D4E965.984D2BB0" \* MERGEFORMATINET </w:instrText>
      </w:r>
      <w:r w:rsidR="003B050A">
        <w:fldChar w:fldCharType="separate"/>
      </w:r>
      <w:r w:rsidR="000D5DE5">
        <w:fldChar w:fldCharType="begin"/>
      </w:r>
      <w:r w:rsidR="000D5DE5">
        <w:instrText xml:space="preserve"> INCLUDEPICTURE  "cid:image001.jpg@01D4E965.984D2BB0" \* MERGEFORMATINET </w:instrText>
      </w:r>
      <w:r w:rsidR="000D5DE5">
        <w:fldChar w:fldCharType="separate"/>
      </w:r>
      <w:r w:rsidR="00F36EE5">
        <w:fldChar w:fldCharType="begin"/>
      </w:r>
      <w:r w:rsidR="00F36EE5">
        <w:instrText xml:space="preserve"> INCLUDEPICTURE  "cid:image001.jpg@01D4E965.984D2BB0" \* MERGEFORMATINET </w:instrText>
      </w:r>
      <w:r w:rsidR="00F36EE5">
        <w:fldChar w:fldCharType="separate"/>
      </w:r>
      <w:r w:rsidR="00030C9B">
        <w:fldChar w:fldCharType="begin"/>
      </w:r>
      <w:r w:rsidR="00030C9B">
        <w:instrText xml:space="preserve"> INCLUDEPICTURE  "cid:image001.jpg@01D4E965.984D2BB0" \* MERGEFORMATINET </w:instrText>
      </w:r>
      <w:r w:rsidR="00030C9B">
        <w:fldChar w:fldCharType="separate"/>
      </w:r>
      <w:r w:rsidR="00573191">
        <w:rPr>
          <w:noProof/>
        </w:rPr>
        <w:pict w14:anchorId="64923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style="position:absolute;left:0;text-align:left;margin-left:0;margin-top:0;width:139.5pt;height:38.25pt;z-index:251659264;mso-position-horizontal:left;mso-position-horizontal-relative:text;mso-position-vertical-relative:text">
            <v:imagedata r:id="rId7" o:title="image001"/>
            <w10:wrap type="square" side="right"/>
          </v:shape>
        </w:pict>
      </w:r>
      <w:r w:rsidR="00030C9B">
        <w:fldChar w:fldCharType="end"/>
      </w:r>
      <w:r>
        <w:br w:type="textWrapping" w:clear="all"/>
      </w:r>
      <w:r w:rsidR="00F36EE5">
        <w:fldChar w:fldCharType="end"/>
      </w:r>
      <w:r w:rsidR="000D5DE5">
        <w:fldChar w:fldCharType="end"/>
      </w:r>
      <w:r w:rsidR="003B050A">
        <w:fldChar w:fldCharType="end"/>
      </w:r>
      <w:r w:rsidR="00B17623">
        <w:fldChar w:fldCharType="end"/>
      </w:r>
      <w:r w:rsidR="00ED594E">
        <w:rPr>
          <w:rStyle w:val="Siln"/>
          <w:color w:val="000000"/>
          <w:sz w:val="22"/>
          <w:szCs w:val="22"/>
        </w:rPr>
        <w:tab/>
      </w:r>
      <w:r w:rsidR="00ED594E">
        <w:rPr>
          <w:rStyle w:val="Siln"/>
          <w:color w:val="000000"/>
          <w:sz w:val="22"/>
          <w:szCs w:val="22"/>
        </w:rPr>
        <w:tab/>
      </w:r>
      <w:r w:rsidR="00ED594E">
        <w:rPr>
          <w:rStyle w:val="Siln"/>
          <w:color w:val="000000"/>
          <w:sz w:val="22"/>
          <w:szCs w:val="22"/>
        </w:rPr>
        <w:tab/>
        <w:t>NPÚ-420/</w:t>
      </w:r>
      <w:r w:rsidR="00256E4A">
        <w:rPr>
          <w:rStyle w:val="Siln"/>
          <w:color w:val="000000"/>
          <w:sz w:val="22"/>
          <w:szCs w:val="22"/>
        </w:rPr>
        <w:t>92426</w:t>
      </w:r>
      <w:r w:rsidR="00ED594E">
        <w:rPr>
          <w:rStyle w:val="Siln"/>
          <w:color w:val="000000"/>
          <w:sz w:val="22"/>
          <w:szCs w:val="22"/>
        </w:rPr>
        <w:t xml:space="preserve">/2023, </w:t>
      </w:r>
      <w:r w:rsidR="00ED594E" w:rsidRPr="00ED594E">
        <w:rPr>
          <w:rStyle w:val="Siln"/>
          <w:color w:val="000000"/>
          <w:sz w:val="22"/>
          <w:szCs w:val="22"/>
        </w:rPr>
        <w:t>2028H12300</w:t>
      </w:r>
      <w:r w:rsidR="00072FC0">
        <w:rPr>
          <w:rStyle w:val="Siln"/>
          <w:color w:val="000000"/>
          <w:sz w:val="22"/>
          <w:szCs w:val="22"/>
        </w:rPr>
        <w:t>1</w:t>
      </w:r>
      <w:r w:rsidR="00256E4A">
        <w:rPr>
          <w:rStyle w:val="Siln"/>
          <w:color w:val="000000"/>
          <w:sz w:val="22"/>
          <w:szCs w:val="22"/>
        </w:rPr>
        <w:t>0</w:t>
      </w:r>
    </w:p>
    <w:p w14:paraId="556FFF37" w14:textId="77777777" w:rsidR="00072FC0" w:rsidRDefault="00072FC0" w:rsidP="00072FC0">
      <w:pPr>
        <w:ind w:left="0" w:firstLine="0"/>
        <w:rPr>
          <w:rStyle w:val="Siln"/>
          <w:color w:val="000000"/>
          <w:sz w:val="22"/>
          <w:szCs w:val="22"/>
        </w:rPr>
      </w:pPr>
    </w:p>
    <w:p w14:paraId="449EC05D" w14:textId="77777777" w:rsidR="00B17623" w:rsidRDefault="00ED594E" w:rsidP="00B17623">
      <w:pPr>
        <w:rPr>
          <w:rStyle w:val="Siln"/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ab/>
      </w:r>
    </w:p>
    <w:p w14:paraId="19469265" w14:textId="77777777" w:rsidR="00ED594E" w:rsidRDefault="00ED594E" w:rsidP="00B17623">
      <w:pPr>
        <w:rPr>
          <w:rStyle w:val="Siln"/>
          <w:color w:val="000000"/>
          <w:sz w:val="22"/>
          <w:szCs w:val="22"/>
        </w:rPr>
      </w:pPr>
    </w:p>
    <w:p w14:paraId="436AE1AA" w14:textId="77777777" w:rsidR="00ED594E" w:rsidRDefault="00ED594E" w:rsidP="00B17623">
      <w:pPr>
        <w:rPr>
          <w:rStyle w:val="Siln"/>
          <w:color w:val="000000"/>
          <w:sz w:val="22"/>
          <w:szCs w:val="22"/>
        </w:rPr>
      </w:pPr>
    </w:p>
    <w:p w14:paraId="766020B4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0F497D">
        <w:rPr>
          <w:rStyle w:val="Siln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14:paraId="60D39372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2FCC7892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523A520E" w14:textId="77777777" w:rsidR="00F80C08" w:rsidRPr="00FA303A" w:rsidRDefault="00F80C08" w:rsidP="00F80C0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zastoupen:  </w:t>
      </w:r>
      <w:r w:rsidRPr="00FA303A">
        <w:rPr>
          <w:sz w:val="22"/>
          <w:szCs w:val="22"/>
        </w:rPr>
        <w:t>Ing.</w:t>
      </w:r>
      <w:proofErr w:type="gramEnd"/>
      <w:r w:rsidRPr="00FA30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Tomášem </w:t>
      </w:r>
      <w:proofErr w:type="gramStart"/>
      <w:r>
        <w:rPr>
          <w:sz w:val="22"/>
          <w:szCs w:val="22"/>
        </w:rPr>
        <w:t xml:space="preserve">Petrem, </w:t>
      </w:r>
      <w:r w:rsidRPr="00FA303A">
        <w:rPr>
          <w:sz w:val="22"/>
          <w:szCs w:val="22"/>
        </w:rPr>
        <w:t xml:space="preserve"> vedoucím</w:t>
      </w:r>
      <w:proofErr w:type="gramEnd"/>
      <w:r w:rsidRPr="00FA303A">
        <w:rPr>
          <w:sz w:val="22"/>
          <w:szCs w:val="22"/>
        </w:rPr>
        <w:t xml:space="preserve"> správy </w:t>
      </w:r>
      <w:r>
        <w:rPr>
          <w:sz w:val="22"/>
          <w:szCs w:val="22"/>
        </w:rPr>
        <w:t>zámku Valeč</w:t>
      </w:r>
      <w:r w:rsidRPr="00FA303A">
        <w:rPr>
          <w:sz w:val="22"/>
          <w:szCs w:val="22"/>
        </w:rPr>
        <w:fldChar w:fldCharType="begin"/>
      </w:r>
      <w:r w:rsidRPr="00FA303A">
        <w:rPr>
          <w:sz w:val="22"/>
          <w:szCs w:val="22"/>
        </w:rPr>
        <w:instrText xml:space="preserve"> AUTOTEXTLIST  \s 1  \* MERGEFORMAT </w:instrText>
      </w:r>
      <w:r w:rsidRPr="00FA303A">
        <w:rPr>
          <w:sz w:val="22"/>
          <w:szCs w:val="22"/>
        </w:rPr>
        <w:fldChar w:fldCharType="end"/>
      </w:r>
      <w:r w:rsidRPr="00FA303A">
        <w:rPr>
          <w:sz w:val="22"/>
          <w:szCs w:val="22"/>
        </w:rPr>
        <w:fldChar w:fldCharType="begin"/>
      </w:r>
      <w:r w:rsidRPr="00FA303A">
        <w:rPr>
          <w:sz w:val="22"/>
          <w:szCs w:val="22"/>
        </w:rPr>
        <w:instrText xml:space="preserve"> AUTOTEXTLIST   \* MERGEFORMAT </w:instrText>
      </w:r>
      <w:r w:rsidRPr="00FA303A">
        <w:rPr>
          <w:sz w:val="22"/>
          <w:szCs w:val="22"/>
        </w:rPr>
        <w:fldChar w:fldCharType="end"/>
      </w:r>
      <w:r w:rsidRPr="00FA303A">
        <w:rPr>
          <w:sz w:val="22"/>
          <w:szCs w:val="22"/>
        </w:rPr>
        <w:t>,</w:t>
      </w:r>
    </w:p>
    <w:p w14:paraId="226AB4D6" w14:textId="39DFD4DF" w:rsidR="00F80C08" w:rsidRPr="00FA303A" w:rsidRDefault="00F80C08" w:rsidP="00F80C08">
      <w:pPr>
        <w:rPr>
          <w:sz w:val="22"/>
          <w:szCs w:val="22"/>
        </w:rPr>
      </w:pPr>
      <w:r w:rsidRPr="00FA303A">
        <w:rPr>
          <w:sz w:val="22"/>
          <w:szCs w:val="22"/>
        </w:rPr>
        <w:t xml:space="preserve">bankovní </w:t>
      </w:r>
      <w:proofErr w:type="gramStart"/>
      <w:r w:rsidRPr="00FA303A">
        <w:rPr>
          <w:sz w:val="22"/>
          <w:szCs w:val="22"/>
        </w:rPr>
        <w:t xml:space="preserve">spojení: </w:t>
      </w:r>
      <w:r>
        <w:rPr>
          <w:sz w:val="22"/>
          <w:szCs w:val="22"/>
        </w:rPr>
        <w:t xml:space="preserve"> </w:t>
      </w:r>
      <w:r w:rsidR="009B3DCF">
        <w:rPr>
          <w:sz w:val="22"/>
          <w:szCs w:val="22"/>
        </w:rPr>
        <w:t>XXXX</w:t>
      </w:r>
      <w:proofErr w:type="gramEnd"/>
    </w:p>
    <w:p w14:paraId="72A82FBC" w14:textId="25EC35A4" w:rsidR="00F80C08" w:rsidRDefault="00B17623" w:rsidP="00B17623">
      <w:pPr>
        <w:rPr>
          <w:color w:val="000000"/>
          <w:sz w:val="22"/>
          <w:szCs w:val="22"/>
        </w:rPr>
      </w:pPr>
      <w:r w:rsidRPr="00F80C08">
        <w:rPr>
          <w:color w:val="000000"/>
          <w:sz w:val="22"/>
          <w:szCs w:val="22"/>
        </w:rPr>
        <w:t xml:space="preserve">Kontaktní </w:t>
      </w:r>
      <w:proofErr w:type="gramStart"/>
      <w:r w:rsidRPr="00F80C08">
        <w:rPr>
          <w:color w:val="000000"/>
          <w:sz w:val="22"/>
          <w:szCs w:val="22"/>
        </w:rPr>
        <w:t>osoba:</w:t>
      </w:r>
      <w:r w:rsidR="00F80C08">
        <w:rPr>
          <w:color w:val="000000"/>
          <w:sz w:val="22"/>
          <w:szCs w:val="22"/>
        </w:rPr>
        <w:t xml:space="preserve">  </w:t>
      </w:r>
      <w:r w:rsidR="009B3DCF">
        <w:rPr>
          <w:color w:val="000000"/>
          <w:sz w:val="22"/>
          <w:szCs w:val="22"/>
        </w:rPr>
        <w:t>XXXX</w:t>
      </w:r>
      <w:proofErr w:type="gramEnd"/>
    </w:p>
    <w:p w14:paraId="393C2FC4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F80C08">
        <w:rPr>
          <w:color w:val="000000"/>
          <w:sz w:val="22"/>
          <w:szCs w:val="22"/>
        </w:rPr>
        <w:t>(dále jen „Zástupce objednatele“)</w:t>
      </w:r>
    </w:p>
    <w:p w14:paraId="55013E67" w14:textId="77777777" w:rsidR="00B17623" w:rsidRPr="000F497D" w:rsidRDefault="00B17623" w:rsidP="00B17623">
      <w:pPr>
        <w:rPr>
          <w:color w:val="000000"/>
          <w:sz w:val="22"/>
          <w:szCs w:val="22"/>
        </w:rPr>
      </w:pPr>
    </w:p>
    <w:p w14:paraId="2BC3EB35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0F497D">
        <w:rPr>
          <w:b/>
          <w:bCs/>
          <w:color w:val="000000"/>
          <w:sz w:val="22"/>
          <w:szCs w:val="22"/>
        </w:rPr>
        <w:t>Doručovací adresa:</w:t>
      </w:r>
    </w:p>
    <w:p w14:paraId="1623186A" w14:textId="77777777" w:rsidR="001053AB" w:rsidRPr="00FA303A" w:rsidRDefault="001053AB" w:rsidP="001053AB">
      <w:pPr>
        <w:rPr>
          <w:sz w:val="22"/>
          <w:szCs w:val="22"/>
        </w:rPr>
      </w:pPr>
      <w:r w:rsidRPr="00FA303A">
        <w:rPr>
          <w:sz w:val="22"/>
          <w:szCs w:val="22"/>
        </w:rPr>
        <w:t xml:space="preserve">Národní památkový ústav, správa </w:t>
      </w:r>
      <w:r>
        <w:rPr>
          <w:sz w:val="22"/>
          <w:szCs w:val="22"/>
        </w:rPr>
        <w:t>zámku Valeč</w:t>
      </w:r>
    </w:p>
    <w:p w14:paraId="5B6C4AE9" w14:textId="77777777" w:rsidR="001053AB" w:rsidRPr="00FA303A" w:rsidRDefault="001053AB" w:rsidP="001053AB">
      <w:pPr>
        <w:rPr>
          <w:sz w:val="22"/>
          <w:szCs w:val="22"/>
        </w:rPr>
      </w:pPr>
      <w:proofErr w:type="gramStart"/>
      <w:r w:rsidRPr="00FA303A">
        <w:rPr>
          <w:sz w:val="22"/>
          <w:szCs w:val="22"/>
        </w:rPr>
        <w:t xml:space="preserve">adresa: </w:t>
      </w:r>
      <w:r>
        <w:rPr>
          <w:sz w:val="22"/>
          <w:szCs w:val="22"/>
        </w:rPr>
        <w:t xml:space="preserve"> státní</w:t>
      </w:r>
      <w:proofErr w:type="gramEnd"/>
      <w:r>
        <w:rPr>
          <w:sz w:val="22"/>
          <w:szCs w:val="22"/>
        </w:rPr>
        <w:t xml:space="preserve"> zámek Valeč, 364 55  Valeč v Čechách</w:t>
      </w:r>
    </w:p>
    <w:p w14:paraId="6482B385" w14:textId="6AADE7F4" w:rsidR="001053AB" w:rsidRPr="008A57FB" w:rsidRDefault="001053AB" w:rsidP="001053AB">
      <w:pPr>
        <w:rPr>
          <w:sz w:val="22"/>
          <w:szCs w:val="22"/>
        </w:rPr>
      </w:pPr>
      <w:r w:rsidRPr="00FA303A">
        <w:rPr>
          <w:sz w:val="22"/>
          <w:szCs w:val="22"/>
        </w:rPr>
        <w:t xml:space="preserve">tel.: </w:t>
      </w:r>
      <w:r w:rsidR="009B3DCF">
        <w:rPr>
          <w:sz w:val="22"/>
          <w:szCs w:val="22"/>
        </w:rPr>
        <w:t>XXXX</w:t>
      </w:r>
    </w:p>
    <w:p w14:paraId="052DDE38" w14:textId="77777777" w:rsidR="00B17623" w:rsidRPr="000F497D" w:rsidRDefault="001053AB" w:rsidP="001053AB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B17623" w:rsidRPr="000F497D">
        <w:rPr>
          <w:color w:val="000000"/>
          <w:sz w:val="22"/>
          <w:szCs w:val="22"/>
        </w:rPr>
        <w:t>(dále jen „</w:t>
      </w:r>
      <w:r w:rsidR="00B17623">
        <w:rPr>
          <w:b/>
          <w:color w:val="000000"/>
          <w:sz w:val="22"/>
          <w:szCs w:val="22"/>
        </w:rPr>
        <w:t>Objednatel</w:t>
      </w:r>
      <w:r w:rsidR="00B17623" w:rsidRPr="000F497D">
        <w:rPr>
          <w:color w:val="000000"/>
          <w:sz w:val="22"/>
          <w:szCs w:val="22"/>
        </w:rPr>
        <w:t>“)</w:t>
      </w:r>
    </w:p>
    <w:p w14:paraId="4BB2C935" w14:textId="77777777" w:rsidR="00B17623" w:rsidRPr="000F497D" w:rsidRDefault="00B17623" w:rsidP="00B17623">
      <w:pPr>
        <w:rPr>
          <w:color w:val="000000"/>
          <w:sz w:val="22"/>
          <w:szCs w:val="22"/>
        </w:rPr>
      </w:pPr>
    </w:p>
    <w:p w14:paraId="24DDDF4E" w14:textId="77777777" w:rsidR="00B17623" w:rsidRPr="000F497D" w:rsidRDefault="00B17623" w:rsidP="00B17623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6ECC8023" w14:textId="77777777" w:rsidR="00B17623" w:rsidRPr="000F497D" w:rsidRDefault="00B17623" w:rsidP="00B17623">
      <w:pPr>
        <w:rPr>
          <w:color w:val="000000"/>
          <w:sz w:val="22"/>
          <w:szCs w:val="22"/>
        </w:rPr>
      </w:pPr>
    </w:p>
    <w:p w14:paraId="365C9F86" w14:textId="77777777" w:rsidR="00F80C08" w:rsidRPr="00514EEF" w:rsidRDefault="00256E4A" w:rsidP="00F80C08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Slosante</w:t>
      </w:r>
      <w:proofErr w:type="spellEnd"/>
      <w:r w:rsidR="000D5DE5">
        <w:rPr>
          <w:rFonts w:cs="Arial"/>
          <w:b/>
          <w:sz w:val="22"/>
          <w:szCs w:val="22"/>
        </w:rPr>
        <w:t xml:space="preserve"> s.r.o.</w:t>
      </w:r>
    </w:p>
    <w:p w14:paraId="1A60A53C" w14:textId="50715515" w:rsidR="00F80C08" w:rsidRDefault="00F80C08" w:rsidP="00F80C08">
      <w:pPr>
        <w:rPr>
          <w:rFonts w:cs="Arial"/>
          <w:sz w:val="22"/>
          <w:szCs w:val="22"/>
        </w:rPr>
      </w:pPr>
      <w:r w:rsidRPr="00514EEF">
        <w:rPr>
          <w:rFonts w:cs="Arial"/>
          <w:sz w:val="22"/>
          <w:szCs w:val="22"/>
        </w:rPr>
        <w:t>se sídlem:</w:t>
      </w:r>
      <w:r>
        <w:rPr>
          <w:rFonts w:cs="Arial"/>
          <w:sz w:val="22"/>
          <w:szCs w:val="22"/>
        </w:rPr>
        <w:t xml:space="preserve"> </w:t>
      </w:r>
      <w:r w:rsidR="00256E4A">
        <w:rPr>
          <w:rFonts w:cs="Arial"/>
          <w:sz w:val="22"/>
          <w:szCs w:val="22"/>
        </w:rPr>
        <w:t xml:space="preserve">Pražská </w:t>
      </w:r>
      <w:proofErr w:type="gramStart"/>
      <w:r w:rsidR="00256E4A">
        <w:rPr>
          <w:rFonts w:cs="Arial"/>
          <w:sz w:val="22"/>
          <w:szCs w:val="22"/>
        </w:rPr>
        <w:t>851,  438</w:t>
      </w:r>
      <w:proofErr w:type="gramEnd"/>
      <w:r w:rsidR="00256E4A">
        <w:rPr>
          <w:rFonts w:cs="Arial"/>
          <w:sz w:val="22"/>
          <w:szCs w:val="22"/>
        </w:rPr>
        <w:t xml:space="preserve"> 01  Žatec</w:t>
      </w:r>
    </w:p>
    <w:p w14:paraId="26D9DFA5" w14:textId="389D5110" w:rsidR="006F795F" w:rsidRPr="00CA3AA0" w:rsidRDefault="006F795F" w:rsidP="00CA3AA0">
      <w:pPr>
        <w:rPr>
          <w:b/>
          <w:color w:val="000000"/>
          <w:sz w:val="22"/>
          <w:szCs w:val="22"/>
        </w:rPr>
      </w:pPr>
      <w:r w:rsidRPr="006F795F">
        <w:rPr>
          <w:color w:val="000000"/>
          <w:sz w:val="22"/>
          <w:szCs w:val="22"/>
        </w:rPr>
        <w:t>zapsaný v obchodní rejstříku vedeném u Krajského soudu</w:t>
      </w:r>
      <w:r>
        <w:rPr>
          <w:color w:val="000000"/>
          <w:sz w:val="22"/>
          <w:szCs w:val="22"/>
        </w:rPr>
        <w:t xml:space="preserve"> v Ústí nad Labem,</w:t>
      </w:r>
      <w:r w:rsidR="00CA3AA0">
        <w:rPr>
          <w:color w:val="000000"/>
          <w:sz w:val="22"/>
          <w:szCs w:val="22"/>
        </w:rPr>
        <w:t xml:space="preserve"> </w:t>
      </w:r>
      <w:r w:rsidRPr="006F795F">
        <w:rPr>
          <w:color w:val="000000"/>
          <w:sz w:val="22"/>
          <w:szCs w:val="22"/>
        </w:rPr>
        <w:t>vložka</w:t>
      </w:r>
      <w:r>
        <w:rPr>
          <w:b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C 15138 </w:t>
      </w:r>
    </w:p>
    <w:p w14:paraId="08AFA234" w14:textId="77777777" w:rsidR="00F80C08" w:rsidRDefault="00F80C08" w:rsidP="00F80C08">
      <w:pPr>
        <w:rPr>
          <w:rFonts w:cs="Arial"/>
          <w:sz w:val="22"/>
          <w:szCs w:val="22"/>
        </w:rPr>
      </w:pPr>
      <w:proofErr w:type="gramStart"/>
      <w:r w:rsidRPr="00514EEF">
        <w:rPr>
          <w:rFonts w:cs="Arial"/>
          <w:sz w:val="22"/>
          <w:szCs w:val="22"/>
        </w:rPr>
        <w:t>IČO</w:t>
      </w:r>
      <w:r>
        <w:rPr>
          <w:rFonts w:cs="Arial"/>
          <w:sz w:val="22"/>
          <w:szCs w:val="22"/>
        </w:rPr>
        <w:t xml:space="preserve">: </w:t>
      </w:r>
      <w:r w:rsidR="00256E4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25400045</w:t>
      </w:r>
      <w:proofErr w:type="gramEnd"/>
    </w:p>
    <w:p w14:paraId="54EE493B" w14:textId="77777777" w:rsidR="007245EB" w:rsidRPr="00514EEF" w:rsidRDefault="007245EB" w:rsidP="00F80C08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Zastoupen </w:t>
      </w:r>
      <w:r w:rsidR="000D5DE5">
        <w:rPr>
          <w:rFonts w:cs="Arial"/>
          <w:sz w:val="22"/>
          <w:szCs w:val="22"/>
        </w:rPr>
        <w:t xml:space="preserve"> </w:t>
      </w:r>
      <w:r w:rsidR="00256E4A">
        <w:rPr>
          <w:rFonts w:cs="Arial"/>
          <w:sz w:val="22"/>
          <w:szCs w:val="22"/>
        </w:rPr>
        <w:t>Ivou</w:t>
      </w:r>
      <w:proofErr w:type="gramEnd"/>
      <w:r w:rsidR="00256E4A">
        <w:rPr>
          <w:rFonts w:cs="Arial"/>
          <w:sz w:val="22"/>
          <w:szCs w:val="22"/>
        </w:rPr>
        <w:t xml:space="preserve"> Martínkovou, jednatelkou</w:t>
      </w:r>
    </w:p>
    <w:p w14:paraId="547C39F1" w14:textId="77777777" w:rsidR="00B17623" w:rsidRPr="000F497D" w:rsidRDefault="00F80C08" w:rsidP="00F80C08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B17623" w:rsidRPr="000F497D">
        <w:rPr>
          <w:color w:val="000000"/>
          <w:sz w:val="22"/>
          <w:szCs w:val="22"/>
        </w:rPr>
        <w:t>(dále jen „</w:t>
      </w:r>
      <w:r w:rsidR="00B17623">
        <w:rPr>
          <w:b/>
          <w:color w:val="000000"/>
          <w:sz w:val="22"/>
          <w:szCs w:val="22"/>
        </w:rPr>
        <w:t>Zhotovitel</w:t>
      </w:r>
      <w:r w:rsidR="00B17623" w:rsidRPr="000F497D">
        <w:rPr>
          <w:color w:val="000000"/>
          <w:sz w:val="22"/>
          <w:szCs w:val="22"/>
        </w:rPr>
        <w:t>“)</w:t>
      </w:r>
    </w:p>
    <w:p w14:paraId="3CC7C6C4" w14:textId="77777777" w:rsidR="00B17623" w:rsidRPr="000F497D" w:rsidRDefault="00B17623" w:rsidP="00B17623">
      <w:pPr>
        <w:rPr>
          <w:color w:val="000000"/>
          <w:sz w:val="22"/>
          <w:szCs w:val="22"/>
        </w:rPr>
      </w:pPr>
    </w:p>
    <w:p w14:paraId="57211C7A" w14:textId="77777777" w:rsidR="00B17623" w:rsidRPr="000F497D" w:rsidRDefault="00B17623" w:rsidP="00B17623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2C4E54E8" w14:textId="77777777" w:rsidR="00B17623" w:rsidRPr="000F497D" w:rsidRDefault="00B17623" w:rsidP="00B17623">
      <w:pPr>
        <w:rPr>
          <w:color w:val="000000"/>
          <w:sz w:val="22"/>
          <w:szCs w:val="22"/>
        </w:rPr>
      </w:pPr>
    </w:p>
    <w:p w14:paraId="541C00ED" w14:textId="77777777" w:rsidR="00B17623" w:rsidRPr="000F497D" w:rsidRDefault="00B17623" w:rsidP="00B17623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515C6A39" w14:textId="77777777" w:rsidR="00B17623" w:rsidRPr="000F497D" w:rsidRDefault="00B17623" w:rsidP="00B17623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6163FCA6" w14:textId="77777777" w:rsidR="00B17623" w:rsidRPr="00F7639D" w:rsidRDefault="00B17623" w:rsidP="00B17623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53E05461" w14:textId="77777777" w:rsidR="00B17623" w:rsidRPr="000F497D" w:rsidRDefault="00B17623" w:rsidP="00B17623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6011F28A" w14:textId="77777777" w:rsidR="00B17623" w:rsidRPr="006D1683" w:rsidRDefault="00B17623" w:rsidP="00B17623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2B928827" w14:textId="77777777" w:rsidR="00B17623" w:rsidRPr="006D1683" w:rsidRDefault="00B17623" w:rsidP="00B17623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2F7E08DA" w14:textId="77777777" w:rsidR="00B17623" w:rsidRDefault="00B17623" w:rsidP="00B17623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>Předmět smlouvy</w:t>
      </w:r>
      <w:bookmarkEnd w:id="0"/>
    </w:p>
    <w:p w14:paraId="11264E04" w14:textId="4B63FDD1" w:rsidR="00B17623" w:rsidRDefault="00B17623" w:rsidP="00B17623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  <w:highlight w:val="lightGray"/>
        </w:rPr>
      </w:pPr>
      <w:bookmarkStart w:id="1" w:name="_Ref29209901"/>
      <w:r w:rsidRPr="00D74A81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="006160A5" w:rsidRPr="006160A5">
        <w:rPr>
          <w:rFonts w:ascii="Calibri" w:hAnsi="Calibri"/>
          <w:b/>
          <w:bCs/>
          <w:sz w:val="22"/>
          <w:szCs w:val="22"/>
        </w:rPr>
        <w:t>oprava přípravy teplé vody správní budovy</w:t>
      </w:r>
      <w:r w:rsidR="006160A5">
        <w:rPr>
          <w:rFonts w:ascii="Calibri" w:hAnsi="Calibri"/>
          <w:b/>
          <w:bCs/>
          <w:sz w:val="22"/>
          <w:szCs w:val="22"/>
        </w:rPr>
        <w:t xml:space="preserve">. </w:t>
      </w:r>
      <w:r w:rsidR="006160A5" w:rsidRPr="006160A5">
        <w:rPr>
          <w:rFonts w:ascii="Calibri" w:hAnsi="Calibri"/>
          <w:sz w:val="22"/>
          <w:szCs w:val="22"/>
        </w:rPr>
        <w:t>Dílo zahrnuje</w:t>
      </w:r>
      <w:r w:rsidR="006160A5">
        <w:rPr>
          <w:rFonts w:ascii="Calibri" w:hAnsi="Calibri"/>
          <w:sz w:val="22"/>
          <w:szCs w:val="22"/>
        </w:rPr>
        <w:t xml:space="preserve"> opravu nefunkčních rozdělovačů a celkové přepojení ohřevu akumulační nádoby, aby bylo možné plně využít výkonu nově instalovaného kotle Blaze </w:t>
      </w:r>
      <w:proofErr w:type="spellStart"/>
      <w:r w:rsidR="006160A5">
        <w:rPr>
          <w:rFonts w:ascii="Calibri" w:hAnsi="Calibri"/>
          <w:sz w:val="22"/>
          <w:szCs w:val="22"/>
        </w:rPr>
        <w:t>Harmony</w:t>
      </w:r>
      <w:proofErr w:type="spellEnd"/>
      <w:r w:rsidR="006160A5">
        <w:rPr>
          <w:rFonts w:ascii="Calibri" w:hAnsi="Calibri"/>
          <w:sz w:val="22"/>
          <w:szCs w:val="22"/>
        </w:rPr>
        <w:t>. D</w:t>
      </w:r>
      <w:r w:rsidRPr="006160A5">
        <w:rPr>
          <w:rFonts w:ascii="Calibri" w:hAnsi="Calibri"/>
          <w:sz w:val="22"/>
          <w:szCs w:val="22"/>
        </w:rPr>
        <w:t xml:space="preserve">ílo je specifikované podrobněji v dalších částech této Smlouvy, </w:t>
      </w:r>
      <w:r w:rsidRPr="006160A5">
        <w:rPr>
          <w:rFonts w:ascii="Calibri" w:hAnsi="Calibri"/>
          <w:sz w:val="22"/>
          <w:szCs w:val="22"/>
          <w:highlight w:val="lightGray"/>
        </w:rPr>
        <w:t>zejména v Příloze 1</w:t>
      </w:r>
      <w:r w:rsidR="006160A5" w:rsidRPr="006160A5">
        <w:rPr>
          <w:rFonts w:ascii="Calibri" w:hAnsi="Calibri"/>
          <w:sz w:val="22"/>
          <w:szCs w:val="22"/>
          <w:highlight w:val="lightGray"/>
        </w:rPr>
        <w:t xml:space="preserve"> -</w:t>
      </w:r>
      <w:r w:rsidRPr="006160A5">
        <w:rPr>
          <w:rFonts w:ascii="Calibri" w:hAnsi="Calibri"/>
          <w:sz w:val="22"/>
          <w:szCs w:val="22"/>
          <w:highlight w:val="lightGray"/>
        </w:rPr>
        <w:t xml:space="preserve"> Rozpočet</w:t>
      </w:r>
      <w:r w:rsidRPr="006160A5">
        <w:rPr>
          <w:rFonts w:ascii="Calibri" w:hAnsi="Calibri"/>
          <w:sz w:val="22"/>
          <w:szCs w:val="22"/>
        </w:rPr>
        <w:t xml:space="preserve"> (dále jen „Dílo“).</w:t>
      </w:r>
      <w:r w:rsidRPr="00D74A81">
        <w:rPr>
          <w:rFonts w:ascii="Calibri" w:hAnsi="Calibri"/>
          <w:sz w:val="22"/>
          <w:szCs w:val="22"/>
        </w:rPr>
        <w:t xml:space="preserve"> </w:t>
      </w:r>
    </w:p>
    <w:p w14:paraId="058BB97C" w14:textId="77777777" w:rsidR="00B17623" w:rsidRDefault="00B17623" w:rsidP="00B17623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5C578F34" w14:textId="3035262D" w:rsidR="00B17623" w:rsidRPr="002B3F89" w:rsidRDefault="00B17623" w:rsidP="00B17623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plnění je </w:t>
      </w:r>
      <w:r w:rsidR="009C4985">
        <w:rPr>
          <w:rFonts w:ascii="Calibri" w:hAnsi="Calibri"/>
          <w:sz w:val="22"/>
          <w:szCs w:val="22"/>
        </w:rPr>
        <w:t>areál SZ Valeč, okr. Karlovy Vary</w:t>
      </w:r>
      <w:r w:rsidRPr="002B3F89">
        <w:rPr>
          <w:rFonts w:ascii="Calibri" w:hAnsi="Calibri"/>
          <w:sz w:val="22"/>
          <w:szCs w:val="22"/>
        </w:rPr>
        <w:t xml:space="preserve">. </w:t>
      </w:r>
    </w:p>
    <w:p w14:paraId="261DB0D5" w14:textId="77777777" w:rsidR="00B17623" w:rsidRPr="002A2068" w:rsidRDefault="00B17623" w:rsidP="00B17623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14:paraId="5C15A748" w14:textId="77777777" w:rsidR="00B17623" w:rsidRDefault="00B17623" w:rsidP="00B17623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45BF4F12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Strany musí při realizaci předmětu plnění jednat poctivě a s řádnou odbornou péčí, s potřebnou znalostí a pečlivostí. </w:t>
      </w:r>
    </w:p>
    <w:p w14:paraId="57493E2E" w14:textId="77777777" w:rsidR="00B17623" w:rsidRPr="00426251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FE33FFB" w14:textId="77777777" w:rsidR="00B17623" w:rsidRPr="002A2068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14:paraId="3C1A4EC9" w14:textId="77777777" w:rsidR="00B17623" w:rsidRPr="002A2068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584D3D40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26339DFD" w14:textId="77777777" w:rsidR="00B17623" w:rsidRPr="002A2068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2540AF4E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3D92063F" w14:textId="77777777" w:rsidR="00B17623" w:rsidRPr="006D1683" w:rsidRDefault="00B17623" w:rsidP="00B1762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26068098" w14:textId="77777777" w:rsidR="00B17623" w:rsidRDefault="00B17623" w:rsidP="00B17623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62801BA9" w14:textId="77777777" w:rsidR="00B17623" w:rsidRPr="006D168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67B2176E" w14:textId="77777777" w:rsidR="00B17623" w:rsidRPr="007767E0" w:rsidRDefault="00B17623" w:rsidP="00B17623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3639CC86" w14:textId="2BF246E9" w:rsidR="00B17623" w:rsidRPr="007767E0" w:rsidRDefault="00B17623" w:rsidP="00B17623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="006160A5">
        <w:rPr>
          <w:b/>
          <w:sz w:val="22"/>
          <w:szCs w:val="22"/>
          <w:u w:val="none"/>
          <w:lang w:val="cs-CZ"/>
        </w:rPr>
        <w:t>60</w:t>
      </w:r>
      <w:r w:rsidRPr="000D1295">
        <w:rPr>
          <w:b/>
          <w:sz w:val="22"/>
          <w:szCs w:val="22"/>
          <w:u w:val="none"/>
          <w:lang w:val="cs-CZ"/>
        </w:rPr>
        <w:t xml:space="preserve"> </w:t>
      </w:r>
      <w:r>
        <w:rPr>
          <w:b/>
          <w:sz w:val="22"/>
          <w:szCs w:val="22"/>
          <w:u w:val="none"/>
          <w:lang w:val="cs-CZ"/>
        </w:rPr>
        <w:t>dnů</w:t>
      </w:r>
      <w:r w:rsidRPr="000D1295">
        <w:rPr>
          <w:b/>
          <w:sz w:val="22"/>
          <w:szCs w:val="22"/>
          <w:u w:val="none"/>
          <w:lang w:val="cs-CZ"/>
        </w:rPr>
        <w:t xml:space="preserve"> ode dne nabytí</w:t>
      </w:r>
      <w:r w:rsidRPr="007767E0">
        <w:rPr>
          <w:b/>
          <w:sz w:val="22"/>
          <w:szCs w:val="22"/>
          <w:u w:val="none"/>
          <w:lang w:val="cs-CZ"/>
        </w:rPr>
        <w:t xml:space="preserve"> účinnosti této Smlouvy</w:t>
      </w:r>
    </w:p>
    <w:p w14:paraId="62680A4B" w14:textId="77777777" w:rsidR="00B17623" w:rsidRPr="008E077E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4C5FC260" w14:textId="77777777" w:rsidR="00B17623" w:rsidRDefault="00B17623" w:rsidP="00B17623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10B0C2A1" w14:textId="77777777" w:rsidR="00B17623" w:rsidRDefault="00B17623" w:rsidP="00B17623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68276796" w14:textId="0897320A" w:rsidR="00B17623" w:rsidRDefault="00B17623" w:rsidP="00B17623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(</w:t>
      </w:r>
      <w:r w:rsidRPr="00901079">
        <w:rPr>
          <w:sz w:val="22"/>
          <w:szCs w:val="22"/>
          <w:highlight w:val="lightGray"/>
          <w:u w:val="none"/>
          <w:lang w:val="cs-CZ"/>
        </w:rPr>
        <w:t>závěrečná zp</w:t>
      </w:r>
      <w:r>
        <w:rPr>
          <w:sz w:val="22"/>
          <w:szCs w:val="22"/>
          <w:highlight w:val="lightGray"/>
          <w:u w:val="none"/>
          <w:lang w:val="cs-CZ"/>
        </w:rPr>
        <w:t>ráva)</w:t>
      </w:r>
      <w:r>
        <w:rPr>
          <w:sz w:val="22"/>
          <w:szCs w:val="22"/>
          <w:u w:val="none"/>
        </w:rPr>
        <w:t>.</w:t>
      </w:r>
    </w:p>
    <w:p w14:paraId="4ABDE22C" w14:textId="77777777" w:rsidR="00B17623" w:rsidRPr="005653DC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719A9569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5262DEC5" w14:textId="77777777" w:rsidR="00B17623" w:rsidRDefault="00B17623" w:rsidP="00B1762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6090EB3" w14:textId="77777777" w:rsidR="00B17623" w:rsidRPr="00C45AAE" w:rsidRDefault="00B17623" w:rsidP="00B17623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1485A86B" w14:textId="77777777" w:rsidR="00B17623" w:rsidRPr="0020035D" w:rsidRDefault="00B17623" w:rsidP="00B17623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415837">
        <w:rPr>
          <w:sz w:val="22"/>
          <w:szCs w:val="22"/>
          <w:highlight w:val="lightGray"/>
          <w:u w:val="none"/>
        </w:rPr>
        <w:t>u</w:t>
      </w:r>
      <w:r>
        <w:rPr>
          <w:sz w:val="22"/>
          <w:szCs w:val="22"/>
          <w:highlight w:val="lightGray"/>
          <w:u w:val="none"/>
        </w:rPr>
        <w:t>vedených Zhotovitelem v Příloze</w:t>
      </w:r>
      <w:r w:rsidRPr="00415837">
        <w:rPr>
          <w:sz w:val="22"/>
          <w:szCs w:val="22"/>
          <w:highlight w:val="lightGray"/>
          <w:u w:val="none"/>
        </w:rPr>
        <w:t>: Rozpočet</w:t>
      </w:r>
      <w:r w:rsidRPr="0020035D">
        <w:rPr>
          <w:sz w:val="22"/>
          <w:szCs w:val="22"/>
          <w:u w:val="none"/>
        </w:rPr>
        <w:t>:</w:t>
      </w:r>
    </w:p>
    <w:p w14:paraId="35C6E25C" w14:textId="55687A41" w:rsidR="00B17623" w:rsidRPr="00CF61C8" w:rsidRDefault="00B17623" w:rsidP="00B1762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v celkové výši </w:t>
      </w:r>
      <w:r w:rsidR="006160A5">
        <w:rPr>
          <w:b/>
          <w:sz w:val="22"/>
          <w:szCs w:val="22"/>
          <w:u w:val="none"/>
          <w:lang w:val="cs-CZ"/>
        </w:rPr>
        <w:t>79 120</w:t>
      </w:r>
      <w:r w:rsidR="006160A5" w:rsidRPr="005C5B9D">
        <w:rPr>
          <w:b/>
          <w:bCs/>
          <w:sz w:val="22"/>
          <w:szCs w:val="22"/>
          <w:u w:val="none"/>
          <w:lang w:val="cs-CZ"/>
        </w:rPr>
        <w:t xml:space="preserve"> </w:t>
      </w:r>
      <w:r w:rsidR="00697FAC" w:rsidRPr="005C5B9D">
        <w:rPr>
          <w:b/>
          <w:bCs/>
          <w:sz w:val="22"/>
          <w:szCs w:val="22"/>
          <w:u w:val="none"/>
          <w:lang w:val="cs-CZ"/>
        </w:rPr>
        <w:t>Kč</w:t>
      </w:r>
      <w:r w:rsidR="00697FAC">
        <w:rPr>
          <w:sz w:val="22"/>
          <w:szCs w:val="22"/>
          <w:u w:val="none"/>
          <w:lang w:val="cs-CZ"/>
        </w:rPr>
        <w:t xml:space="preserve">  </w:t>
      </w:r>
      <w:r w:rsidRPr="0020035D">
        <w:rPr>
          <w:sz w:val="22"/>
          <w:szCs w:val="22"/>
          <w:u w:val="none"/>
        </w:rPr>
        <w:t xml:space="preserve">(„Smluvní cena“); </w:t>
      </w:r>
      <w:r>
        <w:rPr>
          <w:sz w:val="22"/>
          <w:szCs w:val="22"/>
          <w:u w:val="none"/>
          <w:lang w:val="cs-CZ"/>
        </w:rPr>
        <w:t>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  <w:r w:rsidR="005C5B9D">
        <w:rPr>
          <w:sz w:val="22"/>
          <w:szCs w:val="22"/>
          <w:u w:val="none"/>
          <w:lang w:val="cs-CZ"/>
        </w:rPr>
        <w:t xml:space="preserve">,  </w:t>
      </w:r>
      <w:r w:rsidRPr="0020035D">
        <w:rPr>
          <w:sz w:val="22"/>
          <w:szCs w:val="22"/>
          <w:u w:val="none"/>
        </w:rPr>
        <w:t xml:space="preserve">sazba DPH ve výši 21 % ve výši </w:t>
      </w:r>
      <w:r w:rsidR="005C5B9D" w:rsidRPr="005C5B9D">
        <w:rPr>
          <w:sz w:val="22"/>
          <w:szCs w:val="22"/>
          <w:u w:val="none"/>
        </w:rPr>
        <w:t>16</w:t>
      </w:r>
      <w:r w:rsidR="005C5B9D">
        <w:rPr>
          <w:sz w:val="22"/>
          <w:szCs w:val="22"/>
          <w:u w:val="none"/>
          <w:lang w:val="cs-CZ"/>
        </w:rPr>
        <w:t xml:space="preserve"> </w:t>
      </w:r>
      <w:r w:rsidR="005C5B9D" w:rsidRPr="005C5B9D">
        <w:rPr>
          <w:sz w:val="22"/>
          <w:szCs w:val="22"/>
          <w:u w:val="none"/>
        </w:rPr>
        <w:t>615,20</w:t>
      </w:r>
      <w:r w:rsidR="005C5B9D"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Kč</w:t>
      </w:r>
      <w:r w:rsidR="005C5B9D">
        <w:rPr>
          <w:sz w:val="22"/>
          <w:szCs w:val="22"/>
          <w:u w:val="none"/>
          <w:lang w:val="cs-CZ"/>
        </w:rPr>
        <w:t xml:space="preserve">, </w:t>
      </w:r>
      <w:r w:rsidR="005C5B9D" w:rsidRPr="005C5B9D">
        <w:rPr>
          <w:b/>
          <w:bCs/>
          <w:sz w:val="22"/>
          <w:szCs w:val="22"/>
          <w:u w:val="none"/>
          <w:lang w:val="cs-CZ"/>
        </w:rPr>
        <w:t>Celková cena s DPH 95</w:t>
      </w:r>
      <w:r w:rsidR="005C5B9D">
        <w:rPr>
          <w:b/>
          <w:bCs/>
          <w:sz w:val="22"/>
          <w:szCs w:val="22"/>
          <w:u w:val="none"/>
          <w:lang w:val="cs-CZ"/>
        </w:rPr>
        <w:t xml:space="preserve"> </w:t>
      </w:r>
      <w:r w:rsidR="005C5B9D" w:rsidRPr="005C5B9D">
        <w:rPr>
          <w:b/>
          <w:bCs/>
          <w:sz w:val="22"/>
          <w:szCs w:val="22"/>
          <w:u w:val="none"/>
          <w:lang w:val="cs-CZ"/>
        </w:rPr>
        <w:t>735,20 Kč</w:t>
      </w:r>
      <w:r w:rsidR="005C5B9D">
        <w:rPr>
          <w:b/>
          <w:bCs/>
          <w:sz w:val="22"/>
          <w:szCs w:val="22"/>
          <w:u w:val="none"/>
          <w:lang w:val="cs-CZ"/>
        </w:rPr>
        <w:t>.</w:t>
      </w:r>
    </w:p>
    <w:p w14:paraId="29E6BEB0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142E228F" w14:textId="04356A29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 a ostatní náklady související s plněním podmínek dle této Smlouvy.</w:t>
      </w:r>
    </w:p>
    <w:p w14:paraId="48F07967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lastRenderedPageBreak/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4C6E39C3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3BAAC369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300861B9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797EFE">
        <w:rPr>
          <w:sz w:val="22"/>
          <w:szCs w:val="22"/>
          <w:highlight w:val="lightGray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4C99B393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3F8ADF2D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14:paraId="4DA093D8" w14:textId="4425577B" w:rsidR="00B17623" w:rsidRPr="00800EAC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elektronické podobě </w:t>
      </w:r>
      <w:r w:rsidRPr="006B5F46">
        <w:rPr>
          <w:sz w:val="22"/>
          <w:szCs w:val="22"/>
          <w:u w:val="none"/>
        </w:rPr>
        <w:t xml:space="preserve">na e-mailovou adresu: </w:t>
      </w:r>
      <w:r w:rsidR="005C5B9D" w:rsidRPr="005C5B9D">
        <w:rPr>
          <w:sz w:val="22"/>
          <w:szCs w:val="22"/>
          <w:u w:val="none"/>
        </w:rPr>
        <w:t>ups.pr.fakturace@npu.cz</w:t>
      </w:r>
      <w:r w:rsidRPr="00800EAC">
        <w:rPr>
          <w:sz w:val="22"/>
          <w:szCs w:val="22"/>
          <w:u w:val="none"/>
        </w:rPr>
        <w:t xml:space="preserve">. </w:t>
      </w:r>
    </w:p>
    <w:p w14:paraId="24549EC9" w14:textId="77777777" w:rsidR="00B17623" w:rsidRPr="00800EAC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5D5C4C46" w14:textId="77777777" w:rsidR="00B17623" w:rsidRPr="0020035D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38E70FAB" w14:textId="77777777" w:rsidR="00B17623" w:rsidRPr="00305F40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4"/>
    </w:p>
    <w:p w14:paraId="1350DEBA" w14:textId="77777777" w:rsidR="00B17623" w:rsidRPr="000F1411" w:rsidRDefault="00B17623" w:rsidP="00B17623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207D439D" w14:textId="77777777" w:rsidR="00B17623" w:rsidRDefault="00B17623" w:rsidP="00B17623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0097A0CD" w14:textId="77777777" w:rsidR="00B17623" w:rsidRPr="00262A63" w:rsidRDefault="00B17623" w:rsidP="00B17623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540085E1" w14:textId="77777777" w:rsidR="00B17623" w:rsidRPr="00262A6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331CE56D" w14:textId="6799EB9D" w:rsidR="00B17623" w:rsidRPr="006B5F4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6B5F46">
        <w:rPr>
          <w:sz w:val="22"/>
          <w:szCs w:val="22"/>
          <w:u w:val="none"/>
        </w:rPr>
        <w:t>36 měsíců. Počátek běhu záruční doby se počítá ode dne dokončení Díla jako celku uvedeného v</w:t>
      </w:r>
      <w:r w:rsidRPr="006B5F46">
        <w:rPr>
          <w:sz w:val="22"/>
          <w:szCs w:val="22"/>
          <w:u w:val="none"/>
          <w:lang w:val="cs-CZ"/>
        </w:rPr>
        <w:t xml:space="preserve"> předávacím protokolu. </w:t>
      </w:r>
      <w:r w:rsidRPr="006B5F46">
        <w:rPr>
          <w:sz w:val="22"/>
          <w:szCs w:val="22"/>
          <w:u w:val="none"/>
        </w:rPr>
        <w:t xml:space="preserve"> </w:t>
      </w:r>
    </w:p>
    <w:p w14:paraId="769A5FFC" w14:textId="77777777" w:rsidR="00B17623" w:rsidRPr="00D64775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B5F46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6B5F46">
        <w:rPr>
          <w:sz w:val="22"/>
          <w:szCs w:val="22"/>
          <w:u w:val="none"/>
          <w:lang w:val="cs-CZ"/>
        </w:rPr>
        <w:t> </w:t>
      </w:r>
      <w:r w:rsidRPr="006B5F46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6B5F46">
        <w:rPr>
          <w:sz w:val="22"/>
          <w:szCs w:val="22"/>
          <w:u w:val="none"/>
          <w:lang w:val="cs-CZ"/>
        </w:rPr>
        <w:t>10</w:t>
      </w:r>
      <w:r w:rsidRPr="006B5F46">
        <w:rPr>
          <w:sz w:val="22"/>
          <w:szCs w:val="22"/>
          <w:u w:val="none"/>
        </w:rPr>
        <w:t xml:space="preserve"> kalendářních dnů, nedohodnou-li se smluvní</w:t>
      </w:r>
      <w:r w:rsidRPr="00D64775">
        <w:rPr>
          <w:sz w:val="22"/>
          <w:szCs w:val="22"/>
          <w:u w:val="none"/>
        </w:rPr>
        <w:t xml:space="preserve"> strany jinak. </w:t>
      </w:r>
    </w:p>
    <w:p w14:paraId="1B613B23" w14:textId="77777777" w:rsidR="00B17623" w:rsidRPr="00262A6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7C267977" w14:textId="77777777" w:rsidR="00B17623" w:rsidRPr="00262A63" w:rsidRDefault="00B17623" w:rsidP="00B1762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</w:t>
      </w:r>
      <w:r w:rsidRPr="006B5F46">
        <w:rPr>
          <w:rFonts w:ascii="Calibri" w:hAnsi="Calibri" w:cs="Calibri"/>
          <w:b w:val="0"/>
          <w:sz w:val="22"/>
          <w:szCs w:val="22"/>
        </w:rPr>
        <w:t>výši 500,- Kč za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každou jednotlivou vadu nebo nedodělek a každý den trvání prodlení nebo </w:t>
      </w:r>
    </w:p>
    <w:p w14:paraId="6B0EBC92" w14:textId="77777777" w:rsidR="00B17623" w:rsidRPr="00262A63" w:rsidRDefault="00B17623" w:rsidP="00B1762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2F650E13" w14:textId="77777777" w:rsidR="00B17623" w:rsidRPr="00262A63" w:rsidRDefault="00B17623" w:rsidP="00B17623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není-li vadu možné odstranit nebo není-li to s ohledem na výši nákladů na její odstranění </w:t>
      </w:r>
      <w:r w:rsidRPr="00262A63">
        <w:rPr>
          <w:rFonts w:ascii="Calibri" w:hAnsi="Calibri" w:cs="Calibri"/>
          <w:b w:val="0"/>
          <w:sz w:val="22"/>
          <w:szCs w:val="22"/>
        </w:rPr>
        <w:lastRenderedPageBreak/>
        <w:t>účelné, může Objednatel požadovat po Zhotoviteli slevu z ceny Díla.</w:t>
      </w:r>
    </w:p>
    <w:p w14:paraId="52D9AB12" w14:textId="77777777" w:rsidR="00B17623" w:rsidRPr="00262A6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0384A5EA" w14:textId="77777777" w:rsidR="00B17623" w:rsidRPr="00305F40" w:rsidRDefault="00B17623" w:rsidP="00B17623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C047D15" w14:textId="77777777" w:rsidR="00B17623" w:rsidRPr="009519D4" w:rsidRDefault="00B17623" w:rsidP="00B17623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133F6972" w14:textId="77777777" w:rsidR="00B17623" w:rsidRDefault="00B17623" w:rsidP="00B17623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02BCF397" w14:textId="16F0CF63" w:rsidR="00B17623" w:rsidRDefault="00B17623" w:rsidP="00B17623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</w:t>
      </w:r>
      <w:r w:rsidRPr="006B5F46">
        <w:rPr>
          <w:sz w:val="22"/>
          <w:szCs w:val="22"/>
          <w:u w:val="none"/>
        </w:rPr>
        <w:t>výši 0,3 % z </w:t>
      </w:r>
      <w:r w:rsidRPr="006B5F46">
        <w:rPr>
          <w:sz w:val="22"/>
          <w:szCs w:val="22"/>
          <w:u w:val="none"/>
          <w:lang w:val="cs-CZ"/>
        </w:rPr>
        <w:t>ceny za</w:t>
      </w:r>
      <w:r w:rsidRPr="006B5F46">
        <w:rPr>
          <w:sz w:val="22"/>
          <w:szCs w:val="22"/>
          <w:u w:val="none"/>
        </w:rPr>
        <w:t xml:space="preserve"> Dílo</w:t>
      </w:r>
      <w:r w:rsidRPr="006B5F46">
        <w:rPr>
          <w:sz w:val="22"/>
          <w:szCs w:val="22"/>
          <w:u w:val="none"/>
          <w:lang w:val="cs-CZ"/>
        </w:rPr>
        <w:t xml:space="preserve"> </w:t>
      </w:r>
      <w:r w:rsidRPr="006B5F46">
        <w:rPr>
          <w:sz w:val="22"/>
          <w:szCs w:val="22"/>
          <w:u w:val="none"/>
        </w:rPr>
        <w:t>(bez DPH</w:t>
      </w:r>
      <w:r w:rsidRPr="006B5F46">
        <w:rPr>
          <w:sz w:val="22"/>
          <w:szCs w:val="22"/>
          <w:u w:val="none"/>
          <w:lang w:val="cs-CZ"/>
        </w:rPr>
        <w:t>)</w:t>
      </w:r>
      <w:r w:rsidRPr="006B5F46">
        <w:rPr>
          <w:sz w:val="22"/>
          <w:szCs w:val="22"/>
          <w:u w:val="none"/>
        </w:rPr>
        <w:t>, s</w:t>
      </w:r>
      <w:r w:rsidRPr="00E7166A">
        <w:rPr>
          <w:sz w:val="22"/>
          <w:szCs w:val="22"/>
          <w:u w:val="none"/>
        </w:rPr>
        <w:t xml:space="preserve">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25D98BAC" w14:textId="77777777" w:rsidR="00B17623" w:rsidRPr="009519D4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5D01896" w14:textId="77777777" w:rsidR="00B17623" w:rsidRPr="009519D4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3B4BE778" w14:textId="77777777" w:rsidR="00B17623" w:rsidRPr="009519D4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69FBAA2D" w14:textId="77777777" w:rsidR="00B17623" w:rsidRPr="00774F7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7"/>
    <w:bookmarkEnd w:id="8"/>
    <w:p w14:paraId="76BC7A67" w14:textId="77777777" w:rsidR="00B17623" w:rsidRPr="00305F40" w:rsidRDefault="00B17623" w:rsidP="00B17623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7B0BD80" w14:textId="77777777" w:rsidR="00B17623" w:rsidRPr="0001214E" w:rsidRDefault="00B17623" w:rsidP="00B17623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1262A98D" w14:textId="77777777" w:rsidR="00B17623" w:rsidRPr="00327F0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6E0F35BA" w14:textId="77777777" w:rsidR="00B17623" w:rsidRPr="006B5F46" w:rsidRDefault="00B17623" w:rsidP="00B17623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6B5F46">
        <w:rPr>
          <w:rFonts w:ascii="Calibri" w:hAnsi="Calibri" w:cs="Calibri"/>
          <w:b w:val="0"/>
          <w:sz w:val="22"/>
          <w:szCs w:val="22"/>
        </w:rPr>
        <w:t xml:space="preserve">10 kalendářních dnů; </w:t>
      </w:r>
    </w:p>
    <w:p w14:paraId="588D008D" w14:textId="77777777" w:rsidR="00B17623" w:rsidRPr="00305F40" w:rsidRDefault="00B17623" w:rsidP="00B17623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B5F46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345B154A" w14:textId="77777777" w:rsidR="00B17623" w:rsidRPr="00327F0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254C7939" w14:textId="77777777" w:rsidR="00B17623" w:rsidRPr="005A7DE0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01D3422C" w14:textId="77777777" w:rsidR="00B17623" w:rsidRPr="00305F40" w:rsidRDefault="00B17623" w:rsidP="00B17623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209E49E2" w14:textId="77777777" w:rsidR="00B17623" w:rsidRPr="00305F40" w:rsidRDefault="00B17623" w:rsidP="00B17623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738529E9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56A5B313" w14:textId="77777777" w:rsidR="00B17623" w:rsidRDefault="00B17623" w:rsidP="00B17623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DD3BB3E" w14:textId="77777777" w:rsidR="00ED6F6F" w:rsidRPr="00305F40" w:rsidRDefault="00ED6F6F" w:rsidP="00B17623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EC2FD1C" w14:textId="77777777" w:rsidR="00B17623" w:rsidRPr="00C52023" w:rsidRDefault="00B17623" w:rsidP="00B17623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9" w:name="bookmark26"/>
      <w:bookmarkStart w:id="10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14:paraId="0974EEDF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65FC905D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253B3832" w14:textId="77777777" w:rsidR="00B17623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lastRenderedPageBreak/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6BE7AC08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31BF8EE4" w14:textId="77777777" w:rsidR="00B17623" w:rsidRPr="006B5F4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B5F46">
        <w:rPr>
          <w:sz w:val="22"/>
          <w:szCs w:val="22"/>
          <w:u w:val="none"/>
        </w:rPr>
        <w:t xml:space="preserve">Smluvní strany berou na vědomí, že tato </w:t>
      </w:r>
      <w:r w:rsidRPr="006B5F46">
        <w:rPr>
          <w:sz w:val="22"/>
          <w:szCs w:val="22"/>
          <w:u w:val="none"/>
          <w:lang w:val="cs-CZ"/>
        </w:rPr>
        <w:t>S</w:t>
      </w:r>
      <w:proofErr w:type="spellStart"/>
      <w:r w:rsidRPr="006B5F46">
        <w:rPr>
          <w:sz w:val="22"/>
          <w:szCs w:val="22"/>
          <w:u w:val="none"/>
        </w:rPr>
        <w:t>mlouva</w:t>
      </w:r>
      <w:proofErr w:type="spellEnd"/>
      <w:r w:rsidRPr="006B5F46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6B5F46">
        <w:rPr>
          <w:sz w:val="22"/>
          <w:szCs w:val="22"/>
          <w:u w:val="none"/>
          <w:lang w:val="cs-CZ"/>
        </w:rPr>
        <w:t>Objednatel</w:t>
      </w:r>
      <w:r w:rsidRPr="006B5F46">
        <w:rPr>
          <w:sz w:val="22"/>
          <w:szCs w:val="22"/>
          <w:u w:val="none"/>
        </w:rPr>
        <w:t>.</w:t>
      </w:r>
    </w:p>
    <w:p w14:paraId="1CD98E88" w14:textId="5C10363F" w:rsidR="00B17623" w:rsidRPr="006B5F4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B5F46">
        <w:rPr>
          <w:sz w:val="22"/>
          <w:szCs w:val="22"/>
          <w:u w:val="none"/>
        </w:rPr>
        <w:t xml:space="preserve">Tato </w:t>
      </w:r>
      <w:r w:rsidRPr="006B5F46">
        <w:rPr>
          <w:sz w:val="22"/>
          <w:szCs w:val="22"/>
          <w:u w:val="none"/>
          <w:lang w:val="cs-CZ"/>
        </w:rPr>
        <w:t>S</w:t>
      </w:r>
      <w:proofErr w:type="spellStart"/>
      <w:r w:rsidRPr="006B5F46">
        <w:rPr>
          <w:sz w:val="22"/>
          <w:szCs w:val="22"/>
          <w:u w:val="none"/>
        </w:rPr>
        <w:t>mlouva</w:t>
      </w:r>
      <w:proofErr w:type="spellEnd"/>
      <w:r w:rsidRPr="006B5F46">
        <w:rPr>
          <w:sz w:val="22"/>
          <w:szCs w:val="22"/>
          <w:u w:val="none"/>
        </w:rPr>
        <w:t xml:space="preserve"> nabývá platnosti dnem jejího podpisu oběma </w:t>
      </w:r>
      <w:r w:rsidRPr="006B5F46">
        <w:rPr>
          <w:sz w:val="22"/>
          <w:szCs w:val="22"/>
          <w:u w:val="none"/>
          <w:lang w:val="cs-CZ"/>
        </w:rPr>
        <w:t>S</w:t>
      </w:r>
      <w:r w:rsidRPr="006B5F46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613DB8BE" w14:textId="74FDF589" w:rsidR="00B17623" w:rsidRPr="006B5F4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B5F46">
        <w:rPr>
          <w:sz w:val="22"/>
          <w:szCs w:val="22"/>
          <w:u w:val="none"/>
        </w:rPr>
        <w:t>Tato smlouva je vyhotovena ve 2 vyhotoveních v českém jazyce, přičemž každá ze Smluvních stran obdrží po jednom vyhotovení.</w:t>
      </w:r>
    </w:p>
    <w:p w14:paraId="17E539DA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FE91817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3C4E1787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1AE96279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067379ED" w14:textId="77777777" w:rsidR="00B17623" w:rsidRPr="00036F2B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171934E5" w14:textId="77777777" w:rsidR="00B17623" w:rsidRPr="00327F06" w:rsidRDefault="00B17623" w:rsidP="00B1762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0C386A8B" w14:textId="77777777" w:rsidR="005C5B9D" w:rsidRPr="006B5F46" w:rsidRDefault="005C5B9D" w:rsidP="00B17623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p w14:paraId="7FB5FD27" w14:textId="3A3E89C7" w:rsidR="00B17623" w:rsidRPr="00B06FF9" w:rsidRDefault="00B17623" w:rsidP="00B17623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6B5F46">
        <w:rPr>
          <w:rFonts w:ascii="Calibri" w:hAnsi="Calibri" w:cs="Calibri"/>
        </w:rPr>
        <w:t xml:space="preserve">Příloha č. </w:t>
      </w:r>
      <w:r w:rsidR="005C5B9D" w:rsidRPr="006B5F46">
        <w:rPr>
          <w:rFonts w:ascii="Calibri" w:hAnsi="Calibri" w:cs="Calibri"/>
        </w:rPr>
        <w:t>1</w:t>
      </w:r>
      <w:r w:rsidRPr="006B5F46">
        <w:rPr>
          <w:rFonts w:ascii="Calibri" w:hAnsi="Calibri" w:cs="Calibri"/>
        </w:rPr>
        <w:t>: Rozpočet</w:t>
      </w:r>
    </w:p>
    <w:p w14:paraId="03BDB8FB" w14:textId="77777777" w:rsidR="00B17623" w:rsidRDefault="00B17623" w:rsidP="00B17623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206E39BF" w14:textId="77777777" w:rsidR="00B17623" w:rsidRPr="006A0CB1" w:rsidRDefault="00B17623" w:rsidP="00B17623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17623" w:rsidRPr="00202AE1" w14:paraId="269D4664" w14:textId="77777777" w:rsidTr="00A5301B">
        <w:trPr>
          <w:jc w:val="center"/>
        </w:trPr>
        <w:tc>
          <w:tcPr>
            <w:tcW w:w="4606" w:type="dxa"/>
          </w:tcPr>
          <w:p w14:paraId="3FAA0F95" w14:textId="08C54419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5C5B9D">
              <w:rPr>
                <w:color w:val="000000"/>
                <w:sz w:val="22"/>
                <w:szCs w:val="22"/>
              </w:rPr>
              <w:t>e Valči dne 2</w:t>
            </w:r>
            <w:r w:rsidR="00030C9B">
              <w:rPr>
                <w:color w:val="000000"/>
                <w:sz w:val="22"/>
                <w:szCs w:val="22"/>
              </w:rPr>
              <w:t>7</w:t>
            </w:r>
            <w:r w:rsidR="005C5B9D">
              <w:rPr>
                <w:color w:val="000000"/>
                <w:sz w:val="22"/>
                <w:szCs w:val="22"/>
              </w:rPr>
              <w:t>.10.2023</w:t>
            </w:r>
          </w:p>
          <w:p w14:paraId="7A248DA2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5A7D21" w14:textId="77777777" w:rsidR="00B17623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7F4FCE" w14:textId="77777777" w:rsidR="00B17623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0254C21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E673F7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40FBACBD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121E989E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803C7AF" w14:textId="03EBAFB5" w:rsidR="00030C9B" w:rsidRPr="006A0CB1" w:rsidRDefault="00030C9B" w:rsidP="00030C9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e Valči dne 27.10.2023</w:t>
            </w:r>
          </w:p>
          <w:p w14:paraId="177DA88E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81B1D" w14:textId="77777777" w:rsidR="00B17623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F504F9" w14:textId="77777777" w:rsidR="00B17623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CC8B57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0A5BFF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3784C35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19106FCA" w14:textId="77777777" w:rsidR="00B17623" w:rsidRPr="006A0CB1" w:rsidRDefault="00B17623" w:rsidP="00A5301B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7AA23208" w14:textId="77777777" w:rsidR="00B17623" w:rsidRPr="006D1683" w:rsidRDefault="00B17623" w:rsidP="00B17623">
      <w:pPr>
        <w:jc w:val="both"/>
        <w:rPr>
          <w:b/>
          <w:bCs/>
          <w:sz w:val="22"/>
          <w:szCs w:val="22"/>
        </w:rPr>
      </w:pPr>
    </w:p>
    <w:p w14:paraId="3B665697" w14:textId="14425386" w:rsidR="00D85770" w:rsidRDefault="00D85770"/>
    <w:p w14:paraId="4F8AF526" w14:textId="20EB98DC" w:rsidR="00573191" w:rsidRDefault="00573191"/>
    <w:p w14:paraId="0953F289" w14:textId="748C379A" w:rsidR="00573191" w:rsidRDefault="00573191"/>
    <w:p w14:paraId="423DF3E0" w14:textId="5DC1A5A0" w:rsidR="00573191" w:rsidRDefault="00573191"/>
    <w:p w14:paraId="68FBCF60" w14:textId="1F4F976E" w:rsidR="00573191" w:rsidRDefault="00573191"/>
    <w:p w14:paraId="4B710C9C" w14:textId="4AFD989C" w:rsidR="00573191" w:rsidRDefault="00573191"/>
    <w:p w14:paraId="7DD46DA3" w14:textId="597F05AB" w:rsidR="00573191" w:rsidRDefault="00573191"/>
    <w:p w14:paraId="790949E8" w14:textId="746552D9" w:rsidR="00573191" w:rsidRDefault="00573191"/>
    <w:p w14:paraId="6E283B8D" w14:textId="18817FA5" w:rsidR="00573191" w:rsidRDefault="00573191"/>
    <w:p w14:paraId="3B0A9450" w14:textId="1FE8A3D2" w:rsidR="00573191" w:rsidRDefault="00573191"/>
    <w:p w14:paraId="3AE17233" w14:textId="75E6F03B" w:rsidR="00573191" w:rsidRDefault="00573191"/>
    <w:p w14:paraId="379B023E" w14:textId="50B1D346" w:rsidR="00573191" w:rsidRDefault="00573191"/>
    <w:p w14:paraId="5102FA99" w14:textId="7A549512" w:rsidR="00573191" w:rsidRDefault="00573191"/>
    <w:p w14:paraId="19E7DD69" w14:textId="6F25C102" w:rsidR="00573191" w:rsidRDefault="00573191"/>
    <w:p w14:paraId="166A6EF4" w14:textId="0C2F389F" w:rsidR="00573191" w:rsidRDefault="00573191"/>
    <w:p w14:paraId="0A9BE529" w14:textId="19B30E9E" w:rsidR="00573191" w:rsidRDefault="00573191"/>
    <w:p w14:paraId="379F1216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Rozpočet opravy přípravy teplé vody správní budovy zámku Valeč </w:t>
      </w:r>
    </w:p>
    <w:p w14:paraId="6C85B167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(přepojení akumulační nádrže, oprava regulace rozdělovačů)</w:t>
      </w:r>
    </w:p>
    <w:p w14:paraId="5FF3AD55" w14:textId="77777777" w:rsidR="00573191" w:rsidRDefault="00573191" w:rsidP="00573191">
      <w:pPr>
        <w:pStyle w:val="Standard"/>
        <w:rPr>
          <w:sz w:val="28"/>
          <w:szCs w:val="28"/>
        </w:rPr>
      </w:pPr>
    </w:p>
    <w:p w14:paraId="224D8BE5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rozvody a montáž</w:t>
      </w:r>
    </w:p>
    <w:p w14:paraId="13FC86E4" w14:textId="77777777" w:rsidR="00573191" w:rsidRDefault="00573191" w:rsidP="00573191">
      <w:pPr>
        <w:pStyle w:val="Standard"/>
        <w:rPr>
          <w:sz w:val="28"/>
          <w:szCs w:val="28"/>
        </w:rPr>
      </w:pPr>
    </w:p>
    <w:p w14:paraId="59CFA33B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potrubí a tvarovky dle výdejky                                                                       25.000,-</w:t>
      </w:r>
    </w:p>
    <w:p w14:paraId="0DB5F670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montáž                                                                                                            23.200,-  </w:t>
      </w:r>
    </w:p>
    <w:p w14:paraId="18BBDEA9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režie                                                                                                                   2.000,-</w:t>
      </w:r>
    </w:p>
    <w:p w14:paraId="7A59C72B" w14:textId="77777777" w:rsidR="00573191" w:rsidRDefault="00573191" w:rsidP="00573191">
      <w:pPr>
        <w:pStyle w:val="Standard"/>
      </w:pPr>
      <w:r>
        <w:rPr>
          <w:b/>
          <w:bCs/>
          <w:sz w:val="28"/>
          <w:szCs w:val="28"/>
        </w:rPr>
        <w:t>celkem bez DPH</w:t>
      </w: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50.200,-</w:t>
      </w:r>
    </w:p>
    <w:p w14:paraId="613AAB4A" w14:textId="77777777" w:rsidR="00573191" w:rsidRDefault="00573191" w:rsidP="00573191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</w:t>
      </w:r>
    </w:p>
    <w:p w14:paraId="22CA1AAA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</w:p>
    <w:p w14:paraId="3E6DAAFF" w14:textId="77777777" w:rsidR="00573191" w:rsidRDefault="00573191" w:rsidP="00573191">
      <w:pPr>
        <w:pStyle w:val="Standard"/>
      </w:pPr>
      <w:r>
        <w:rPr>
          <w:b/>
          <w:bCs/>
          <w:sz w:val="28"/>
          <w:szCs w:val="28"/>
        </w:rPr>
        <w:t>regulace</w:t>
      </w:r>
    </w:p>
    <w:p w14:paraId="1045DE2B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termostat prostorový                                                   ks   1         1.800,-           1.800,-</w:t>
      </w:r>
    </w:p>
    <w:p w14:paraId="6368CFD1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třícestný </w:t>
      </w:r>
      <w:proofErr w:type="gramStart"/>
      <w:r>
        <w:rPr>
          <w:sz w:val="28"/>
          <w:szCs w:val="28"/>
        </w:rPr>
        <w:t>mix  40</w:t>
      </w:r>
      <w:proofErr w:type="gramEnd"/>
      <w:r>
        <w:rPr>
          <w:sz w:val="28"/>
          <w:szCs w:val="28"/>
        </w:rPr>
        <w:t xml:space="preserve">                                                         ks   2         3.220,-           6.440,-</w:t>
      </w:r>
    </w:p>
    <w:p w14:paraId="46F9679B" w14:textId="77777777" w:rsidR="00573191" w:rsidRDefault="00573191" w:rsidP="00573191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servopohon</w:t>
      </w:r>
      <w:proofErr w:type="spellEnd"/>
      <w:r>
        <w:rPr>
          <w:sz w:val="28"/>
          <w:szCs w:val="28"/>
        </w:rPr>
        <w:t xml:space="preserve">                                                                 ks   2         5.440,-          10.880,-     </w:t>
      </w:r>
    </w:p>
    <w:p w14:paraId="6908879D" w14:textId="77777777" w:rsidR="00573191" w:rsidRDefault="00573191" w:rsidP="005731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montáž                                                                                                                 9.800,-</w:t>
      </w:r>
    </w:p>
    <w:p w14:paraId="074777DE" w14:textId="77777777" w:rsidR="00573191" w:rsidRDefault="00573191" w:rsidP="00573191">
      <w:pPr>
        <w:pStyle w:val="Standard"/>
      </w:pPr>
      <w:r>
        <w:rPr>
          <w:b/>
          <w:bCs/>
          <w:sz w:val="28"/>
          <w:szCs w:val="28"/>
        </w:rPr>
        <w:t>celkem bez DPH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28.920,-</w:t>
      </w:r>
    </w:p>
    <w:p w14:paraId="5BCE2D5A" w14:textId="77777777" w:rsidR="00573191" w:rsidRDefault="00573191" w:rsidP="00573191">
      <w:pPr>
        <w:pStyle w:val="Standard"/>
        <w:rPr>
          <w:sz w:val="28"/>
          <w:szCs w:val="28"/>
        </w:rPr>
      </w:pPr>
    </w:p>
    <w:p w14:paraId="0FAECE42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</w:p>
    <w:p w14:paraId="402B776B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Rekapitulace</w:t>
      </w:r>
    </w:p>
    <w:p w14:paraId="5E911B9C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</w:p>
    <w:p w14:paraId="7FDD2468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oprava celkem bez DPH                                    79.120,-</w:t>
      </w:r>
    </w:p>
    <w:p w14:paraId="61CAA9D5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DPH </w:t>
      </w:r>
      <w:proofErr w:type="gramStart"/>
      <w:r>
        <w:rPr>
          <w:b/>
          <w:bCs/>
          <w:sz w:val="28"/>
          <w:szCs w:val="28"/>
        </w:rPr>
        <w:t>21%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16.615,20</w:t>
      </w:r>
    </w:p>
    <w:p w14:paraId="36E23A8E" w14:textId="77777777" w:rsidR="00573191" w:rsidRDefault="00573191" w:rsidP="00573191">
      <w:pPr>
        <w:pStyle w:val="Standard"/>
        <w:rPr>
          <w:b/>
          <w:bCs/>
          <w:sz w:val="28"/>
          <w:szCs w:val="28"/>
        </w:rPr>
      </w:pPr>
    </w:p>
    <w:p w14:paraId="1FED1BD3" w14:textId="77777777" w:rsidR="00573191" w:rsidRDefault="00573191" w:rsidP="00573191">
      <w:pPr>
        <w:pStyle w:val="Standard"/>
      </w:pPr>
      <w:r>
        <w:rPr>
          <w:b/>
          <w:bCs/>
          <w:sz w:val="28"/>
          <w:szCs w:val="28"/>
        </w:rPr>
        <w:t>celkem s DPH                                                      95.735,20</w:t>
      </w:r>
    </w:p>
    <w:p w14:paraId="4A2990A6" w14:textId="77777777" w:rsidR="00573191" w:rsidRDefault="00573191">
      <w:bookmarkStart w:id="11" w:name="_GoBack"/>
      <w:bookmarkEnd w:id="11"/>
    </w:p>
    <w:sectPr w:rsidR="00573191" w:rsidSect="0036579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928A" w14:textId="77777777" w:rsidR="0031722A" w:rsidRDefault="003B050A">
      <w:r>
        <w:separator/>
      </w:r>
    </w:p>
  </w:endnote>
  <w:endnote w:type="continuationSeparator" w:id="0">
    <w:p w14:paraId="2324DAB3" w14:textId="77777777" w:rsidR="0031722A" w:rsidRDefault="003B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39AD" w14:textId="77777777" w:rsidR="00030C9B" w:rsidRPr="00365796" w:rsidRDefault="00ED594E" w:rsidP="00365796">
    <w:pPr>
      <w:pStyle w:val="Zpat"/>
      <w:rPr>
        <w:sz w:val="22"/>
        <w:szCs w:val="22"/>
      </w:rPr>
    </w:pPr>
    <w:proofErr w:type="spellStart"/>
    <w:r w:rsidRPr="00365796">
      <w:rPr>
        <w:sz w:val="22"/>
        <w:szCs w:val="22"/>
      </w:rPr>
      <w:t>Sp</w:t>
    </w:r>
    <w:proofErr w:type="spellEnd"/>
    <w:r w:rsidRPr="00365796">
      <w:rPr>
        <w:sz w:val="22"/>
        <w:szCs w:val="22"/>
      </w:rPr>
      <w:t>. znak 11.4.2</w:t>
    </w: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Pr="00365796">
      <w:rPr>
        <w:bCs/>
        <w:sz w:val="22"/>
        <w:szCs w:val="22"/>
        <w:lang w:val="cs-CZ"/>
      </w:rPr>
      <w:t>2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>
      <w:rPr>
        <w:bCs/>
        <w:sz w:val="22"/>
        <w:szCs w:val="22"/>
        <w:lang w:val="cs-CZ"/>
      </w:rPr>
      <w:t>6</w:t>
    </w:r>
    <w:r w:rsidRPr="00365796">
      <w:rPr>
        <w:bCs/>
        <w:sz w:val="22"/>
        <w:szCs w:val="22"/>
      </w:rPr>
      <w:tab/>
      <w:t>v1</w:t>
    </w:r>
  </w:p>
  <w:p w14:paraId="21D58A00" w14:textId="77777777" w:rsidR="00030C9B" w:rsidRPr="00365796" w:rsidRDefault="00ED594E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5760" w14:textId="77777777" w:rsidR="0031722A" w:rsidRDefault="003B050A">
      <w:r>
        <w:separator/>
      </w:r>
    </w:p>
  </w:footnote>
  <w:footnote w:type="continuationSeparator" w:id="0">
    <w:p w14:paraId="5F336574" w14:textId="77777777" w:rsidR="0031722A" w:rsidRDefault="003B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23"/>
    <w:rsid w:val="00030C9B"/>
    <w:rsid w:val="00072FC0"/>
    <w:rsid w:val="000D5DE5"/>
    <w:rsid w:val="001053AB"/>
    <w:rsid w:val="00163260"/>
    <w:rsid w:val="00256E4A"/>
    <w:rsid w:val="002E4F49"/>
    <w:rsid w:val="0031722A"/>
    <w:rsid w:val="003B050A"/>
    <w:rsid w:val="00454F22"/>
    <w:rsid w:val="004D7EBA"/>
    <w:rsid w:val="00531B11"/>
    <w:rsid w:val="00573191"/>
    <w:rsid w:val="005C5B9D"/>
    <w:rsid w:val="006160A5"/>
    <w:rsid w:val="00697FAC"/>
    <w:rsid w:val="006B5F46"/>
    <w:rsid w:val="006F795F"/>
    <w:rsid w:val="007245EB"/>
    <w:rsid w:val="009006F2"/>
    <w:rsid w:val="00970B68"/>
    <w:rsid w:val="009B3DCF"/>
    <w:rsid w:val="009C4985"/>
    <w:rsid w:val="00B17623"/>
    <w:rsid w:val="00B33C58"/>
    <w:rsid w:val="00B97AC1"/>
    <w:rsid w:val="00BC5777"/>
    <w:rsid w:val="00C06E78"/>
    <w:rsid w:val="00CA3AA0"/>
    <w:rsid w:val="00CE7BCE"/>
    <w:rsid w:val="00D3459D"/>
    <w:rsid w:val="00D85770"/>
    <w:rsid w:val="00ED594E"/>
    <w:rsid w:val="00ED6F6F"/>
    <w:rsid w:val="00F36EE5"/>
    <w:rsid w:val="00F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62C8DD"/>
  <w15:chartTrackingRefBased/>
  <w15:docId w15:val="{8B5CFF44-F35F-402A-A331-5BC7C401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623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1762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17623"/>
    <w:rPr>
      <w:rFonts w:ascii="Calibri" w:eastAsia="Calibri" w:hAnsi="Calibri" w:cs="Calibri"/>
      <w:sz w:val="20"/>
      <w:szCs w:val="20"/>
      <w:lang w:val="x-none" w:eastAsia="cs-CZ"/>
    </w:rPr>
  </w:style>
  <w:style w:type="character" w:styleId="Odkaznakoment">
    <w:name w:val="annotation reference"/>
    <w:uiPriority w:val="99"/>
    <w:semiHidden/>
    <w:rsid w:val="00B176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623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7623"/>
    <w:rPr>
      <w:rFonts w:ascii="Calibri" w:eastAsia="Calibri" w:hAnsi="Calibri" w:cs="Calibri"/>
      <w:sz w:val="20"/>
      <w:szCs w:val="20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B17623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17623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B17623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623"/>
    <w:rPr>
      <w:rFonts w:ascii="Arial" w:eastAsia="Calibri" w:hAnsi="Arial" w:cs="Calibri"/>
      <w:sz w:val="20"/>
      <w:szCs w:val="20"/>
      <w:lang w:eastAsia="cs-CZ"/>
    </w:rPr>
  </w:style>
  <w:style w:type="character" w:styleId="Siln">
    <w:name w:val="Strong"/>
    <w:qFormat/>
    <w:rsid w:val="00B17623"/>
    <w:rPr>
      <w:rFonts w:cs="Times New Roman"/>
      <w:b/>
      <w:bCs/>
    </w:rPr>
  </w:style>
  <w:style w:type="paragraph" w:customStyle="1" w:styleId="Default">
    <w:name w:val="Default"/>
    <w:rsid w:val="00B17623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B176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B17623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B17623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B17623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6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623"/>
    <w:rPr>
      <w:rFonts w:ascii="Segoe UI" w:eastAsia="Calibr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0C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C08"/>
    <w:rPr>
      <w:color w:val="605E5C"/>
      <w:shd w:val="clear" w:color="auto" w:fill="E1DFDD"/>
    </w:rPr>
  </w:style>
  <w:style w:type="paragraph" w:customStyle="1" w:styleId="Standard">
    <w:name w:val="Standard"/>
    <w:rsid w:val="00573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Šulcková Andrea</cp:lastModifiedBy>
  <cp:revision>3</cp:revision>
  <dcterms:created xsi:type="dcterms:W3CDTF">2023-10-31T10:34:00Z</dcterms:created>
  <dcterms:modified xsi:type="dcterms:W3CDTF">2023-10-31T10:35:00Z</dcterms:modified>
</cp:coreProperties>
</file>