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8E" w:rsidRPr="0096178E" w:rsidRDefault="0096178E" w:rsidP="009617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6178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Srovnání cenových tarifů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  <w:t>Příloha č. 2</w:t>
      </w:r>
      <w:bookmarkStart w:id="0" w:name="_GoBack"/>
      <w:bookmarkEnd w:id="0"/>
    </w:p>
    <w:p w:rsidR="0096178E" w:rsidRPr="0096178E" w:rsidRDefault="0096178E" w:rsidP="00961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178E">
        <w:rPr>
          <w:rFonts w:ascii="Times New Roman" w:eastAsia="Times New Roman" w:hAnsi="Times New Roman" w:cs="Times New Roman"/>
          <w:sz w:val="24"/>
          <w:szCs w:val="24"/>
          <w:lang w:eastAsia="cs-CZ"/>
        </w:rPr>
        <w:t>V tabulce najdete srovnání všech poplatků jednotlivých tarifů platební brány.</w:t>
      </w:r>
    </w:p>
    <w:tbl>
      <w:tblPr>
        <w:tblW w:w="0" w:type="auto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20"/>
        <w:gridCol w:w="2589"/>
        <w:gridCol w:w="2306"/>
        <w:gridCol w:w="2557"/>
      </w:tblGrid>
      <w:tr w:rsidR="0096178E" w:rsidRPr="0096178E" w:rsidTr="0096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Start</w:t>
            </w:r>
          </w:p>
          <w:p w:rsidR="0096178E" w:rsidRPr="0096178E" w:rsidRDefault="0096178E" w:rsidP="00961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Tarif pro začínající obchodníky, kteří v minulosti nevyužívali platby kartou.</w:t>
            </w:r>
          </w:p>
        </w:tc>
        <w:tc>
          <w:tcPr>
            <w:tcW w:w="3750" w:type="dxa"/>
            <w:shd w:val="clear" w:color="auto" w:fill="EAFFFF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proofErr w:type="spellStart"/>
            <w:r w:rsidRPr="0096178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Easy</w:t>
            </w:r>
            <w:proofErr w:type="spellEnd"/>
          </w:p>
          <w:p w:rsidR="0096178E" w:rsidRPr="0096178E" w:rsidRDefault="0096178E" w:rsidP="00961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Přehledný tarif, který nabízí jednu sazbu pro všechny platební metody.</w:t>
            </w:r>
          </w:p>
        </w:tc>
        <w:tc>
          <w:tcPr>
            <w:tcW w:w="3750" w:type="dxa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proofErr w:type="spellStart"/>
            <w:r w:rsidRPr="0096178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Profi</w:t>
            </w:r>
            <w:proofErr w:type="spellEnd"/>
          </w:p>
          <w:p w:rsidR="0096178E" w:rsidRPr="0096178E" w:rsidRDefault="0096178E" w:rsidP="00961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Hodí se převážně větším obchodníkům, kteří preferují ceny podle typu platby.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Platební karty Visa, </w:t>
            </w:r>
            <w:proofErr w:type="spellStart"/>
            <w:r w:rsidRPr="0096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Mastercard</w:t>
            </w:r>
            <w:proofErr w:type="spellEnd"/>
            <w:r w:rsidRPr="0096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včetně Google </w:t>
            </w:r>
            <w:proofErr w:type="spellStart"/>
            <w:r w:rsidRPr="0096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Pay</w:t>
            </w:r>
            <w:proofErr w:type="spellEnd"/>
            <w:r w:rsidRPr="0096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 Apple </w:t>
            </w:r>
            <w:proofErr w:type="spellStart"/>
            <w:r w:rsidRPr="0096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EA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debetní a kreditní spotřebitelské vydané v EU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zdarma</w:t>
            </w: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transakce do 50 tis. Kč měsíčně po dobu</w:t>
            </w: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6 měsíců, následně</w:t>
            </w: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dle tarifu </w:t>
            </w:r>
            <w:proofErr w:type="spellStart"/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Easy</w:t>
            </w:r>
            <w:proofErr w:type="spellEnd"/>
          </w:p>
        </w:tc>
        <w:tc>
          <w:tcPr>
            <w:tcW w:w="0" w:type="auto"/>
            <w:vMerge w:val="restart"/>
            <w:shd w:val="clear" w:color="auto" w:fill="EA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0,9 % + 1 Kč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0,65 % + 0,7 Kč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podnikatelské a ostatní vydané v EU</w:t>
            </w:r>
          </w:p>
        </w:tc>
        <w:tc>
          <w:tcPr>
            <w:tcW w:w="0" w:type="auto"/>
            <w:vMerge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1,95 % + 0,7 Kč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debetní a kreditní spotřebitelské vydané mimo EU</w:t>
            </w:r>
          </w:p>
        </w:tc>
        <w:tc>
          <w:tcPr>
            <w:tcW w:w="0" w:type="auto"/>
            <w:vMerge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2,55 % + 3 Kč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podnikatelské a ostatní vydané mimo EU</w:t>
            </w:r>
          </w:p>
        </w:tc>
        <w:tc>
          <w:tcPr>
            <w:tcW w:w="0" w:type="auto"/>
            <w:vMerge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3,20 % + 3 Kč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Bankovní převody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EA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Česku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0,9 % + 1 Kč</w:t>
            </w:r>
          </w:p>
        </w:tc>
        <w:tc>
          <w:tcPr>
            <w:tcW w:w="0" w:type="auto"/>
            <w:vMerge w:val="restart"/>
            <w:shd w:val="clear" w:color="auto" w:fill="EA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0,9 % + 1 Kč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0,65 % + 0 Kč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 Slovensku</w:t>
            </w:r>
          </w:p>
        </w:tc>
        <w:tc>
          <w:tcPr>
            <w:tcW w:w="0" w:type="auto"/>
            <w:vMerge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0,39 % + 0,15 EUR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Polsku</w:t>
            </w:r>
          </w:p>
        </w:tc>
        <w:tc>
          <w:tcPr>
            <w:tcW w:w="0" w:type="auto"/>
            <w:vMerge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0,99 % + 0,5 PLN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Nákup ihned, </w:t>
            </w:r>
            <w:r w:rsidRPr="0096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platba později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EA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Odložené platby - </w:t>
            </w:r>
            <w:proofErr w:type="spellStart"/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Twisto</w:t>
            </w:r>
            <w:proofErr w:type="spellEnd"/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Skip </w:t>
            </w:r>
            <w:proofErr w:type="spellStart"/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Pay</w:t>
            </w:r>
            <w:proofErr w:type="spellEnd"/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PlatímPak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0,9 % + 1 Kč</w:t>
            </w:r>
          </w:p>
        </w:tc>
        <w:tc>
          <w:tcPr>
            <w:tcW w:w="0" w:type="auto"/>
            <w:vMerge w:val="restart"/>
            <w:shd w:val="clear" w:color="auto" w:fill="EA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0,9 % + 1 Kč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0,39 % + 0 Kč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Platby na tři splátky - </w:t>
            </w:r>
            <w:proofErr w:type="spellStart"/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Twisto</w:t>
            </w:r>
            <w:proofErr w:type="spellEnd"/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Skip </w:t>
            </w:r>
            <w:proofErr w:type="spellStart"/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Pay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1,89 % + 0 Kč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Platby na splátky - </w:t>
            </w:r>
            <w:proofErr w:type="spellStart"/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Cofidis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0 % + 0 Kč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Ostatní poplatky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EA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Provoz platební brány, měsíční poplatek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zdarma po dobu</w:t>
            </w: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6 měsíců, následně</w:t>
            </w: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dle tarifu </w:t>
            </w:r>
            <w:proofErr w:type="spellStart"/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Easy</w:t>
            </w:r>
            <w:proofErr w:type="spellEnd"/>
          </w:p>
        </w:tc>
        <w:tc>
          <w:tcPr>
            <w:tcW w:w="0" w:type="auto"/>
            <w:shd w:val="clear" w:color="auto" w:fill="EAFFFF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zdarma nebo 100 Kč 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zdarma nebo 200 Kč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Zřízení brány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zdarma</w:t>
            </w:r>
          </w:p>
        </w:tc>
        <w:tc>
          <w:tcPr>
            <w:tcW w:w="0" w:type="auto"/>
            <w:shd w:val="clear" w:color="auto" w:fill="EA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zdarma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zdarma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Převod peněz na bankovní účet klienta denně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zdarma</w:t>
            </w:r>
          </w:p>
        </w:tc>
        <w:tc>
          <w:tcPr>
            <w:tcW w:w="0" w:type="auto"/>
            <w:shd w:val="clear" w:color="auto" w:fill="EA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zdarma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zdarma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Zrušení služby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zdarma</w:t>
            </w:r>
          </w:p>
        </w:tc>
        <w:tc>
          <w:tcPr>
            <w:tcW w:w="0" w:type="auto"/>
            <w:shd w:val="clear" w:color="auto" w:fill="EA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zdarma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zdarma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Refundace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Kč</w:t>
            </w:r>
          </w:p>
        </w:tc>
        <w:tc>
          <w:tcPr>
            <w:tcW w:w="0" w:type="auto"/>
            <w:shd w:val="clear" w:color="auto" w:fill="EA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Kč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Kč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Volitelná služba fakturace poplatků jednou měsíčně místo standardního strhávání poplatků z </w:t>
            </w: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jednotlivých plateb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0,1 %</w:t>
            </w:r>
          </w:p>
        </w:tc>
        <w:tc>
          <w:tcPr>
            <w:tcW w:w="0" w:type="auto"/>
            <w:shd w:val="clear" w:color="auto" w:fill="EA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0,1 %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0,1 %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Chargeback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 Kč</w:t>
            </w:r>
          </w:p>
        </w:tc>
        <w:tc>
          <w:tcPr>
            <w:tcW w:w="0" w:type="auto"/>
            <w:shd w:val="clear" w:color="auto" w:fill="EA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 Kč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 Kč</w:t>
            </w:r>
          </w:p>
        </w:tc>
      </w:tr>
      <w:tr w:rsidR="0096178E" w:rsidRPr="0096178E" w:rsidTr="0096178E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Sazebníky tarifů</w:t>
            </w:r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Pr="009617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Start (</w:t>
              </w:r>
              <w:proofErr w:type="spellStart"/>
              <w:r w:rsidRPr="009617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pdf</w:t>
              </w:r>
              <w:proofErr w:type="spellEnd"/>
              <w:r w:rsidRPr="009617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)</w:t>
              </w:r>
            </w:hyperlink>
          </w:p>
        </w:tc>
        <w:tc>
          <w:tcPr>
            <w:tcW w:w="0" w:type="auto"/>
            <w:shd w:val="clear" w:color="auto" w:fill="EAFFFF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proofErr w:type="spellStart"/>
              <w:r w:rsidRPr="009617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Easy</w:t>
              </w:r>
              <w:proofErr w:type="spellEnd"/>
              <w:r w:rsidRPr="009617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(</w:t>
              </w:r>
              <w:proofErr w:type="spellStart"/>
              <w:r w:rsidRPr="009617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pdf</w:t>
              </w:r>
              <w:proofErr w:type="spellEnd"/>
              <w:r w:rsidRPr="009617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)</w:t>
              </w:r>
            </w:hyperlink>
          </w:p>
        </w:tc>
        <w:tc>
          <w:tcPr>
            <w:tcW w:w="0" w:type="auto"/>
            <w:vAlign w:val="center"/>
            <w:hideMark/>
          </w:tcPr>
          <w:p w:rsidR="0096178E" w:rsidRPr="0096178E" w:rsidRDefault="0096178E" w:rsidP="009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proofErr w:type="spellStart"/>
              <w:r w:rsidRPr="009617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Profi</w:t>
              </w:r>
              <w:proofErr w:type="spellEnd"/>
              <w:r w:rsidRPr="009617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(</w:t>
              </w:r>
              <w:proofErr w:type="spellStart"/>
              <w:r w:rsidRPr="009617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pdf</w:t>
              </w:r>
              <w:proofErr w:type="spellEnd"/>
              <w:r w:rsidRPr="009617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)</w:t>
              </w:r>
            </w:hyperlink>
          </w:p>
        </w:tc>
      </w:tr>
    </w:tbl>
    <w:p w:rsidR="0096178E" w:rsidRPr="0096178E" w:rsidRDefault="0096178E" w:rsidP="00961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1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u klienta s tarifem </w:t>
      </w:r>
      <w:proofErr w:type="spellStart"/>
      <w:r w:rsidRPr="0096178E">
        <w:rPr>
          <w:rFonts w:ascii="Times New Roman" w:eastAsia="Times New Roman" w:hAnsi="Times New Roman" w:cs="Times New Roman"/>
          <w:sz w:val="24"/>
          <w:szCs w:val="24"/>
          <w:lang w:eastAsia="cs-CZ"/>
        </w:rPr>
        <w:t>Easy</w:t>
      </w:r>
      <w:proofErr w:type="spellEnd"/>
      <w:r w:rsidRPr="00961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nastane významný objem plateb, to je více než 30 %, jinými než spotřebitelskými kartami vydanými v EU, může </w:t>
      </w:r>
      <w:proofErr w:type="spellStart"/>
      <w:r w:rsidRPr="0096178E">
        <w:rPr>
          <w:rFonts w:ascii="Times New Roman" w:eastAsia="Times New Roman" w:hAnsi="Times New Roman" w:cs="Times New Roman"/>
          <w:sz w:val="24"/>
          <w:szCs w:val="24"/>
          <w:lang w:eastAsia="cs-CZ"/>
        </w:rPr>
        <w:t>Comgate</w:t>
      </w:r>
      <w:proofErr w:type="spellEnd"/>
      <w:r w:rsidRPr="00961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změnit tarif klienta z </w:t>
      </w:r>
      <w:proofErr w:type="spellStart"/>
      <w:r w:rsidRPr="0096178E">
        <w:rPr>
          <w:rFonts w:ascii="Times New Roman" w:eastAsia="Times New Roman" w:hAnsi="Times New Roman" w:cs="Times New Roman"/>
          <w:sz w:val="24"/>
          <w:szCs w:val="24"/>
          <w:lang w:eastAsia="cs-CZ"/>
        </w:rPr>
        <w:t>Easy</w:t>
      </w:r>
      <w:proofErr w:type="spellEnd"/>
      <w:r w:rsidRPr="00961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na </w:t>
      </w:r>
      <w:proofErr w:type="spellStart"/>
      <w:r w:rsidRPr="0096178E">
        <w:rPr>
          <w:rFonts w:ascii="Times New Roman" w:eastAsia="Times New Roman" w:hAnsi="Times New Roman" w:cs="Times New Roman"/>
          <w:sz w:val="24"/>
          <w:szCs w:val="24"/>
          <w:lang w:eastAsia="cs-CZ"/>
        </w:rPr>
        <w:t>Profi</w:t>
      </w:r>
      <w:proofErr w:type="spellEnd"/>
      <w:r w:rsidRPr="00961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Měsíční poplatek za provoz platební brány zůstává zachován z tarifu </w:t>
      </w:r>
      <w:proofErr w:type="spellStart"/>
      <w:r w:rsidRPr="0096178E">
        <w:rPr>
          <w:rFonts w:ascii="Times New Roman" w:eastAsia="Times New Roman" w:hAnsi="Times New Roman" w:cs="Times New Roman"/>
          <w:sz w:val="24"/>
          <w:szCs w:val="24"/>
          <w:lang w:eastAsia="cs-CZ"/>
        </w:rPr>
        <w:t>Easy</w:t>
      </w:r>
      <w:proofErr w:type="spellEnd"/>
      <w:r w:rsidRPr="0096178E">
        <w:rPr>
          <w:rFonts w:ascii="Times New Roman" w:eastAsia="Times New Roman" w:hAnsi="Times New Roman" w:cs="Times New Roman"/>
          <w:sz w:val="24"/>
          <w:szCs w:val="24"/>
          <w:lang w:eastAsia="cs-CZ"/>
        </w:rPr>
        <w:t>. Ke změně tarifu může dojít vždy k začátku měsíce. O takovém kroku bude klient informován s předstihem.</w:t>
      </w:r>
    </w:p>
    <w:p w:rsidR="00FA6D37" w:rsidRDefault="00FA6D37"/>
    <w:sectPr w:rsidR="00FA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8E"/>
    <w:rsid w:val="0096178E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EE83"/>
  <w15:chartTrackingRefBased/>
  <w15:docId w15:val="{428B3BA9-A2D4-43F3-B0B1-D5FF6436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gate.cz/files/2023-profi-pb-cz.pdf" TargetMode="External"/><Relationship Id="rId5" Type="http://schemas.openxmlformats.org/officeDocument/2006/relationships/hyperlink" Target="https://www.comgate.cz/files/2023-easy-pb-cz.pdf" TargetMode="External"/><Relationship Id="rId4" Type="http://schemas.openxmlformats.org/officeDocument/2006/relationships/hyperlink" Target="https://www.comgate.cz/files/2023-start-pb-cz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USER 36</cp:lastModifiedBy>
  <cp:revision>1</cp:revision>
  <cp:lastPrinted>2023-10-26T07:52:00Z</cp:lastPrinted>
  <dcterms:created xsi:type="dcterms:W3CDTF">2023-10-26T07:51:00Z</dcterms:created>
  <dcterms:modified xsi:type="dcterms:W3CDTF">2023-10-26T07:53:00Z</dcterms:modified>
</cp:coreProperties>
</file>