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7844" w14:textId="77777777" w:rsidR="00656ACD" w:rsidRDefault="00656ACD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93F1B" w14:textId="633419B5" w:rsidR="00F17D07" w:rsidRPr="00F95E0B" w:rsidRDefault="00F17D07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3536C5">
        <w:rPr>
          <w:rFonts w:asciiTheme="minorHAnsi" w:hAnsiTheme="minorHAnsi" w:cstheme="minorHAnsi"/>
          <w:b/>
          <w:sz w:val="24"/>
          <w:szCs w:val="24"/>
        </w:rPr>
        <w:t>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4787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297E61" w:rsidRPr="00297E61">
        <w:rPr>
          <w:rFonts w:asciiTheme="minorHAnsi" w:hAnsiTheme="minorHAnsi" w:cstheme="minorHAnsi"/>
          <w:b/>
          <w:sz w:val="24"/>
          <w:szCs w:val="24"/>
        </w:rPr>
        <w:t>21-08835S</w:t>
      </w:r>
      <w:proofErr w:type="gramEnd"/>
      <w:r w:rsidR="00297E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3BAD">
        <w:rPr>
          <w:rFonts w:asciiTheme="minorHAnsi" w:hAnsiTheme="minorHAnsi" w:cstheme="minorHAnsi"/>
          <w:b/>
          <w:sz w:val="24"/>
          <w:szCs w:val="24"/>
        </w:rPr>
        <w:t>pa</w:t>
      </w:r>
      <w:r w:rsidRPr="00F95E0B">
        <w:rPr>
          <w:rFonts w:asciiTheme="minorHAnsi" w:hAnsiTheme="minorHAnsi" w:cstheme="minorHAnsi"/>
          <w:b/>
          <w:sz w:val="24"/>
          <w:szCs w:val="24"/>
        </w:rPr>
        <w:t>nelu č. </w:t>
      </w:r>
      <w:r w:rsidR="005C6015">
        <w:rPr>
          <w:rFonts w:asciiTheme="minorHAnsi" w:hAnsiTheme="minorHAnsi" w:cstheme="minorHAnsi"/>
          <w:b/>
          <w:sz w:val="24"/>
          <w:szCs w:val="24"/>
        </w:rPr>
        <w:t>P4</w:t>
      </w:r>
      <w:r w:rsidR="00297E61">
        <w:rPr>
          <w:rFonts w:asciiTheme="minorHAnsi" w:hAnsiTheme="minorHAnsi" w:cstheme="minorHAnsi"/>
          <w:b/>
          <w:sz w:val="24"/>
          <w:szCs w:val="24"/>
        </w:rPr>
        <w:t>10</w:t>
      </w:r>
    </w:p>
    <w:p w14:paraId="2FD65175" w14:textId="6B914E1E" w:rsidR="00F17D07" w:rsidRPr="00F95E0B" w:rsidRDefault="00F95E0B" w:rsidP="003D68D8"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84BD4F0" w:rsidR="00F95E0B" w:rsidRPr="001E3387" w:rsidRDefault="00F95E0B" w:rsidP="003D68D8">
      <w:pPr>
        <w:spacing w:after="240"/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4D264D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3D68D8">
      <w:pPr>
        <w:spacing w:after="240"/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2DA17083" w:rsidR="00F95E0B" w:rsidRPr="001E3387" w:rsidRDefault="00F95E0B" w:rsidP="003D68D8">
      <w:pPr>
        <w:spacing w:after="240"/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297E61" w:rsidRPr="00297E61">
        <w:rPr>
          <w:rFonts w:asciiTheme="majorHAnsi" w:hAnsiTheme="majorHAnsi" w:cstheme="majorHAnsi"/>
          <w:b/>
        </w:rPr>
        <w:t>České vysoké učení technické v Praze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="009B732C" w:rsidRPr="009B732C">
        <w:rPr>
          <w:rFonts w:asciiTheme="majorHAnsi" w:hAnsiTheme="majorHAnsi" w:cstheme="majorHAnsi"/>
          <w:b/>
          <w:bCs/>
        </w:rPr>
        <w:t xml:space="preserve"> </w:t>
      </w:r>
      <w:r w:rsidR="00297E61" w:rsidRPr="00297E61">
        <w:rPr>
          <w:rFonts w:asciiTheme="majorHAnsi" w:hAnsiTheme="majorHAnsi" w:cstheme="majorHAnsi"/>
          <w:b/>
          <w:bCs/>
        </w:rPr>
        <w:t xml:space="preserve">Jugoslávských partyzánů 1580/3, 160 </w:t>
      </w:r>
      <w:proofErr w:type="gramStart"/>
      <w:r w:rsidR="00297E61" w:rsidRPr="00297E61">
        <w:rPr>
          <w:rFonts w:asciiTheme="majorHAnsi" w:hAnsiTheme="majorHAnsi" w:cstheme="majorHAnsi"/>
          <w:b/>
          <w:bCs/>
        </w:rPr>
        <w:t xml:space="preserve">00 </w:t>
      </w:r>
      <w:r w:rsidR="00297E61">
        <w:rPr>
          <w:rFonts w:asciiTheme="majorHAnsi" w:hAnsiTheme="majorHAnsi" w:cstheme="majorHAnsi"/>
          <w:b/>
          <w:bCs/>
        </w:rPr>
        <w:t xml:space="preserve"> </w:t>
      </w:r>
      <w:r w:rsidR="00297E61" w:rsidRPr="00297E61">
        <w:rPr>
          <w:rFonts w:asciiTheme="majorHAnsi" w:hAnsiTheme="majorHAnsi" w:cstheme="majorHAnsi"/>
          <w:b/>
          <w:bCs/>
        </w:rPr>
        <w:t>Praha</w:t>
      </w:r>
      <w:proofErr w:type="gramEnd"/>
      <w:r w:rsidR="00297E61">
        <w:rPr>
          <w:rFonts w:asciiTheme="majorHAnsi" w:hAnsiTheme="majorHAnsi" w:cstheme="majorHAnsi"/>
          <w:b/>
          <w:bCs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297E61" w:rsidRPr="00297E61">
        <w:rPr>
          <w:rFonts w:asciiTheme="majorHAnsi" w:hAnsiTheme="majorHAnsi" w:cstheme="majorHAnsi"/>
          <w:b/>
        </w:rPr>
        <w:t>68407700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9B732C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bookmarkStart w:id="0" w:name="_Hlk146021988"/>
      <w:bookmarkStart w:id="1" w:name="_Hlk148017535"/>
      <w:r w:rsidR="00297E61" w:rsidRPr="00297E61">
        <w:rPr>
          <w:rFonts w:asciiTheme="majorHAnsi" w:hAnsiTheme="majorHAnsi" w:cstheme="majorHAnsi"/>
          <w:b/>
        </w:rPr>
        <w:t>doc. RNDr. Vojtěch Petráček, CSc.</w:t>
      </w:r>
      <w:r w:rsidR="003536C5">
        <w:rPr>
          <w:rFonts w:asciiTheme="majorHAnsi" w:hAnsiTheme="majorHAnsi" w:cstheme="majorHAnsi"/>
          <w:bCs/>
        </w:rPr>
        <w:t xml:space="preserve">, </w:t>
      </w:r>
      <w:bookmarkEnd w:id="0"/>
      <w:r w:rsidR="00297E61">
        <w:rPr>
          <w:rFonts w:asciiTheme="majorHAnsi" w:hAnsiTheme="majorHAnsi" w:cstheme="majorHAnsi"/>
        </w:rPr>
        <w:t>rektor ČVUT</w:t>
      </w:r>
      <w:bookmarkEnd w:id="1"/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9B732C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297E61" w:rsidRPr="00297E61">
        <w:rPr>
          <w:b/>
          <w:bCs/>
        </w:rPr>
        <w:t>94-10038061/0710</w:t>
      </w:r>
      <w:r w:rsidR="00B33BAD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3D68D8">
      <w:pPr>
        <w:spacing w:after="240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3D68D8">
      <w:pPr>
        <w:spacing w:after="240"/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3D68D8">
      <w:pPr>
        <w:spacing w:after="240"/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F4391E4" w:rsidR="00F17D07" w:rsidRPr="00F95E0B" w:rsidRDefault="00F17D07" w:rsidP="003D68D8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297E61" w:rsidRPr="00297E61">
        <w:rPr>
          <w:rFonts w:asciiTheme="majorHAnsi" w:hAnsiTheme="majorHAnsi" w:cstheme="majorHAnsi"/>
        </w:rPr>
        <w:t>21-08835S</w:t>
      </w:r>
      <w:proofErr w:type="gramEnd"/>
      <w:r w:rsidR="00297E61"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131E8EB" w:rsidR="00F17D07" w:rsidRPr="00F95E0B" w:rsidRDefault="00F17D07" w:rsidP="003D68D8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297E61" w:rsidRPr="00297E61">
        <w:rPr>
          <w:rFonts w:asciiTheme="majorHAnsi" w:hAnsiTheme="majorHAnsi" w:cstheme="majorHAnsi"/>
          <w:b/>
        </w:rPr>
        <w:t>21-08835S</w:t>
      </w:r>
      <w:proofErr w:type="gramEnd"/>
      <w:r w:rsidR="00297E61" w:rsidRPr="00297E61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4063C114" w14:textId="52BDDCE4" w:rsidR="004F334B" w:rsidRDefault="00F17D07" w:rsidP="003D68D8">
      <w:pPr>
        <w:spacing w:after="240" w:line="240" w:lineRule="auto"/>
        <w:ind w:left="2832" w:hanging="2124"/>
        <w:jc w:val="both"/>
        <w:rPr>
          <w:rFonts w:asciiTheme="majorHAnsi" w:hAnsiTheme="majorHAnsi" w:cstheme="majorHAnsi"/>
          <w:b/>
          <w:bCs/>
          <w:i/>
          <w:i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297E61" w:rsidRPr="00297E61">
        <w:rPr>
          <w:rFonts w:asciiTheme="majorHAnsi" w:hAnsiTheme="majorHAnsi" w:cstheme="majorHAnsi"/>
          <w:b/>
          <w:bCs/>
          <w:i/>
          <w:iCs/>
        </w:rPr>
        <w:t>Nedoceněná role plzeňských premonstrátů v matematice a přírodovědě</w:t>
      </w:r>
    </w:p>
    <w:p w14:paraId="43F71C3C" w14:textId="7A521809" w:rsidR="00BA7FDC" w:rsidRPr="00F95E0B" w:rsidRDefault="00F17D07" w:rsidP="003D68D8">
      <w:pPr>
        <w:spacing w:after="240"/>
        <w:ind w:left="2832" w:hanging="2124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  <w:i/>
        </w:rPr>
        <w:t>řešitel</w:t>
      </w:r>
      <w:r w:rsidR="00A23D4A">
        <w:rPr>
          <w:rFonts w:asciiTheme="majorHAnsi" w:hAnsiTheme="majorHAnsi" w:cstheme="majorHAnsi"/>
          <w:i/>
        </w:rPr>
        <w:t>ka</w:t>
      </w:r>
      <w:r w:rsidRPr="000115F5">
        <w:rPr>
          <w:rFonts w:asciiTheme="majorHAnsi" w:hAnsiTheme="majorHAnsi" w:cstheme="majorHAnsi"/>
          <w:i/>
        </w:rPr>
        <w:t xml:space="preserve">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297E61" w:rsidRPr="00297E61">
        <w:rPr>
          <w:rFonts w:asciiTheme="majorHAnsi" w:hAnsiTheme="majorHAnsi" w:cstheme="majorHAnsi"/>
          <w:b/>
        </w:rPr>
        <w:t>prof. RNDr. Martina Bečvářová, Ph.D.</w:t>
      </w:r>
    </w:p>
    <w:p w14:paraId="7218B5D4" w14:textId="77777777" w:rsidR="009B732C" w:rsidRPr="00F95E0B" w:rsidRDefault="009B732C" w:rsidP="009B732C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39048AF0" w14:textId="77777777" w:rsidR="009B732C" w:rsidRPr="00F95E0B" w:rsidRDefault="009B732C" w:rsidP="009B732C">
      <w:pPr>
        <w:tabs>
          <w:tab w:val="left" w:pos="709"/>
          <w:tab w:val="left" w:pos="7020"/>
        </w:tabs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7E52FC04" w14:textId="77777777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 30. 6.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>.</w:t>
      </w:r>
    </w:p>
    <w:p w14:paraId="509B15B2" w14:textId="77777777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689C2B66" w14:textId="37415FD1" w:rsidR="009B732C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 30. 6.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8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4A39CACF" w14:textId="77777777" w:rsidR="009B732C" w:rsidRPr="00F95E0B" w:rsidRDefault="009B732C" w:rsidP="009B732C">
      <w:pPr>
        <w:spacing w:after="240"/>
        <w:ind w:left="709"/>
        <w:jc w:val="both"/>
        <w:rPr>
          <w:rFonts w:asciiTheme="majorHAnsi" w:hAnsiTheme="majorHAnsi" w:cstheme="majorHAnsi"/>
        </w:rPr>
      </w:pPr>
    </w:p>
    <w:p w14:paraId="2626507A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26EA13AA" w14:textId="77777777" w:rsidR="009B732C" w:rsidRPr="000115F5" w:rsidRDefault="009B732C" w:rsidP="009B732C">
      <w:pPr>
        <w:numPr>
          <w:ilvl w:val="0"/>
          <w:numId w:val="10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7D013533" w14:textId="77777777" w:rsidR="009B732C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Pr="000115F5">
        <w:rPr>
          <w:rFonts w:asciiTheme="majorHAnsi" w:hAnsiTheme="majorHAnsi" w:cstheme="majorHAnsi"/>
        </w:rPr>
        <w:t>31. 12. 202</w:t>
      </w:r>
      <w:r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mění na 30. 6. 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>.</w:t>
      </w:r>
    </w:p>
    <w:p w14:paraId="3262DA91" w14:textId="77777777" w:rsidR="009B732C" w:rsidRPr="00F95E0B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</w:p>
    <w:p w14:paraId="1567BC07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47A519BB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3D8F5D3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555B5FCA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2D76B4CE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3E03164E" w14:textId="77777777" w:rsidR="009B732C" w:rsidRDefault="009B732C" w:rsidP="009B732C">
      <w:pPr>
        <w:spacing w:after="24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77B9584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7B23A0FF" w14:textId="77777777" w:rsidR="009B732C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20E451BF" w14:textId="77777777" w:rsidR="009B732C" w:rsidRPr="00F95E0B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7220D0A5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FF135FC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13B1020E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08A89028" w14:textId="77777777" w:rsidR="009B732C" w:rsidRPr="00137831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45AF036E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62375F0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</w:p>
    <w:p w14:paraId="7970765D" w14:textId="77777777" w:rsidR="009B732C" w:rsidRDefault="009B732C" w:rsidP="009B732C">
      <w:pPr>
        <w:tabs>
          <w:tab w:val="center" w:pos="2127"/>
          <w:tab w:val="center" w:pos="7461"/>
        </w:tabs>
        <w:spacing w:after="60" w:line="240" w:lineRule="auto"/>
        <w:contextualSpacing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637DFD">
        <w:rPr>
          <w:rFonts w:asciiTheme="majorHAnsi" w:hAnsiTheme="majorHAnsi" w:cstheme="majorHAnsi"/>
        </w:rPr>
        <w:t>za Příjemce</w:t>
      </w:r>
      <w:r w:rsidRPr="00637DFD">
        <w:rPr>
          <w:rFonts w:asciiTheme="majorHAnsi" w:hAnsiTheme="majorHAnsi" w:cstheme="majorHAnsi"/>
          <w:vertAlign w:val="superscript"/>
        </w:rPr>
        <w:t>1</w:t>
      </w:r>
    </w:p>
    <w:p w14:paraId="6A79C97D" w14:textId="428B59A5" w:rsidR="009B732C" w:rsidRPr="00D608AD" w:rsidRDefault="009B732C" w:rsidP="009B732C">
      <w:pPr>
        <w:tabs>
          <w:tab w:val="center" w:pos="2127"/>
          <w:tab w:val="center" w:pos="7461"/>
        </w:tabs>
        <w:spacing w:after="0" w:line="240" w:lineRule="auto"/>
        <w:contextualSpacing/>
        <w:rPr>
          <w:rFonts w:asciiTheme="majorHAnsi" w:hAnsiTheme="majorHAnsi" w:cstheme="majorHAnsi"/>
          <w:vertAlign w:val="superscript"/>
        </w:rPr>
      </w:pPr>
      <w:r w:rsidRPr="005542E0">
        <w:rPr>
          <w:rFonts w:asciiTheme="majorHAnsi" w:hAnsiTheme="majorHAnsi" w:cstheme="majorHAnsi"/>
          <w:sz w:val="6"/>
          <w:szCs w:val="6"/>
        </w:rPr>
        <w:br/>
      </w:r>
      <w:r w:rsidRPr="008B26C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prof</w:t>
      </w:r>
      <w:r w:rsidRPr="00737DB4">
        <w:rPr>
          <w:rFonts w:asciiTheme="majorHAnsi" w:hAnsiTheme="majorHAnsi" w:cstheme="majorHAnsi"/>
        </w:rPr>
        <w:t xml:space="preserve">. RNDr. Petr </w:t>
      </w:r>
      <w:proofErr w:type="spellStart"/>
      <w:r w:rsidRPr="00737DB4">
        <w:rPr>
          <w:rFonts w:asciiTheme="majorHAnsi" w:hAnsiTheme="majorHAnsi" w:cstheme="majorHAnsi"/>
        </w:rPr>
        <w:t>Baldrian</w:t>
      </w:r>
      <w:proofErr w:type="spellEnd"/>
      <w:r w:rsidRPr="00737DB4">
        <w:rPr>
          <w:rFonts w:asciiTheme="majorHAnsi" w:hAnsiTheme="majorHAnsi" w:cstheme="majorHAnsi"/>
        </w:rPr>
        <w:t>, Ph.D.</w:t>
      </w:r>
      <w:r>
        <w:rPr>
          <w:rFonts w:asciiTheme="majorHAnsi" w:hAnsiTheme="majorHAnsi" w:cstheme="majorHAnsi"/>
        </w:rPr>
        <w:tab/>
      </w:r>
      <w:r w:rsidR="00297E61" w:rsidRPr="00297E61">
        <w:rPr>
          <w:rFonts w:asciiTheme="majorHAnsi" w:hAnsiTheme="majorHAnsi" w:cstheme="majorHAnsi"/>
        </w:rPr>
        <w:t>doc. RNDr. Vojtěch Petráček, CSc.</w:t>
      </w:r>
    </w:p>
    <w:p w14:paraId="3D8A6CB7" w14:textId="71EE8889" w:rsidR="00B33BAD" w:rsidRPr="00D608AD" w:rsidRDefault="00675AB7" w:rsidP="00B33BAD">
      <w:pPr>
        <w:tabs>
          <w:tab w:val="center" w:pos="2127"/>
          <w:tab w:val="center" w:pos="7461"/>
        </w:tabs>
        <w:spacing w:after="0" w:line="240" w:lineRule="auto"/>
        <w:contextualSpacing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</w:t>
      </w:r>
      <w:r w:rsidR="009B732C">
        <w:rPr>
          <w:rFonts w:asciiTheme="majorHAnsi" w:hAnsiTheme="majorHAnsi" w:cstheme="majorHAnsi"/>
        </w:rPr>
        <w:t>p</w:t>
      </w:r>
      <w:r w:rsidR="009B732C" w:rsidRPr="00737DB4">
        <w:rPr>
          <w:rFonts w:asciiTheme="majorHAnsi" w:hAnsiTheme="majorHAnsi" w:cstheme="majorHAnsi"/>
        </w:rPr>
        <w:t>ředseda</w:t>
      </w:r>
      <w:r w:rsidR="009B732C" w:rsidRPr="00137831">
        <w:rPr>
          <w:rFonts w:asciiTheme="majorHAnsi" w:hAnsiTheme="majorHAnsi" w:cstheme="majorHAnsi"/>
        </w:rPr>
        <w:t xml:space="preserve"> Grantové agentury České republiky</w:t>
      </w:r>
      <w:r w:rsidR="009B732C">
        <w:rPr>
          <w:rFonts w:asciiTheme="majorHAnsi" w:hAnsiTheme="majorHAnsi" w:cstheme="majorHAnsi"/>
        </w:rPr>
        <w:tab/>
      </w:r>
      <w:r w:rsidR="00297E61" w:rsidRPr="00297E61">
        <w:rPr>
          <w:rFonts w:asciiTheme="majorHAnsi" w:hAnsiTheme="majorHAnsi" w:cstheme="majorHAnsi"/>
        </w:rPr>
        <w:t>rektor ČVUT</w:t>
      </w:r>
    </w:p>
    <w:p w14:paraId="20BAD23A" w14:textId="02796B65" w:rsidR="00A23D4A" w:rsidRPr="00D608AD" w:rsidRDefault="00A23D4A" w:rsidP="00A23D4A">
      <w:pPr>
        <w:tabs>
          <w:tab w:val="center" w:pos="2127"/>
          <w:tab w:val="center" w:pos="7461"/>
        </w:tabs>
        <w:spacing w:after="0" w:line="240" w:lineRule="auto"/>
        <w:contextualSpacing/>
        <w:rPr>
          <w:rFonts w:asciiTheme="majorHAnsi" w:hAnsiTheme="majorHAnsi" w:cstheme="majorHAnsi"/>
          <w:vertAlign w:val="superscript"/>
        </w:rPr>
      </w:pPr>
    </w:p>
    <w:p w14:paraId="5D33BC6A" w14:textId="3A1FBB6F" w:rsidR="009B732C" w:rsidRDefault="009B732C" w:rsidP="009B732C">
      <w:pPr>
        <w:tabs>
          <w:tab w:val="center" w:pos="2127"/>
          <w:tab w:val="center" w:pos="7461"/>
        </w:tabs>
        <w:spacing w:after="240" w:line="240" w:lineRule="auto"/>
        <w:contextualSpacing/>
        <w:rPr>
          <w:rFonts w:asciiTheme="majorHAnsi" w:hAnsiTheme="majorHAnsi" w:cstheme="majorHAnsi"/>
        </w:rPr>
      </w:pPr>
    </w:p>
    <w:p w14:paraId="24D01FF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5F66874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31049D36" w14:textId="587C319E" w:rsidR="009B732C" w:rsidRDefault="009B732C" w:rsidP="00A23D4A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Pr="008B26C3">
        <w:rPr>
          <w:rFonts w:asciiTheme="majorHAnsi" w:hAnsiTheme="majorHAnsi" w:cstheme="majorHAnsi"/>
        </w:rPr>
        <w:br/>
      </w:r>
    </w:p>
    <w:p w14:paraId="190FEFA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136A3ECD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6DF8037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5EAA6AAF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4ACBB615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04151CCC" w14:textId="77777777" w:rsidR="009B732C" w:rsidRDefault="009B732C" w:rsidP="009B732C">
      <w:pPr>
        <w:pBdr>
          <w:bottom w:val="single" w:sz="4" w:space="1" w:color="auto"/>
        </w:pBdr>
        <w:tabs>
          <w:tab w:val="left" w:pos="7472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8FE776E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15388F14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35D5BD1F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63C51358" w14:textId="77777777" w:rsidR="009B732C" w:rsidRDefault="009B732C" w:rsidP="009B732C">
      <w:pPr>
        <w:pBdr>
          <w:bottom w:val="single" w:sz="4" w:space="1" w:color="auto"/>
        </w:pBdr>
        <w:spacing w:after="60"/>
        <w:rPr>
          <w:rFonts w:asciiTheme="majorHAnsi" w:hAnsiTheme="majorHAnsi" w:cstheme="majorHAnsi"/>
        </w:rPr>
      </w:pPr>
    </w:p>
    <w:p w14:paraId="6FDB1CB8" w14:textId="421196ED" w:rsidR="001A2522" w:rsidRPr="00F95E0B" w:rsidRDefault="009B732C" w:rsidP="009B732C">
      <w:pPr>
        <w:spacing w:after="60"/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656AC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0EE6762C" w:rsidR="0031270F" w:rsidRDefault="00EC7E7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73095253">
              <wp:simplePos x="0" y="0"/>
              <wp:positionH relativeFrom="rightMargin">
                <wp:posOffset>176530</wp:posOffset>
              </wp:positionH>
              <wp:positionV relativeFrom="paragraph">
                <wp:posOffset>286404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.9pt;margin-top:22.5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C+wPET3gAAAAgBAAAPAAAAZHJz&#10;L2Rvd25yZXYueG1sTI/BTsMwEETvSPyDtUjcqNMU0hLiVBVqyxFoI85usiQR8dqy3TT8PcsJjjsz&#10;mnlbrCcziBF96C0pmM8SEEi1bXpqFVTH3d0KRIiaGj1YQgXfGGBdXl8VOm/shd5xPMRWcAmFXCvo&#10;YnS5lKHu0Ogwsw6JvU/rjY58+lY2Xl+43AwyTZJMGt0TL3Ta4XOH9dfhbBS46PbLF//6ttnuxqT6&#10;2Fdp326Vur2ZNk8gIk7xLwy/+IwOJTOd7JmaIAYF6ZLJo4L7hzkI9h8XKYgT61m2AFkW8v8D5Q8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vsDxE9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53BF2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77356AD2">
          <wp:simplePos x="0" y="0"/>
          <wp:positionH relativeFrom="margin">
            <wp:align>center</wp:align>
          </wp:positionH>
          <wp:positionV relativeFrom="paragraph">
            <wp:posOffset>311474</wp:posOffset>
          </wp:positionV>
          <wp:extent cx="5043170" cy="145415"/>
          <wp:effectExtent l="0" t="0" r="5080" b="6985"/>
          <wp:wrapNone/>
          <wp:docPr id="1201151210" name="Obrázek 120115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152"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26F1B4F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22541690" name="Obrázek 222541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051" w14:textId="4D22E1F0" w:rsidR="00656ACD" w:rsidRDefault="00656ACD" w:rsidP="00656ACD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BD4BCE3" wp14:editId="5A628F29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2952497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156027804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606AE6C9" w14:textId="77777777" w:rsidR="00656ACD" w:rsidRPr="00DD7152" w:rsidRDefault="00656ACD" w:rsidP="00656ACD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024945A" w14:textId="77777777" w:rsidR="00656ACD" w:rsidRPr="00D654C2" w:rsidRDefault="00656ACD" w:rsidP="00656ACD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4BC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6pt;margin-top:17.05pt;width:32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8s+w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156027804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606AE6C9" w14:textId="77777777" w:rsidR="00656ACD" w:rsidRPr="00DD7152" w:rsidRDefault="00656ACD" w:rsidP="00656ACD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024945A" w14:textId="77777777" w:rsidR="00656ACD" w:rsidRPr="00D654C2" w:rsidRDefault="00656ACD" w:rsidP="00656ACD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03623DA" w14:textId="4E42A002" w:rsidR="00656ACD" w:rsidRPr="00656ACD" w:rsidRDefault="00656ACD" w:rsidP="00656ACD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5DB94FED" wp14:editId="6D01552D">
          <wp:simplePos x="0" y="0"/>
          <wp:positionH relativeFrom="margin">
            <wp:align>center</wp:align>
          </wp:positionH>
          <wp:positionV relativeFrom="paragraph">
            <wp:posOffset>304743</wp:posOffset>
          </wp:positionV>
          <wp:extent cx="5043170" cy="145415"/>
          <wp:effectExtent l="0" t="0" r="5080" b="6985"/>
          <wp:wrapNone/>
          <wp:docPr id="123018217" name="Obrázek 123018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2650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52789F3" wp14:editId="5CF6C9C9">
          <wp:simplePos x="0" y="0"/>
          <wp:positionH relativeFrom="margin">
            <wp:posOffset>-1163320</wp:posOffset>
          </wp:positionH>
          <wp:positionV relativeFrom="paragraph">
            <wp:posOffset>182880</wp:posOffset>
          </wp:positionV>
          <wp:extent cx="7865745" cy="1182370"/>
          <wp:effectExtent l="0" t="0" r="0" b="0"/>
          <wp:wrapNone/>
          <wp:docPr id="1187826577" name="Obrázek 1187826577" descr="Obsah obrázku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826577" name="Obrázek 1187826577" descr="Obsah obrázku snímek obrazovky, černá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574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BAAE" w14:textId="001EBCCC" w:rsidR="00656ACD" w:rsidRDefault="00656ACD">
    <w:pPr>
      <w:pStyle w:val="Zhlav"/>
    </w:pPr>
    <w:r>
      <w:rPr>
        <w:noProof/>
        <w:lang w:eastAsia="zh-CN"/>
      </w:rPr>
      <w:drawing>
        <wp:anchor distT="0" distB="0" distL="114300" distR="114300" simplePos="0" relativeHeight="251671552" behindDoc="0" locked="0" layoutInCell="1" allowOverlap="1" wp14:anchorId="363D84B3" wp14:editId="79D91B11">
          <wp:simplePos x="0" y="0"/>
          <wp:positionH relativeFrom="margin">
            <wp:align>left</wp:align>
          </wp:positionH>
          <wp:positionV relativeFrom="paragraph">
            <wp:posOffset>-609600</wp:posOffset>
          </wp:positionV>
          <wp:extent cx="2814859" cy="648000"/>
          <wp:effectExtent l="0" t="0" r="5080" b="0"/>
          <wp:wrapNone/>
          <wp:docPr id="434281830" name="Obrázek 434281830" descr="Obsah obrázku Grafika, Písmo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281830" name="Obrázek 434281830" descr="Obsah obrázku Grafika, Písmo, černá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485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5171701">
    <w:abstractNumId w:val="0"/>
  </w:num>
  <w:num w:numId="2" w16cid:durableId="1644844633">
    <w:abstractNumId w:val="8"/>
  </w:num>
  <w:num w:numId="3" w16cid:durableId="1168251039">
    <w:abstractNumId w:val="2"/>
  </w:num>
  <w:num w:numId="4" w16cid:durableId="237836376">
    <w:abstractNumId w:val="0"/>
  </w:num>
  <w:num w:numId="5" w16cid:durableId="778522992">
    <w:abstractNumId w:val="7"/>
  </w:num>
  <w:num w:numId="6" w16cid:durableId="1436897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100514">
    <w:abstractNumId w:val="6"/>
  </w:num>
  <w:num w:numId="8" w16cid:durableId="801386921">
    <w:abstractNumId w:val="4"/>
  </w:num>
  <w:num w:numId="9" w16cid:durableId="1771047764">
    <w:abstractNumId w:val="1"/>
  </w:num>
  <w:num w:numId="10" w16cid:durableId="27991448">
    <w:abstractNumId w:val="5"/>
  </w:num>
  <w:num w:numId="11" w16cid:durableId="158440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53BF2"/>
    <w:rsid w:val="00075A20"/>
    <w:rsid w:val="00084960"/>
    <w:rsid w:val="000C1267"/>
    <w:rsid w:val="000C359D"/>
    <w:rsid w:val="000D1D99"/>
    <w:rsid w:val="00110881"/>
    <w:rsid w:val="00115589"/>
    <w:rsid w:val="0012492D"/>
    <w:rsid w:val="00156390"/>
    <w:rsid w:val="00164A15"/>
    <w:rsid w:val="00174BA2"/>
    <w:rsid w:val="00174E89"/>
    <w:rsid w:val="001A2522"/>
    <w:rsid w:val="001A6CBF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415B5"/>
    <w:rsid w:val="00297E61"/>
    <w:rsid w:val="002D3BF2"/>
    <w:rsid w:val="002D63F0"/>
    <w:rsid w:val="002E0BB0"/>
    <w:rsid w:val="002E1C1C"/>
    <w:rsid w:val="0031270F"/>
    <w:rsid w:val="0033562F"/>
    <w:rsid w:val="003536C5"/>
    <w:rsid w:val="0038733F"/>
    <w:rsid w:val="003D68D8"/>
    <w:rsid w:val="003E326C"/>
    <w:rsid w:val="00402951"/>
    <w:rsid w:val="00406D60"/>
    <w:rsid w:val="0041070A"/>
    <w:rsid w:val="0041585E"/>
    <w:rsid w:val="00447873"/>
    <w:rsid w:val="00462802"/>
    <w:rsid w:val="00470911"/>
    <w:rsid w:val="00486F14"/>
    <w:rsid w:val="004B2AB3"/>
    <w:rsid w:val="004B5119"/>
    <w:rsid w:val="004C4B9D"/>
    <w:rsid w:val="004D264D"/>
    <w:rsid w:val="004F334B"/>
    <w:rsid w:val="00504DE5"/>
    <w:rsid w:val="00513A86"/>
    <w:rsid w:val="00520FEF"/>
    <w:rsid w:val="005542E0"/>
    <w:rsid w:val="005720A2"/>
    <w:rsid w:val="005C06B9"/>
    <w:rsid w:val="005C6015"/>
    <w:rsid w:val="005E1CB0"/>
    <w:rsid w:val="00600C99"/>
    <w:rsid w:val="00622822"/>
    <w:rsid w:val="00622A69"/>
    <w:rsid w:val="00623E21"/>
    <w:rsid w:val="00650EB4"/>
    <w:rsid w:val="00656ACD"/>
    <w:rsid w:val="00675AB7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522C"/>
    <w:rsid w:val="008F568D"/>
    <w:rsid w:val="00902169"/>
    <w:rsid w:val="00931B54"/>
    <w:rsid w:val="00951EF6"/>
    <w:rsid w:val="009675FD"/>
    <w:rsid w:val="009B603D"/>
    <w:rsid w:val="009B732C"/>
    <w:rsid w:val="009C0404"/>
    <w:rsid w:val="009C1F05"/>
    <w:rsid w:val="009D6BC1"/>
    <w:rsid w:val="009F602C"/>
    <w:rsid w:val="00A05719"/>
    <w:rsid w:val="00A10F32"/>
    <w:rsid w:val="00A113DB"/>
    <w:rsid w:val="00A23D4A"/>
    <w:rsid w:val="00A316B3"/>
    <w:rsid w:val="00A34D87"/>
    <w:rsid w:val="00A42CB0"/>
    <w:rsid w:val="00A7062B"/>
    <w:rsid w:val="00A95052"/>
    <w:rsid w:val="00AA101E"/>
    <w:rsid w:val="00AA4CD9"/>
    <w:rsid w:val="00AE147A"/>
    <w:rsid w:val="00AF0B65"/>
    <w:rsid w:val="00B01E54"/>
    <w:rsid w:val="00B310DC"/>
    <w:rsid w:val="00B33BAD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1465"/>
    <w:rsid w:val="00D33FA6"/>
    <w:rsid w:val="00D359FA"/>
    <w:rsid w:val="00D542A3"/>
    <w:rsid w:val="00D608AD"/>
    <w:rsid w:val="00D7377D"/>
    <w:rsid w:val="00D906DB"/>
    <w:rsid w:val="00D909D4"/>
    <w:rsid w:val="00DC4244"/>
    <w:rsid w:val="00DC68B4"/>
    <w:rsid w:val="00DD2976"/>
    <w:rsid w:val="00DD7152"/>
    <w:rsid w:val="00DF694E"/>
    <w:rsid w:val="00E11821"/>
    <w:rsid w:val="00E70DB4"/>
    <w:rsid w:val="00EA3016"/>
    <w:rsid w:val="00EA61FF"/>
    <w:rsid w:val="00EC7E75"/>
    <w:rsid w:val="00EF2D9B"/>
    <w:rsid w:val="00EF47F2"/>
    <w:rsid w:val="00F02132"/>
    <w:rsid w:val="00F17D07"/>
    <w:rsid w:val="00F37F02"/>
    <w:rsid w:val="00F623BE"/>
    <w:rsid w:val="00F643BB"/>
    <w:rsid w:val="00F92A96"/>
    <w:rsid w:val="00F95384"/>
    <w:rsid w:val="00F95E0B"/>
    <w:rsid w:val="00FB6B33"/>
    <w:rsid w:val="00FB6FB4"/>
    <w:rsid w:val="00FC5100"/>
    <w:rsid w:val="00FD31C1"/>
    <w:rsid w:val="00FD68AC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7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E6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ppo\AppData\Local\Microsoft\Windows\INetCache\Content.Outlook\S0C8GRWZ\www.ga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3154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Popp, JPComputers</cp:lastModifiedBy>
  <cp:revision>2</cp:revision>
  <dcterms:created xsi:type="dcterms:W3CDTF">2023-10-30T13:00:00Z</dcterms:created>
  <dcterms:modified xsi:type="dcterms:W3CDTF">2023-10-30T13:00:00Z</dcterms:modified>
</cp:coreProperties>
</file>