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98" w:rsidRDefault="00C14A8F">
      <w:pPr>
        <w:pStyle w:val="Nadpis10"/>
        <w:keepNext/>
        <w:keepLines/>
        <w:shd w:val="clear" w:color="auto" w:fill="auto"/>
        <w:spacing w:line="290" w:lineRule="auto"/>
        <w:ind w:left="0" w:firstLine="0"/>
        <w:jc w:val="center"/>
      </w:pPr>
      <w:bookmarkStart w:id="0" w:name="bookmark0"/>
      <w:r>
        <w:t>Rámcová smlouva o zprostředkování č. 01/2023,</w:t>
      </w:r>
      <w:bookmarkEnd w:id="0"/>
    </w:p>
    <w:p w:rsidR="00160598" w:rsidRDefault="00C14A8F">
      <w:pPr>
        <w:pStyle w:val="Zkladntext1"/>
        <w:shd w:val="clear" w:color="auto" w:fill="auto"/>
        <w:spacing w:line="290" w:lineRule="auto"/>
        <w:jc w:val="center"/>
      </w:pPr>
      <w:r>
        <w:t>uzavřená v souladu s ustanovením § 2445 a násl. zákona č. 89/2012 Sb., občanského zákoníku ve znění</w:t>
      </w:r>
      <w:r>
        <w:br/>
        <w:t xml:space="preserve">pozdějších předpisů (dále jen </w:t>
      </w:r>
      <w:r>
        <w:rPr>
          <w:b/>
          <w:bCs/>
        </w:rPr>
        <w:t>„rámcová smlouva“</w:t>
      </w:r>
      <w:r>
        <w:t>)</w:t>
      </w:r>
    </w:p>
    <w:p w:rsidR="00160598" w:rsidRDefault="00C14A8F">
      <w:pPr>
        <w:pStyle w:val="Titulektabulky0"/>
        <w:shd w:val="clear" w:color="auto" w:fill="auto"/>
        <w:ind w:left="77"/>
      </w:pPr>
      <w:r>
        <w:t>Smluvní strany: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63"/>
        <w:gridCol w:w="4694"/>
      </w:tblGrid>
      <w:tr w:rsidR="00160598">
        <w:tblPrEx>
          <w:tblCellMar>
            <w:top w:w="0" w:type="dxa"/>
            <w:bottom w:w="0" w:type="dxa"/>
          </w:tblCellMar>
        </w:tblPrEx>
        <w:trPr>
          <w:trHeight w:hRule="exact" w:val="293"/>
        </w:trPr>
        <w:tc>
          <w:tcPr>
            <w:tcW w:w="6657" w:type="dxa"/>
            <w:gridSpan w:val="2"/>
            <w:tcBorders>
              <w:top w:val="single" w:sz="4" w:space="0" w:color="auto"/>
              <w:left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ind w:left="240"/>
              <w:jc w:val="left"/>
            </w:pPr>
            <w:r>
              <w:rPr>
                <w:b/>
                <w:bCs/>
              </w:rPr>
              <w:t>Klient</w:t>
            </w:r>
          </w:p>
        </w:tc>
      </w:tr>
      <w:tr w:rsidR="00160598">
        <w:tblPrEx>
          <w:tblCellMar>
            <w:top w:w="0" w:type="dxa"/>
            <w:bottom w:w="0" w:type="dxa"/>
          </w:tblCellMar>
        </w:tblPrEx>
        <w:trPr>
          <w:trHeight w:hRule="exact" w:val="278"/>
        </w:trPr>
        <w:tc>
          <w:tcPr>
            <w:tcW w:w="1963" w:type="dxa"/>
            <w:tcBorders>
              <w:top w:val="single" w:sz="4" w:space="0" w:color="auto"/>
              <w:left w:val="single" w:sz="4" w:space="0" w:color="auto"/>
            </w:tcBorders>
            <w:shd w:val="clear" w:color="auto" w:fill="FFFFFF"/>
            <w:vAlign w:val="bottom"/>
          </w:tcPr>
          <w:p w:rsidR="00160598" w:rsidRDefault="00C14A8F">
            <w:pPr>
              <w:pStyle w:val="Jin0"/>
              <w:shd w:val="clear" w:color="auto" w:fill="auto"/>
              <w:spacing w:line="240" w:lineRule="auto"/>
              <w:ind w:left="240"/>
              <w:jc w:val="left"/>
            </w:pPr>
            <w:r>
              <w:t>Jméno/název:</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jc w:val="left"/>
            </w:pPr>
            <w:r>
              <w:t>ČD-Telematika a.s.</w:t>
            </w:r>
          </w:p>
        </w:tc>
      </w:tr>
      <w:tr w:rsidR="00160598">
        <w:tblPrEx>
          <w:tblCellMar>
            <w:top w:w="0" w:type="dxa"/>
            <w:bottom w:w="0" w:type="dxa"/>
          </w:tblCellMar>
        </w:tblPrEx>
        <w:trPr>
          <w:trHeight w:hRule="exact" w:val="278"/>
        </w:trPr>
        <w:tc>
          <w:tcPr>
            <w:tcW w:w="1963" w:type="dxa"/>
            <w:tcBorders>
              <w:top w:val="single" w:sz="4" w:space="0" w:color="auto"/>
              <w:left w:val="single" w:sz="4" w:space="0" w:color="auto"/>
            </w:tcBorders>
            <w:shd w:val="clear" w:color="auto" w:fill="FFFFFF"/>
            <w:vAlign w:val="bottom"/>
          </w:tcPr>
          <w:p w:rsidR="00160598" w:rsidRDefault="00C14A8F">
            <w:pPr>
              <w:pStyle w:val="Jin0"/>
              <w:shd w:val="clear" w:color="auto" w:fill="auto"/>
              <w:spacing w:line="240" w:lineRule="auto"/>
              <w:ind w:left="240"/>
              <w:jc w:val="left"/>
            </w:pPr>
            <w:r>
              <w:t>sídlo:</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jc w:val="left"/>
            </w:pPr>
            <w:r>
              <w:t>Pernerova 2819/2a, Praha 130 00</w:t>
            </w:r>
          </w:p>
        </w:tc>
      </w:tr>
      <w:tr w:rsidR="00160598">
        <w:tblPrEx>
          <w:tblCellMar>
            <w:top w:w="0" w:type="dxa"/>
            <w:bottom w:w="0" w:type="dxa"/>
          </w:tblCellMar>
        </w:tblPrEx>
        <w:trPr>
          <w:trHeight w:hRule="exact" w:val="278"/>
        </w:trPr>
        <w:tc>
          <w:tcPr>
            <w:tcW w:w="1963" w:type="dxa"/>
            <w:tcBorders>
              <w:top w:val="single" w:sz="4" w:space="0" w:color="auto"/>
              <w:left w:val="single" w:sz="4" w:space="0" w:color="auto"/>
            </w:tcBorders>
            <w:shd w:val="clear" w:color="auto" w:fill="FFFFFF"/>
            <w:vAlign w:val="bottom"/>
          </w:tcPr>
          <w:p w:rsidR="00160598" w:rsidRDefault="00C14A8F">
            <w:pPr>
              <w:pStyle w:val="Jin0"/>
              <w:shd w:val="clear" w:color="auto" w:fill="auto"/>
              <w:spacing w:line="240" w:lineRule="auto"/>
              <w:ind w:left="240"/>
              <w:jc w:val="left"/>
            </w:pPr>
            <w:r>
              <w:t>IČO, DIČ</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jc w:val="left"/>
            </w:pPr>
            <w:r>
              <w:t>614 59 445, CZ614 59 445</w:t>
            </w:r>
          </w:p>
        </w:tc>
      </w:tr>
      <w:tr w:rsidR="00160598">
        <w:tblPrEx>
          <w:tblCellMar>
            <w:top w:w="0" w:type="dxa"/>
            <w:bottom w:w="0" w:type="dxa"/>
          </w:tblCellMar>
        </w:tblPrEx>
        <w:trPr>
          <w:trHeight w:hRule="exact" w:val="547"/>
        </w:trPr>
        <w:tc>
          <w:tcPr>
            <w:tcW w:w="1963" w:type="dxa"/>
            <w:tcBorders>
              <w:top w:val="single" w:sz="4" w:space="0" w:color="auto"/>
              <w:left w:val="single" w:sz="4" w:space="0" w:color="auto"/>
            </w:tcBorders>
            <w:shd w:val="clear" w:color="auto" w:fill="FFFFFF"/>
          </w:tcPr>
          <w:p w:rsidR="00160598" w:rsidRDefault="00C14A8F">
            <w:pPr>
              <w:pStyle w:val="Jin0"/>
              <w:shd w:val="clear" w:color="auto" w:fill="auto"/>
              <w:spacing w:line="240" w:lineRule="auto"/>
              <w:ind w:left="240"/>
              <w:jc w:val="left"/>
            </w:pPr>
            <w:r>
              <w:t>zastoupen</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jc w:val="left"/>
            </w:pPr>
            <w:r>
              <w:t>Ing. Janem Hobzou, předsedou představenstva</w:t>
            </w:r>
          </w:p>
          <w:p w:rsidR="00160598" w:rsidRDefault="00C14A8F">
            <w:pPr>
              <w:pStyle w:val="Jin0"/>
              <w:shd w:val="clear" w:color="auto" w:fill="auto"/>
              <w:spacing w:line="240" w:lineRule="auto"/>
              <w:jc w:val="left"/>
            </w:pPr>
            <w:r>
              <w:t xml:space="preserve">Ing. Davidem </w:t>
            </w:r>
            <w:proofErr w:type="spellStart"/>
            <w:r>
              <w:t>Wolskim</w:t>
            </w:r>
            <w:proofErr w:type="spellEnd"/>
            <w:r>
              <w:t>, členem představenstva</w:t>
            </w:r>
          </w:p>
        </w:tc>
      </w:tr>
      <w:tr w:rsidR="00160598">
        <w:tblPrEx>
          <w:tblCellMar>
            <w:top w:w="0" w:type="dxa"/>
            <w:bottom w:w="0" w:type="dxa"/>
          </w:tblCellMar>
        </w:tblPrEx>
        <w:trPr>
          <w:trHeight w:hRule="exact" w:val="278"/>
        </w:trPr>
        <w:tc>
          <w:tcPr>
            <w:tcW w:w="1963" w:type="dxa"/>
            <w:tcBorders>
              <w:top w:val="single" w:sz="4" w:space="0" w:color="auto"/>
              <w:left w:val="single" w:sz="4" w:space="0" w:color="auto"/>
            </w:tcBorders>
            <w:shd w:val="clear" w:color="auto" w:fill="FFFFFF"/>
            <w:vAlign w:val="bottom"/>
          </w:tcPr>
          <w:p w:rsidR="00160598" w:rsidRDefault="00C14A8F">
            <w:pPr>
              <w:pStyle w:val="Jin0"/>
              <w:shd w:val="clear" w:color="auto" w:fill="auto"/>
              <w:spacing w:line="240" w:lineRule="auto"/>
              <w:ind w:left="240"/>
              <w:jc w:val="left"/>
            </w:pPr>
            <w:r>
              <w:t>e-mail:</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jc w:val="left"/>
            </w:pPr>
            <w:hyperlink r:id="rId8" w:history="1">
              <w:r>
                <w:rPr>
                  <w:color w:val="0000FF"/>
                </w:rPr>
                <w:t>cdt@cdt.cz</w:t>
              </w:r>
            </w:hyperlink>
          </w:p>
        </w:tc>
      </w:tr>
      <w:tr w:rsidR="00160598">
        <w:tblPrEx>
          <w:tblCellMar>
            <w:top w:w="0" w:type="dxa"/>
            <w:bottom w:w="0" w:type="dxa"/>
          </w:tblCellMar>
        </w:tblPrEx>
        <w:trPr>
          <w:trHeight w:hRule="exact" w:val="278"/>
        </w:trPr>
        <w:tc>
          <w:tcPr>
            <w:tcW w:w="1963" w:type="dxa"/>
            <w:tcBorders>
              <w:top w:val="single" w:sz="4" w:space="0" w:color="auto"/>
              <w:left w:val="single" w:sz="4" w:space="0" w:color="auto"/>
            </w:tcBorders>
            <w:shd w:val="clear" w:color="auto" w:fill="FFFFFF"/>
            <w:vAlign w:val="bottom"/>
          </w:tcPr>
          <w:p w:rsidR="00160598" w:rsidRDefault="00C14A8F">
            <w:pPr>
              <w:pStyle w:val="Jin0"/>
              <w:shd w:val="clear" w:color="auto" w:fill="auto"/>
              <w:spacing w:line="240" w:lineRule="auto"/>
              <w:ind w:left="240"/>
              <w:jc w:val="left"/>
            </w:pPr>
            <w:r>
              <w:t>Kontaktní osoba:</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1A7F8D" w:rsidP="001A7F8D">
            <w:pPr>
              <w:pStyle w:val="Jin0"/>
              <w:shd w:val="clear" w:color="auto" w:fill="auto"/>
              <w:spacing w:line="240" w:lineRule="auto"/>
              <w:jc w:val="left"/>
            </w:pPr>
            <w:proofErr w:type="spellStart"/>
            <w:r>
              <w:t>xxxxxxxxxxxxxxxxxxxxxxxxxx</w:t>
            </w:r>
            <w:proofErr w:type="spellEnd"/>
            <w:r>
              <w:t xml:space="preserve"> </w:t>
            </w:r>
          </w:p>
        </w:tc>
      </w:tr>
      <w:tr w:rsidR="00160598">
        <w:tblPrEx>
          <w:tblCellMar>
            <w:top w:w="0" w:type="dxa"/>
            <w:bottom w:w="0" w:type="dxa"/>
          </w:tblCellMar>
        </w:tblPrEx>
        <w:trPr>
          <w:trHeight w:hRule="exact" w:val="278"/>
        </w:trPr>
        <w:tc>
          <w:tcPr>
            <w:tcW w:w="1963" w:type="dxa"/>
            <w:tcBorders>
              <w:top w:val="single" w:sz="4" w:space="0" w:color="auto"/>
              <w:left w:val="single" w:sz="4" w:space="0" w:color="auto"/>
            </w:tcBorders>
            <w:shd w:val="clear" w:color="auto" w:fill="FFFFFF"/>
            <w:vAlign w:val="bottom"/>
          </w:tcPr>
          <w:p w:rsidR="00160598" w:rsidRDefault="00C14A8F">
            <w:pPr>
              <w:pStyle w:val="Jin0"/>
              <w:shd w:val="clear" w:color="auto" w:fill="auto"/>
              <w:spacing w:line="240" w:lineRule="auto"/>
              <w:ind w:left="240"/>
              <w:jc w:val="left"/>
            </w:pPr>
            <w:r>
              <w:t>tel:</w:t>
            </w:r>
          </w:p>
        </w:tc>
        <w:tc>
          <w:tcPr>
            <w:tcW w:w="4694" w:type="dxa"/>
            <w:tcBorders>
              <w:top w:val="single" w:sz="4" w:space="0" w:color="auto"/>
              <w:left w:val="single" w:sz="4" w:space="0" w:color="auto"/>
              <w:right w:val="single" w:sz="4" w:space="0" w:color="auto"/>
            </w:tcBorders>
            <w:shd w:val="clear" w:color="auto" w:fill="FFFFFF"/>
            <w:vAlign w:val="bottom"/>
          </w:tcPr>
          <w:p w:rsidR="00160598" w:rsidRDefault="001A7F8D">
            <w:pPr>
              <w:pStyle w:val="Jin0"/>
              <w:shd w:val="clear" w:color="auto" w:fill="auto"/>
              <w:spacing w:line="240" w:lineRule="auto"/>
              <w:jc w:val="left"/>
            </w:pPr>
            <w:proofErr w:type="spellStart"/>
            <w:r>
              <w:t>xxxxxxxxxxxxxxxxxxxxxx</w:t>
            </w:r>
            <w:proofErr w:type="spellEnd"/>
          </w:p>
        </w:tc>
      </w:tr>
      <w:tr w:rsidR="00160598">
        <w:tblPrEx>
          <w:tblCellMar>
            <w:top w:w="0" w:type="dxa"/>
            <w:bottom w:w="0" w:type="dxa"/>
          </w:tblCellMar>
        </w:tblPrEx>
        <w:trPr>
          <w:trHeight w:hRule="exact" w:val="298"/>
        </w:trPr>
        <w:tc>
          <w:tcPr>
            <w:tcW w:w="1963" w:type="dxa"/>
            <w:tcBorders>
              <w:top w:val="single" w:sz="4" w:space="0" w:color="auto"/>
              <w:left w:val="single" w:sz="4" w:space="0" w:color="auto"/>
              <w:bottom w:val="single" w:sz="4" w:space="0" w:color="auto"/>
            </w:tcBorders>
            <w:shd w:val="clear" w:color="auto" w:fill="FFFFFF"/>
            <w:vAlign w:val="bottom"/>
          </w:tcPr>
          <w:p w:rsidR="00160598" w:rsidRDefault="00C14A8F">
            <w:pPr>
              <w:pStyle w:val="Jin0"/>
              <w:shd w:val="clear" w:color="auto" w:fill="auto"/>
              <w:spacing w:line="240" w:lineRule="auto"/>
              <w:ind w:left="240"/>
              <w:jc w:val="left"/>
            </w:pPr>
            <w:r>
              <w:t>bankovní spojení:</w:t>
            </w:r>
          </w:p>
        </w:tc>
        <w:tc>
          <w:tcPr>
            <w:tcW w:w="4694" w:type="dxa"/>
            <w:tcBorders>
              <w:top w:val="single" w:sz="4" w:space="0" w:color="auto"/>
              <w:left w:val="single" w:sz="4" w:space="0" w:color="auto"/>
              <w:bottom w:val="single" w:sz="4" w:space="0" w:color="auto"/>
              <w:right w:val="single" w:sz="4" w:space="0" w:color="auto"/>
            </w:tcBorders>
            <w:shd w:val="clear" w:color="auto" w:fill="FFFFFF"/>
            <w:vAlign w:val="bottom"/>
          </w:tcPr>
          <w:p w:rsidR="00160598" w:rsidRDefault="00C14A8F">
            <w:pPr>
              <w:pStyle w:val="Jin0"/>
              <w:shd w:val="clear" w:color="auto" w:fill="auto"/>
              <w:spacing w:line="240" w:lineRule="auto"/>
              <w:jc w:val="left"/>
            </w:pPr>
            <w:r>
              <w:t>19-5524200217/0100</w:t>
            </w:r>
          </w:p>
        </w:tc>
      </w:tr>
    </w:tbl>
    <w:p w:rsidR="00160598" w:rsidRDefault="00C14A8F">
      <w:pPr>
        <w:pStyle w:val="Titulektabulky0"/>
        <w:shd w:val="clear" w:color="auto" w:fill="auto"/>
        <w:ind w:left="86"/>
      </w:pPr>
      <w:r>
        <w:rPr>
          <w:b w:val="0"/>
          <w:bCs w:val="0"/>
        </w:rPr>
        <w:t>(dále jako „</w:t>
      </w:r>
      <w:r>
        <w:t>Klient</w:t>
      </w:r>
      <w:r>
        <w:rPr>
          <w:b w:val="0"/>
          <w:bCs w:val="0"/>
        </w:rPr>
        <w:t>“)</w:t>
      </w:r>
    </w:p>
    <w:p w:rsidR="00160598" w:rsidRDefault="00160598">
      <w:pPr>
        <w:spacing w:after="326" w:line="14" w:lineRule="exact"/>
      </w:pPr>
    </w:p>
    <w:p w:rsidR="00160598" w:rsidRDefault="00C14A8F">
      <w:pPr>
        <w:pStyle w:val="Nadpis10"/>
        <w:keepNext/>
        <w:keepLines/>
        <w:shd w:val="clear" w:color="auto" w:fill="auto"/>
        <w:spacing w:after="200"/>
        <w:ind w:left="0" w:firstLine="240"/>
        <w:jc w:val="left"/>
      </w:pPr>
      <w:bookmarkStart w:id="1" w:name="bookmark1"/>
      <w:r>
        <w:t>Zprostředkovatel</w:t>
      </w:r>
      <w:bookmarkEnd w:id="1"/>
    </w:p>
    <w:p w:rsidR="00160598" w:rsidRDefault="00C14A8F">
      <w:pPr>
        <w:pStyle w:val="Zkladntext30"/>
        <w:shd w:val="clear" w:color="auto" w:fill="auto"/>
      </w:pPr>
      <w:proofErr w:type="spellStart"/>
      <w:r>
        <w:t>Nettles</w:t>
      </w:r>
      <w:proofErr w:type="spellEnd"/>
      <w:r>
        <w:t xml:space="preserve"> </w:t>
      </w:r>
      <w:proofErr w:type="spellStart"/>
      <w:r>
        <w:t>Consulting</w:t>
      </w:r>
      <w:proofErr w:type="spellEnd"/>
      <w:r>
        <w:t xml:space="preserve"> </w:t>
      </w:r>
      <w:proofErr w:type="spellStart"/>
      <w:r>
        <w:t>s.r.o</w:t>
      </w:r>
      <w:proofErr w:type="spellEnd"/>
    </w:p>
    <w:p w:rsidR="00160598" w:rsidRDefault="00C14A8F">
      <w:pPr>
        <w:pStyle w:val="Zkladntext1"/>
        <w:shd w:val="clear" w:color="auto" w:fill="auto"/>
        <w:spacing w:line="312" w:lineRule="auto"/>
        <w:ind w:firstLine="240"/>
        <w:jc w:val="left"/>
      </w:pPr>
      <w:r>
        <w:t>Nad Jurečkem 249/15, Říčany, 251 01</w:t>
      </w:r>
    </w:p>
    <w:p w:rsidR="00160598" w:rsidRDefault="00C14A8F">
      <w:pPr>
        <w:pStyle w:val="Zkladntext1"/>
        <w:shd w:val="clear" w:color="auto" w:fill="auto"/>
        <w:spacing w:line="312" w:lineRule="auto"/>
        <w:ind w:firstLine="240"/>
        <w:jc w:val="left"/>
      </w:pPr>
      <w:r>
        <w:t xml:space="preserve">IČO, DIČ: 117 75 025, </w:t>
      </w:r>
      <w:r>
        <w:t>CZ117 75 025</w:t>
      </w:r>
    </w:p>
    <w:p w:rsidR="00160598" w:rsidRDefault="00C14A8F">
      <w:pPr>
        <w:pStyle w:val="Zkladntext1"/>
        <w:shd w:val="clear" w:color="auto" w:fill="auto"/>
        <w:spacing w:line="312" w:lineRule="auto"/>
        <w:ind w:firstLine="240"/>
        <w:jc w:val="left"/>
      </w:pPr>
      <w:r>
        <w:t xml:space="preserve">Zastoupena: </w:t>
      </w:r>
      <w:proofErr w:type="spellStart"/>
      <w:r>
        <w:t>MgA</w:t>
      </w:r>
      <w:proofErr w:type="spellEnd"/>
      <w:r>
        <w:t>. Hanou Kopřivovou, jednatelkou</w:t>
      </w:r>
    </w:p>
    <w:p w:rsidR="00160598" w:rsidRDefault="00C14A8F">
      <w:pPr>
        <w:pStyle w:val="Zkladntext1"/>
        <w:shd w:val="clear" w:color="auto" w:fill="auto"/>
        <w:spacing w:line="312" w:lineRule="auto"/>
        <w:ind w:firstLine="240"/>
        <w:jc w:val="left"/>
      </w:pPr>
      <w:r>
        <w:t>e-mail:</w:t>
      </w:r>
      <w:hyperlink r:id="rId9" w:history="1">
        <w:r>
          <w:t xml:space="preserve"> hana.koprivova@nettles.cz</w:t>
        </w:r>
      </w:hyperlink>
    </w:p>
    <w:p w:rsidR="00160598" w:rsidRDefault="00C14A8F">
      <w:pPr>
        <w:pStyle w:val="Zkladntext1"/>
        <w:pBdr>
          <w:bottom w:val="single" w:sz="4" w:space="0" w:color="auto"/>
        </w:pBdr>
        <w:shd w:val="clear" w:color="auto" w:fill="auto"/>
        <w:spacing w:line="312" w:lineRule="auto"/>
        <w:ind w:left="240" w:right="4720"/>
        <w:jc w:val="left"/>
      </w:pPr>
      <w:r>
        <w:t xml:space="preserve">kontaktní osoba: </w:t>
      </w:r>
      <w:proofErr w:type="spellStart"/>
      <w:r>
        <w:t>MgA</w:t>
      </w:r>
      <w:proofErr w:type="spellEnd"/>
      <w:r>
        <w:t xml:space="preserve">. Hana Kopřivová tel: </w:t>
      </w:r>
      <w:proofErr w:type="spellStart"/>
      <w:r w:rsidR="001A7F8D">
        <w:t>xxxxxxxxxxxxx</w:t>
      </w:r>
      <w:proofErr w:type="spellEnd"/>
    </w:p>
    <w:p w:rsidR="00160598" w:rsidRDefault="00C14A8F">
      <w:pPr>
        <w:pStyle w:val="Zkladntext1"/>
        <w:shd w:val="clear" w:color="auto" w:fill="auto"/>
        <w:spacing w:after="240" w:line="312" w:lineRule="auto"/>
        <w:ind w:right="4620" w:firstLine="240"/>
        <w:jc w:val="left"/>
      </w:pPr>
      <w:r>
        <w:t>bankovní spojení: 123-4679760257/0100 (dále jako „</w:t>
      </w:r>
      <w:r>
        <w:rPr>
          <w:b/>
          <w:bCs/>
        </w:rPr>
        <w:t>Zprostředkovatel</w:t>
      </w:r>
      <w:r>
        <w:t>“)</w:t>
      </w:r>
    </w:p>
    <w:p w:rsidR="00160598" w:rsidRDefault="00C14A8F">
      <w:pPr>
        <w:pStyle w:val="Zkladntext1"/>
        <w:shd w:val="clear" w:color="auto" w:fill="auto"/>
        <w:spacing w:after="240"/>
        <w:ind w:left="540" w:hanging="540"/>
        <w:jc w:val="left"/>
      </w:pPr>
      <w:r>
        <w:t>spolu uzavřely níže uvedeného dne tuto rámcovou smlouvu.</w:t>
      </w:r>
    </w:p>
    <w:p w:rsidR="00160598" w:rsidRDefault="00C14A8F">
      <w:pPr>
        <w:pStyle w:val="Nadpis10"/>
        <w:keepNext/>
        <w:keepLines/>
        <w:numPr>
          <w:ilvl w:val="0"/>
          <w:numId w:val="1"/>
        </w:numPr>
        <w:shd w:val="clear" w:color="auto" w:fill="auto"/>
        <w:tabs>
          <w:tab w:val="left" w:pos="475"/>
        </w:tabs>
        <w:ind w:left="540" w:hanging="540"/>
        <w:jc w:val="left"/>
      </w:pPr>
      <w:bookmarkStart w:id="2" w:name="bookmark2"/>
      <w:r>
        <w:t>Základní pojmy</w:t>
      </w:r>
      <w:bookmarkEnd w:id="2"/>
    </w:p>
    <w:p w:rsidR="00160598" w:rsidRDefault="00C14A8F">
      <w:pPr>
        <w:pStyle w:val="Zkladntext1"/>
        <w:numPr>
          <w:ilvl w:val="1"/>
          <w:numId w:val="1"/>
        </w:numPr>
        <w:shd w:val="clear" w:color="auto" w:fill="auto"/>
        <w:tabs>
          <w:tab w:val="left" w:pos="475"/>
        </w:tabs>
        <w:ind w:left="540" w:hanging="540"/>
        <w:jc w:val="left"/>
      </w:pPr>
      <w:r>
        <w:t>Pro účely této rámcové smlouvy o zprostředkování (dále jen „rámcová smlouva o zprostředkování“) se rozumí</w:t>
      </w:r>
    </w:p>
    <w:p w:rsidR="00160598" w:rsidRDefault="00C14A8F">
      <w:pPr>
        <w:pStyle w:val="Zkladntext1"/>
        <w:numPr>
          <w:ilvl w:val="1"/>
          <w:numId w:val="1"/>
        </w:numPr>
        <w:shd w:val="clear" w:color="auto" w:fill="auto"/>
        <w:tabs>
          <w:tab w:val="left" w:pos="928"/>
        </w:tabs>
        <w:ind w:left="920" w:hanging="460"/>
      </w:pPr>
      <w:r>
        <w:rPr>
          <w:b/>
          <w:bCs/>
        </w:rPr>
        <w:t xml:space="preserve">Klientem </w:t>
      </w:r>
      <w:r>
        <w:t>právnická osoba nebo fyzická osoba podnikající, kt</w:t>
      </w:r>
      <w:r>
        <w:t>erá se obrací na Zprostředkovatele za účelem zprostředkování uzavření pracovní smlouvy s Kandidátem, na jejímž základě bude Kandidát vykonávat pro Klienta práci na pracovní pozici specifikované Klientem, popř. na jiné pozici. Pro účely této rámcové smlouvy</w:t>
      </w:r>
      <w:r>
        <w:t xml:space="preserve"> se Klientem rozumí jakýkoli subjekt vystupující jako součást podnikatelského seskupení, v rámci kterého vykonává Klient svoji činnost a pro kterého by měl, příp. bude Kandidát vykonávat práci;</w:t>
      </w:r>
    </w:p>
    <w:p w:rsidR="00160598" w:rsidRDefault="00C14A8F">
      <w:pPr>
        <w:pStyle w:val="Zkladntext1"/>
        <w:numPr>
          <w:ilvl w:val="1"/>
          <w:numId w:val="1"/>
        </w:numPr>
        <w:shd w:val="clear" w:color="auto" w:fill="auto"/>
        <w:tabs>
          <w:tab w:val="left" w:pos="928"/>
        </w:tabs>
        <w:ind w:left="920" w:hanging="460"/>
      </w:pPr>
      <w:r>
        <w:rPr>
          <w:b/>
          <w:bCs/>
        </w:rPr>
        <w:t xml:space="preserve">Kandidátem </w:t>
      </w:r>
      <w:r>
        <w:t>fyzická osoba, jejíž osobní údaje budou Zprostředko</w:t>
      </w:r>
      <w:r>
        <w:t>vatelem poskytnuty Klientovi, za účelem uzavření pracovní smlouvy mezi Kandidátem a Klientem, nebo fyzická osoba, se kterou Klient uzavřel v důsledku činnosti Zprostředkovatele pracovněprávní vztah;</w:t>
      </w:r>
    </w:p>
    <w:p w:rsidR="00160598" w:rsidRDefault="00C14A8F">
      <w:pPr>
        <w:pStyle w:val="Zkladntext1"/>
        <w:numPr>
          <w:ilvl w:val="1"/>
          <w:numId w:val="1"/>
        </w:numPr>
        <w:shd w:val="clear" w:color="auto" w:fill="auto"/>
        <w:tabs>
          <w:tab w:val="left" w:pos="928"/>
        </w:tabs>
        <w:ind w:left="920" w:hanging="460"/>
      </w:pPr>
      <w:r>
        <w:rPr>
          <w:b/>
          <w:bCs/>
        </w:rPr>
        <w:t xml:space="preserve">garanční lhůtou </w:t>
      </w:r>
      <w:r>
        <w:t>lhůta v délce zkušební doby daného Kandid</w:t>
      </w:r>
      <w:r>
        <w:t>áta počínající běžet dnem nástupu Kandidáta do práce u Klienta;</w:t>
      </w:r>
    </w:p>
    <w:p w:rsidR="00160598" w:rsidRDefault="00C14A8F">
      <w:pPr>
        <w:pStyle w:val="Zkladntext1"/>
        <w:numPr>
          <w:ilvl w:val="1"/>
          <w:numId w:val="1"/>
        </w:numPr>
        <w:shd w:val="clear" w:color="auto" w:fill="auto"/>
        <w:tabs>
          <w:tab w:val="left" w:pos="928"/>
        </w:tabs>
        <w:spacing w:after="100"/>
        <w:ind w:left="920" w:hanging="460"/>
      </w:pPr>
      <w:r>
        <w:rPr>
          <w:b/>
          <w:bCs/>
        </w:rPr>
        <w:t xml:space="preserve">pracovní smlouvou </w:t>
      </w:r>
      <w:r>
        <w:t xml:space="preserve">všechna smluvní ujednání způsobilá založit pracovněprávní vztah mezi Klientem a Kandidátem, jakož i jiná smluvní ujednání zakládající mezi Klientem a Kandidátem závazkový </w:t>
      </w:r>
      <w:r>
        <w:t>vztah, jehož obsahem je výkon práce, poskytování služeb nebo výkon činností</w:t>
      </w:r>
    </w:p>
    <w:p w:rsidR="00160598" w:rsidRDefault="00C14A8F">
      <w:pPr>
        <w:pStyle w:val="Zkladntext1"/>
        <w:shd w:val="clear" w:color="auto" w:fill="auto"/>
        <w:spacing w:line="298" w:lineRule="auto"/>
        <w:ind w:left="820"/>
      </w:pPr>
      <w:r>
        <w:lastRenderedPageBreak/>
        <w:t>Kandidátem pro Klienta obdobně jako v případě pracovněprávního vztahu (např. smlouva o poskytování služeb, příkazní smlouva apod.). Dnu nástupu do práce sjednaného v pracovní smlou</w:t>
      </w:r>
      <w:r>
        <w:t>vě odpovídá v případě jiných smluvních ujednání den započetí výkonu činností pro Klienta;</w:t>
      </w:r>
    </w:p>
    <w:p w:rsidR="00160598" w:rsidRDefault="00C14A8F">
      <w:pPr>
        <w:pStyle w:val="Zkladntext1"/>
        <w:numPr>
          <w:ilvl w:val="1"/>
          <w:numId w:val="1"/>
        </w:numPr>
        <w:shd w:val="clear" w:color="auto" w:fill="auto"/>
        <w:tabs>
          <w:tab w:val="left" w:pos="837"/>
        </w:tabs>
        <w:spacing w:after="240" w:line="298" w:lineRule="auto"/>
        <w:ind w:left="820" w:hanging="440"/>
        <w:jc w:val="left"/>
      </w:pPr>
      <w:r>
        <w:rPr>
          <w:b/>
          <w:bCs/>
        </w:rPr>
        <w:t xml:space="preserve">prezentací </w:t>
      </w:r>
      <w:r>
        <w:t>zpřístupnění jakýchkoli Zprostředkovateli dostupných osobních údajů Kandidáta Klientovi.</w:t>
      </w:r>
    </w:p>
    <w:p w:rsidR="00160598" w:rsidRDefault="00C14A8F">
      <w:pPr>
        <w:pStyle w:val="Nadpis10"/>
        <w:keepNext/>
        <w:keepLines/>
        <w:numPr>
          <w:ilvl w:val="0"/>
          <w:numId w:val="1"/>
        </w:numPr>
        <w:shd w:val="clear" w:color="auto" w:fill="auto"/>
        <w:tabs>
          <w:tab w:val="left" w:pos="440"/>
        </w:tabs>
        <w:ind w:left="460" w:hanging="460"/>
      </w:pPr>
      <w:bookmarkStart w:id="3" w:name="bookmark3"/>
      <w:r>
        <w:t>Předmět smlouvy</w:t>
      </w:r>
      <w:bookmarkEnd w:id="3"/>
    </w:p>
    <w:p w:rsidR="00160598" w:rsidRDefault="00C14A8F">
      <w:pPr>
        <w:pStyle w:val="Zkladntext1"/>
        <w:numPr>
          <w:ilvl w:val="1"/>
          <w:numId w:val="1"/>
        </w:numPr>
        <w:shd w:val="clear" w:color="auto" w:fill="auto"/>
        <w:tabs>
          <w:tab w:val="left" w:pos="457"/>
        </w:tabs>
        <w:ind w:left="460" w:hanging="460"/>
      </w:pPr>
      <w:r>
        <w:t xml:space="preserve">Tato rámcová smlouva závazně upravuje podstatná a </w:t>
      </w:r>
      <w:r>
        <w:t xml:space="preserve">rozhodující práva a povinnosti při provádění zprostředkovatelské činnosti Zprostředkovatelem pro Klienta směřující k uzavření pracovní smlouvy mezi Kandidátem a </w:t>
      </w:r>
      <w:proofErr w:type="gramStart"/>
      <w:r>
        <w:t>Klientem. .</w:t>
      </w:r>
      <w:proofErr w:type="gramEnd"/>
    </w:p>
    <w:p w:rsidR="00160598" w:rsidRDefault="00C14A8F">
      <w:pPr>
        <w:pStyle w:val="Zkladntext1"/>
        <w:numPr>
          <w:ilvl w:val="1"/>
          <w:numId w:val="1"/>
        </w:numPr>
        <w:shd w:val="clear" w:color="auto" w:fill="auto"/>
        <w:tabs>
          <w:tab w:val="left" w:pos="457"/>
        </w:tabs>
        <w:ind w:left="460" w:hanging="460"/>
      </w:pPr>
      <w:r>
        <w:t>Předmětem této smlouvy je závazek Zprostředkovatele zprostředkovat Klientovi uzavře</w:t>
      </w:r>
      <w:r>
        <w:t>ní pracovní smlouvy s Kandidátem na pozici specifikovanou Klientem, popř. jiným vhodným způsobem, a závazek Klienta zaplatit Zprostředkovateli provizi za podmínek sjednaných dále v této rámcové smlouvě.</w:t>
      </w:r>
    </w:p>
    <w:p w:rsidR="00160598" w:rsidRDefault="00C14A8F">
      <w:pPr>
        <w:pStyle w:val="Zkladntext1"/>
        <w:numPr>
          <w:ilvl w:val="1"/>
          <w:numId w:val="1"/>
        </w:numPr>
        <w:shd w:val="clear" w:color="auto" w:fill="auto"/>
        <w:tabs>
          <w:tab w:val="left" w:pos="457"/>
        </w:tabs>
        <w:ind w:left="460" w:hanging="460"/>
      </w:pPr>
      <w:r>
        <w:t>K uzavření smlouvy o zprostředkování dojde přijetím o</w:t>
      </w:r>
      <w:r>
        <w:t xml:space="preserve">bjednávky (dále jen „objednávka“) obsahující dostatečný výčet kritérií pro obsazení Klientem nabízené pracovní pozice, na jejímž základě provádí Zprostředkovatel svou činnost pro Klienta, Zprostředkovatelem. Taková objednávka bude obsahovat minimálně tyto </w:t>
      </w:r>
      <w:r>
        <w:t>náležitosti: odkaz na tuto smlouvu, název poptávané pozice, přehled kvalifikačních požadavků na Kandidáta (např. dosažené vzdělání, minimální rozsah profesních zkušeností a osvědčení či zkoušek, rámcové mzdové ohodnocení).</w:t>
      </w:r>
    </w:p>
    <w:p w:rsidR="00160598" w:rsidRDefault="00C14A8F">
      <w:pPr>
        <w:pStyle w:val="Nadpis10"/>
        <w:keepNext/>
        <w:keepLines/>
        <w:numPr>
          <w:ilvl w:val="0"/>
          <w:numId w:val="1"/>
        </w:numPr>
        <w:shd w:val="clear" w:color="auto" w:fill="auto"/>
        <w:tabs>
          <w:tab w:val="left" w:pos="440"/>
        </w:tabs>
        <w:ind w:left="460" w:hanging="460"/>
      </w:pPr>
      <w:bookmarkStart w:id="4" w:name="bookmark4"/>
      <w:r>
        <w:t>Práva a povinnosti smluvních stra</w:t>
      </w:r>
      <w:r>
        <w:t>n</w:t>
      </w:r>
      <w:bookmarkEnd w:id="4"/>
    </w:p>
    <w:p w:rsidR="00160598" w:rsidRDefault="00C14A8F">
      <w:pPr>
        <w:pStyle w:val="Zkladntext1"/>
        <w:numPr>
          <w:ilvl w:val="1"/>
          <w:numId w:val="1"/>
        </w:numPr>
        <w:shd w:val="clear" w:color="auto" w:fill="auto"/>
        <w:tabs>
          <w:tab w:val="left" w:pos="457"/>
        </w:tabs>
        <w:ind w:left="460" w:hanging="460"/>
      </w:pPr>
      <w:r>
        <w:t>Zprostředkovatel je povinen vynaložit veškeré úsilí, které lze od něho rozumně požadovat při plnění povinností vyplývajících mu z rámcové smlouvy, jakož i z objednávky.</w:t>
      </w:r>
    </w:p>
    <w:p w:rsidR="00160598" w:rsidRDefault="00C14A8F">
      <w:pPr>
        <w:pStyle w:val="Zkladntext1"/>
        <w:numPr>
          <w:ilvl w:val="1"/>
          <w:numId w:val="1"/>
        </w:numPr>
        <w:shd w:val="clear" w:color="auto" w:fill="auto"/>
        <w:tabs>
          <w:tab w:val="left" w:pos="457"/>
        </w:tabs>
        <w:ind w:left="460" w:hanging="460"/>
      </w:pPr>
      <w:r>
        <w:t>Zprostředkovatel se zejména zavazuje vyhledat pro Klienta na základě kritérií stanove</w:t>
      </w:r>
      <w:r>
        <w:t>ných Klientem vhodné Kandidáty na nabízenou pracovní pozici, tyto Kandidáty prezentovat Klientovi a vyvíjet veškerou potřebnou činnost směřující k uzavření pracovní smlouvy mezi Kandidátem a Klientem.</w:t>
      </w:r>
    </w:p>
    <w:p w:rsidR="00160598" w:rsidRDefault="00C14A8F">
      <w:pPr>
        <w:pStyle w:val="Zkladntext1"/>
        <w:numPr>
          <w:ilvl w:val="1"/>
          <w:numId w:val="1"/>
        </w:numPr>
        <w:shd w:val="clear" w:color="auto" w:fill="auto"/>
        <w:tabs>
          <w:tab w:val="left" w:pos="457"/>
        </w:tabs>
        <w:ind w:left="460" w:hanging="460"/>
      </w:pPr>
      <w:r>
        <w:t>Zprostředkovatel se zavazuje zachovávat mlčenlivost o v</w:t>
      </w:r>
      <w:r>
        <w:t>šech skutečnostech, o kterých se dozvěděl v souvislosti s plněním svých závazků podle této rámcové smlouvy</w:t>
      </w:r>
    </w:p>
    <w:p w:rsidR="00160598" w:rsidRDefault="00C14A8F">
      <w:pPr>
        <w:pStyle w:val="Zkladntext1"/>
        <w:numPr>
          <w:ilvl w:val="1"/>
          <w:numId w:val="1"/>
        </w:numPr>
        <w:shd w:val="clear" w:color="auto" w:fill="auto"/>
        <w:tabs>
          <w:tab w:val="left" w:pos="457"/>
        </w:tabs>
        <w:ind w:left="460" w:hanging="460"/>
      </w:pPr>
      <w:r>
        <w:t>Klient je povinen poskytnout Zprostředkovateli veškerou potřebnou součinnost k řádnému plnění povinností Zprostředkovatele, zejména mu poskytnout úpl</w:t>
      </w:r>
      <w:r>
        <w:t>né a včasné informace o kritériích rozhodných pro obsazení nabízené pracovní pozice kandidáty, specifikaci nabízené pracovní pozice včetně náplně práce a rámcového mzdového ohodnocení.</w:t>
      </w:r>
    </w:p>
    <w:p w:rsidR="00160598" w:rsidRDefault="00C14A8F">
      <w:pPr>
        <w:pStyle w:val="Zkladntext1"/>
        <w:numPr>
          <w:ilvl w:val="1"/>
          <w:numId w:val="1"/>
        </w:numPr>
        <w:shd w:val="clear" w:color="auto" w:fill="auto"/>
        <w:tabs>
          <w:tab w:val="left" w:pos="457"/>
        </w:tabs>
        <w:ind w:left="460" w:hanging="460"/>
      </w:pPr>
      <w:r>
        <w:t>Klient je povinen písemně e-mailem informovat Zprostředkovatele do 2 pr</w:t>
      </w:r>
      <w:r>
        <w:t>acovních dnů ode dne, kdy je mu ze strany Zprostředkovatele prezentován Kandidát vhodný pro obsazení nabízené pracovní pozice, že Zprostředkovatelem prezentovaný Kandidát je Klientovi již znám. Takové tvrzení je Klient povinen Zprostředkovateli na jeho vyz</w:t>
      </w:r>
      <w:r>
        <w:t xml:space="preserve">vání prokázat například předchozí emailovou komunikací či jiným vhodným způsobem. Pokud Klient ve stanovené lhůtě toto oznámení vůči Zprostředkovateli neučiní, popřípadě </w:t>
      </w:r>
      <w:proofErr w:type="gramStart"/>
      <w:r>
        <w:t>nedojde</w:t>
      </w:r>
      <w:proofErr w:type="gramEnd"/>
      <w:r>
        <w:t xml:space="preserve"> z jeho strany k prokázání této skutečnosti na vyzvání Zprostředkovatele násled</w:t>
      </w:r>
      <w:r>
        <w:t xml:space="preserve">ně </w:t>
      </w:r>
      <w:proofErr w:type="gramStart"/>
      <w:r>
        <w:t>dojde</w:t>
      </w:r>
      <w:proofErr w:type="gramEnd"/>
      <w:r>
        <w:t xml:space="preserve"> k uzavření pracovní smlouvy mezi tímto Kandidátem a Klientem a následnému nástupu Kandidáta do práce, náleží Zprostředkovateli provize v souladu s podmínkami stanovenými v čl. 4 rámcové smlouvy.</w:t>
      </w:r>
    </w:p>
    <w:p w:rsidR="00160598" w:rsidRDefault="00C14A8F">
      <w:pPr>
        <w:pStyle w:val="Zkladntext1"/>
        <w:numPr>
          <w:ilvl w:val="1"/>
          <w:numId w:val="1"/>
        </w:numPr>
        <w:shd w:val="clear" w:color="auto" w:fill="auto"/>
        <w:tabs>
          <w:tab w:val="left" w:pos="457"/>
        </w:tabs>
        <w:ind w:left="460" w:hanging="460"/>
      </w:pPr>
      <w:r>
        <w:t>Neobsazeno</w:t>
      </w:r>
    </w:p>
    <w:p w:rsidR="00160598" w:rsidRDefault="00C14A8F">
      <w:pPr>
        <w:pStyle w:val="Zkladntext1"/>
        <w:numPr>
          <w:ilvl w:val="1"/>
          <w:numId w:val="1"/>
        </w:numPr>
        <w:shd w:val="clear" w:color="auto" w:fill="auto"/>
        <w:tabs>
          <w:tab w:val="left" w:pos="457"/>
        </w:tabs>
        <w:ind w:left="460" w:hanging="460"/>
      </w:pPr>
      <w:r>
        <w:t xml:space="preserve">Klient bere na vědomí, že činnost </w:t>
      </w:r>
      <w:r>
        <w:t>Zprostředkovatele sjednaná touto rámcovou smlouvou se vztahuje pouze k doporučení Kandidátů k pracovnímu pohovoru, přičemž však je věcí Klienta, aby si takového Kandidáta důkladně prověřil před uzavřením pracovní smlouvy. Ustanovení § 2452 zákona č. 89/201</w:t>
      </w:r>
      <w:r>
        <w:t>2 Sb., občanského zákoníku se tak neuplatní.</w:t>
      </w:r>
    </w:p>
    <w:p w:rsidR="00160598" w:rsidRDefault="00C14A8F">
      <w:pPr>
        <w:pStyle w:val="Zkladntext1"/>
        <w:numPr>
          <w:ilvl w:val="1"/>
          <w:numId w:val="1"/>
        </w:numPr>
        <w:shd w:val="clear" w:color="auto" w:fill="auto"/>
        <w:tabs>
          <w:tab w:val="left" w:pos="457"/>
        </w:tabs>
        <w:spacing w:after="120"/>
        <w:ind w:left="460" w:hanging="460"/>
      </w:pPr>
      <w:r>
        <w:t>Klient je oprávněn, nikoli však povinen poptat jakoukoli zprostředkovatelskou činnost na základě této smlouvy.</w:t>
      </w:r>
    </w:p>
    <w:p w:rsidR="00160598" w:rsidRDefault="00C14A8F">
      <w:pPr>
        <w:pStyle w:val="Nadpis10"/>
        <w:keepNext/>
        <w:keepLines/>
        <w:numPr>
          <w:ilvl w:val="0"/>
          <w:numId w:val="1"/>
        </w:numPr>
        <w:shd w:val="clear" w:color="auto" w:fill="auto"/>
        <w:tabs>
          <w:tab w:val="left" w:pos="440"/>
        </w:tabs>
      </w:pPr>
      <w:bookmarkStart w:id="5" w:name="bookmark5"/>
      <w:r>
        <w:t>Provize a platební podmínky</w:t>
      </w:r>
      <w:bookmarkEnd w:id="5"/>
    </w:p>
    <w:p w:rsidR="001A7F8D" w:rsidRDefault="001A7F8D" w:rsidP="001A7F8D">
      <w:pPr>
        <w:pStyle w:val="Zkladntext1"/>
        <w:numPr>
          <w:ilvl w:val="1"/>
          <w:numId w:val="1"/>
        </w:numPr>
        <w:shd w:val="clear" w:color="auto" w:fill="auto"/>
        <w:tabs>
          <w:tab w:val="left" w:pos="457"/>
        </w:tabs>
        <w:ind w:left="440" w:hanging="440"/>
      </w:pPr>
      <w:proofErr w:type="spellStart"/>
      <w:r>
        <w:t>xxxxxxxxxxxxxxxxxxxxxxxxxxxxxxxxxxxxx</w:t>
      </w:r>
      <w:proofErr w:type="spellEnd"/>
      <w:r w:rsidR="00C14A8F">
        <w:t xml:space="preserve"> </w:t>
      </w:r>
      <w:proofErr w:type="spellStart"/>
      <w:r>
        <w:t>xxxxxxxxxxxxxxxxxxxxxxxxxxxxxxxxxxx</w:t>
      </w:r>
      <w:proofErr w:type="spellEnd"/>
    </w:p>
    <w:p w:rsidR="00160598" w:rsidRDefault="00C14A8F" w:rsidP="001A7F8D">
      <w:pPr>
        <w:pStyle w:val="Zkladntext1"/>
        <w:numPr>
          <w:ilvl w:val="1"/>
          <w:numId w:val="1"/>
        </w:numPr>
        <w:shd w:val="clear" w:color="auto" w:fill="auto"/>
        <w:tabs>
          <w:tab w:val="left" w:pos="457"/>
        </w:tabs>
        <w:ind w:left="440" w:hanging="440"/>
      </w:pPr>
      <w:r>
        <w:lastRenderedPageBreak/>
        <w:t xml:space="preserve"> </w:t>
      </w:r>
      <w:proofErr w:type="spellStart"/>
      <w:r w:rsidR="001A7F8D">
        <w:t>xxxxxxx</w:t>
      </w:r>
      <w:proofErr w:type="spellEnd"/>
    </w:p>
    <w:p w:rsidR="00160598" w:rsidRDefault="001A7F8D">
      <w:pPr>
        <w:pStyle w:val="Zkladntext1"/>
        <w:numPr>
          <w:ilvl w:val="1"/>
          <w:numId w:val="1"/>
        </w:numPr>
        <w:shd w:val="clear" w:color="auto" w:fill="auto"/>
        <w:tabs>
          <w:tab w:val="left" w:pos="457"/>
        </w:tabs>
        <w:ind w:left="440" w:hanging="440"/>
      </w:pPr>
      <w:proofErr w:type="spellStart"/>
      <w:r>
        <w:t>xxxxxxxxx</w:t>
      </w:r>
      <w:proofErr w:type="spellEnd"/>
      <w:r w:rsidR="00C14A8F">
        <w:t>.</w:t>
      </w:r>
    </w:p>
    <w:p w:rsidR="00160598" w:rsidRDefault="001A7F8D">
      <w:pPr>
        <w:pStyle w:val="Zkladntext1"/>
        <w:numPr>
          <w:ilvl w:val="1"/>
          <w:numId w:val="1"/>
        </w:numPr>
        <w:shd w:val="clear" w:color="auto" w:fill="auto"/>
        <w:tabs>
          <w:tab w:val="left" w:pos="457"/>
        </w:tabs>
        <w:ind w:left="440" w:hanging="440"/>
      </w:pPr>
      <w:proofErr w:type="spellStart"/>
      <w:r>
        <w:t>xxxxxxx</w:t>
      </w:r>
      <w:proofErr w:type="spellEnd"/>
    </w:p>
    <w:p w:rsidR="00160598" w:rsidRDefault="001A7F8D">
      <w:pPr>
        <w:pStyle w:val="Zkladntext1"/>
        <w:numPr>
          <w:ilvl w:val="1"/>
          <w:numId w:val="1"/>
        </w:numPr>
        <w:shd w:val="clear" w:color="auto" w:fill="auto"/>
        <w:tabs>
          <w:tab w:val="left" w:pos="457"/>
        </w:tabs>
        <w:ind w:left="440" w:hanging="440"/>
      </w:pPr>
      <w:proofErr w:type="spellStart"/>
      <w:r>
        <w:t>xxxxxxx</w:t>
      </w:r>
      <w:proofErr w:type="spellEnd"/>
    </w:p>
    <w:p w:rsidR="00160598" w:rsidRDefault="001A7F8D">
      <w:pPr>
        <w:pStyle w:val="Zkladntext1"/>
        <w:numPr>
          <w:ilvl w:val="1"/>
          <w:numId w:val="1"/>
        </w:numPr>
        <w:shd w:val="clear" w:color="auto" w:fill="auto"/>
        <w:tabs>
          <w:tab w:val="left" w:pos="457"/>
        </w:tabs>
        <w:ind w:left="440" w:hanging="440"/>
      </w:pPr>
      <w:proofErr w:type="spellStart"/>
      <w:r>
        <w:t>xxxxxxxx</w:t>
      </w:r>
      <w:proofErr w:type="spellEnd"/>
    </w:p>
    <w:p w:rsidR="00160598" w:rsidRDefault="001A7F8D">
      <w:pPr>
        <w:pStyle w:val="Zkladntext1"/>
        <w:numPr>
          <w:ilvl w:val="1"/>
          <w:numId w:val="1"/>
        </w:numPr>
        <w:shd w:val="clear" w:color="auto" w:fill="auto"/>
        <w:tabs>
          <w:tab w:val="left" w:pos="457"/>
        </w:tabs>
        <w:ind w:left="440" w:hanging="440"/>
      </w:pPr>
      <w:proofErr w:type="spellStart"/>
      <w:r>
        <w:t>xxxxxxxxxxxxx</w:t>
      </w:r>
      <w:proofErr w:type="spellEnd"/>
    </w:p>
    <w:p w:rsidR="00160598" w:rsidRDefault="001A7F8D">
      <w:pPr>
        <w:pStyle w:val="Zkladntext1"/>
        <w:numPr>
          <w:ilvl w:val="1"/>
          <w:numId w:val="1"/>
        </w:numPr>
        <w:shd w:val="clear" w:color="auto" w:fill="auto"/>
        <w:tabs>
          <w:tab w:val="left" w:pos="457"/>
        </w:tabs>
        <w:ind w:left="440" w:hanging="440"/>
      </w:pPr>
      <w:proofErr w:type="spellStart"/>
      <w:r>
        <w:t>xxxxxxxxxxxxxx</w:t>
      </w:r>
      <w:proofErr w:type="spellEnd"/>
    </w:p>
    <w:p w:rsidR="00160598" w:rsidRDefault="001A7F8D">
      <w:pPr>
        <w:pStyle w:val="Zkladntext1"/>
        <w:numPr>
          <w:ilvl w:val="1"/>
          <w:numId w:val="1"/>
        </w:numPr>
        <w:shd w:val="clear" w:color="auto" w:fill="auto"/>
        <w:tabs>
          <w:tab w:val="left" w:pos="457"/>
        </w:tabs>
        <w:ind w:left="440" w:hanging="440"/>
      </w:pPr>
      <w:proofErr w:type="spellStart"/>
      <w:r>
        <w:t>xxxxxxxxxxxxxxxxxxxx</w:t>
      </w:r>
      <w:proofErr w:type="spellEnd"/>
    </w:p>
    <w:p w:rsidR="00160598" w:rsidRDefault="001A7F8D">
      <w:pPr>
        <w:pStyle w:val="Zkladntext1"/>
        <w:numPr>
          <w:ilvl w:val="1"/>
          <w:numId w:val="1"/>
        </w:numPr>
        <w:shd w:val="clear" w:color="auto" w:fill="auto"/>
        <w:tabs>
          <w:tab w:val="left" w:pos="562"/>
        </w:tabs>
        <w:ind w:left="440" w:hanging="440"/>
      </w:pPr>
      <w:proofErr w:type="spellStart"/>
      <w:r>
        <w:t>xxxxxxxxxxxxxxxxxxx</w:t>
      </w:r>
      <w:proofErr w:type="spellEnd"/>
    </w:p>
    <w:p w:rsidR="00160598" w:rsidRDefault="001A7F8D">
      <w:pPr>
        <w:pStyle w:val="Zkladntext1"/>
        <w:numPr>
          <w:ilvl w:val="1"/>
          <w:numId w:val="1"/>
        </w:numPr>
        <w:shd w:val="clear" w:color="auto" w:fill="auto"/>
        <w:tabs>
          <w:tab w:val="left" w:pos="562"/>
        </w:tabs>
        <w:ind w:left="440" w:hanging="440"/>
      </w:pPr>
      <w:proofErr w:type="spellStart"/>
      <w:r>
        <w:t>xxxxxxxxxxxxxxxxxxxxxxxx</w:t>
      </w:r>
      <w:proofErr w:type="spellEnd"/>
    </w:p>
    <w:p w:rsidR="00160598" w:rsidRDefault="001A7F8D">
      <w:pPr>
        <w:pStyle w:val="Zkladntext1"/>
        <w:shd w:val="clear" w:color="auto" w:fill="auto"/>
        <w:ind w:left="440"/>
        <w:jc w:val="left"/>
      </w:pPr>
      <w:proofErr w:type="spellStart"/>
      <w:r>
        <w:t>xxxxxxxxxxxxxxxxxxx</w:t>
      </w:r>
      <w:proofErr w:type="spellEnd"/>
    </w:p>
    <w:p w:rsidR="00160598" w:rsidRDefault="001A7F8D">
      <w:pPr>
        <w:pStyle w:val="Zkladntext1"/>
        <w:numPr>
          <w:ilvl w:val="1"/>
          <w:numId w:val="1"/>
        </w:numPr>
        <w:shd w:val="clear" w:color="auto" w:fill="auto"/>
        <w:tabs>
          <w:tab w:val="left" w:pos="725"/>
        </w:tabs>
        <w:ind w:left="440" w:hanging="440"/>
      </w:pPr>
      <w:proofErr w:type="spellStart"/>
      <w:r>
        <w:t>xxxxxxxxxxxxxxxxxxxxxx</w:t>
      </w:r>
      <w:proofErr w:type="spellEnd"/>
      <w:r w:rsidR="00C14A8F">
        <w:t>.</w:t>
      </w:r>
    </w:p>
    <w:p w:rsidR="00160598" w:rsidRDefault="001A7F8D">
      <w:pPr>
        <w:pStyle w:val="Zkladntext1"/>
        <w:numPr>
          <w:ilvl w:val="1"/>
          <w:numId w:val="1"/>
        </w:numPr>
        <w:shd w:val="clear" w:color="auto" w:fill="auto"/>
        <w:tabs>
          <w:tab w:val="left" w:pos="725"/>
        </w:tabs>
        <w:ind w:left="440" w:hanging="440"/>
      </w:pPr>
      <w:proofErr w:type="spellStart"/>
      <w:r>
        <w:t>xxxxxxxxxxxxxxxxxxxxxx</w:t>
      </w:r>
      <w:proofErr w:type="spellEnd"/>
    </w:p>
    <w:p w:rsidR="00160598" w:rsidRDefault="001A7F8D">
      <w:pPr>
        <w:pStyle w:val="Zkladntext1"/>
        <w:numPr>
          <w:ilvl w:val="1"/>
          <w:numId w:val="1"/>
        </w:numPr>
        <w:shd w:val="clear" w:color="auto" w:fill="auto"/>
        <w:tabs>
          <w:tab w:val="left" w:pos="725"/>
        </w:tabs>
        <w:ind w:left="440" w:hanging="440"/>
      </w:pPr>
      <w:proofErr w:type="spellStart"/>
      <w:r>
        <w:t>xxxxxxxxxxxxxxxxxxx</w:t>
      </w:r>
      <w:proofErr w:type="spellEnd"/>
    </w:p>
    <w:p w:rsidR="00160598" w:rsidRDefault="001A7F8D">
      <w:pPr>
        <w:pStyle w:val="Zkladntext1"/>
        <w:numPr>
          <w:ilvl w:val="1"/>
          <w:numId w:val="1"/>
        </w:numPr>
        <w:shd w:val="clear" w:color="auto" w:fill="auto"/>
        <w:tabs>
          <w:tab w:val="left" w:pos="725"/>
        </w:tabs>
        <w:ind w:left="440" w:hanging="440"/>
      </w:pPr>
      <w:proofErr w:type="spellStart"/>
      <w:r>
        <w:t>xxxxxxxxxxxxxxxx</w:t>
      </w:r>
      <w:proofErr w:type="spellEnd"/>
    </w:p>
    <w:p w:rsidR="00160598" w:rsidRDefault="001A7F8D">
      <w:pPr>
        <w:pStyle w:val="Zkladntext1"/>
        <w:numPr>
          <w:ilvl w:val="1"/>
          <w:numId w:val="1"/>
        </w:numPr>
        <w:shd w:val="clear" w:color="auto" w:fill="auto"/>
        <w:tabs>
          <w:tab w:val="left" w:pos="725"/>
        </w:tabs>
        <w:ind w:left="440" w:hanging="440"/>
      </w:pPr>
      <w:proofErr w:type="spellStart"/>
      <w:r>
        <w:t>xxxxxxxxxxxxxxxxxxxxx</w:t>
      </w:r>
      <w:proofErr w:type="spellEnd"/>
    </w:p>
    <w:p w:rsidR="00160598" w:rsidRDefault="001A7F8D">
      <w:pPr>
        <w:pStyle w:val="Zkladntext1"/>
        <w:numPr>
          <w:ilvl w:val="1"/>
          <w:numId w:val="1"/>
        </w:numPr>
        <w:shd w:val="clear" w:color="auto" w:fill="auto"/>
        <w:tabs>
          <w:tab w:val="left" w:pos="725"/>
        </w:tabs>
        <w:spacing w:after="500"/>
        <w:ind w:left="440" w:hanging="440"/>
      </w:pPr>
      <w:proofErr w:type="spellStart"/>
      <w:r>
        <w:t>xxxxxxxxxxxxxxxxxxxx</w:t>
      </w:r>
      <w:proofErr w:type="spellEnd"/>
    </w:p>
    <w:p w:rsidR="00160598" w:rsidRDefault="00C14A8F">
      <w:pPr>
        <w:pStyle w:val="Nadpis10"/>
        <w:keepNext/>
        <w:keepLines/>
        <w:numPr>
          <w:ilvl w:val="0"/>
          <w:numId w:val="1"/>
        </w:numPr>
        <w:shd w:val="clear" w:color="auto" w:fill="auto"/>
        <w:tabs>
          <w:tab w:val="left" w:pos="429"/>
        </w:tabs>
        <w:spacing w:line="298" w:lineRule="auto"/>
      </w:pPr>
      <w:bookmarkStart w:id="6" w:name="bookmark6"/>
      <w:r>
        <w:t>Trvání rámcové smlouvy</w:t>
      </w:r>
      <w:bookmarkEnd w:id="6"/>
    </w:p>
    <w:p w:rsidR="00160598" w:rsidRDefault="001A7F8D">
      <w:pPr>
        <w:pStyle w:val="Zkladntext1"/>
        <w:numPr>
          <w:ilvl w:val="1"/>
          <w:numId w:val="1"/>
        </w:numPr>
        <w:shd w:val="clear" w:color="auto" w:fill="auto"/>
        <w:tabs>
          <w:tab w:val="left" w:pos="457"/>
        </w:tabs>
        <w:spacing w:line="298" w:lineRule="auto"/>
        <w:ind w:left="440" w:hanging="440"/>
      </w:pPr>
      <w:r>
        <w:t>xxxxxxxxxxxxxxxxxxxxxxxxxx</w:t>
      </w:r>
      <w:bookmarkStart w:id="7" w:name="_GoBack"/>
      <w:bookmarkEnd w:id="7"/>
      <w:r w:rsidR="00C14A8F">
        <w:t>.</w:t>
      </w:r>
    </w:p>
    <w:p w:rsidR="00160598" w:rsidRDefault="00C14A8F">
      <w:pPr>
        <w:pStyle w:val="Zkladntext1"/>
        <w:numPr>
          <w:ilvl w:val="1"/>
          <w:numId w:val="1"/>
        </w:numPr>
        <w:shd w:val="clear" w:color="auto" w:fill="auto"/>
        <w:tabs>
          <w:tab w:val="left" w:pos="457"/>
        </w:tabs>
        <w:spacing w:after="240" w:line="298" w:lineRule="auto"/>
        <w:ind w:left="440" w:hanging="440"/>
      </w:pPr>
      <w:r>
        <w:t xml:space="preserve">Rámcová smlouva se automaticky prodlužuje o jeden rok, pokud jedna ze smluvních </w:t>
      </w:r>
      <w:r>
        <w:t>stran neoznámí druhé písemným oznámením doručeným druhé smluvní straně nejpozději jeden měsíc před uplynutím doby, na kterou byla rámcová smlouva sjednána, že na dalším trvání smlouvy nemá zájem. K prodloužení trvání rámcové smlouvy může dojít i opakovaně.</w:t>
      </w:r>
    </w:p>
    <w:p w:rsidR="00160598" w:rsidRDefault="00C14A8F">
      <w:pPr>
        <w:pStyle w:val="Nadpis10"/>
        <w:keepNext/>
        <w:keepLines/>
        <w:numPr>
          <w:ilvl w:val="0"/>
          <w:numId w:val="1"/>
        </w:numPr>
        <w:shd w:val="clear" w:color="auto" w:fill="auto"/>
        <w:tabs>
          <w:tab w:val="left" w:pos="429"/>
        </w:tabs>
      </w:pPr>
      <w:bookmarkStart w:id="8" w:name="bookmark7"/>
      <w:r>
        <w:t>Ochrana osobních údajů</w:t>
      </w:r>
      <w:bookmarkEnd w:id="8"/>
    </w:p>
    <w:p w:rsidR="00160598" w:rsidRDefault="00C14A8F">
      <w:pPr>
        <w:pStyle w:val="Zkladntext1"/>
        <w:shd w:val="clear" w:color="auto" w:fill="auto"/>
        <w:spacing w:after="240"/>
        <w:ind w:left="440" w:hanging="440"/>
      </w:pPr>
      <w:r>
        <w:t>6.1. Klient jako budoucí správce osobních údajů poskytnutých Zprostředkovatelem o Kandidátech prohlašuje, že při nakládání s těmito osobními údaji bude postupovat v souladu s právními předpisy, zejména s Nařízením Evropského parlame</w:t>
      </w:r>
      <w:r>
        <w:t>ntu a Rady (EU) 2016/679 ze dne 27. dubna 2016 o ochraně fyzických osob v souvislosti se zpracováním osobních údajů a o volném pohybu těchto údajů a o zrušení směrnice 95/46/ES (obecné nařízení o ochraně osobních údajů).</w:t>
      </w:r>
    </w:p>
    <w:p w:rsidR="00160598" w:rsidRDefault="00C14A8F">
      <w:pPr>
        <w:pStyle w:val="Nadpis10"/>
        <w:keepNext/>
        <w:keepLines/>
        <w:numPr>
          <w:ilvl w:val="0"/>
          <w:numId w:val="1"/>
        </w:numPr>
        <w:shd w:val="clear" w:color="auto" w:fill="auto"/>
        <w:tabs>
          <w:tab w:val="left" w:pos="429"/>
        </w:tabs>
        <w:spacing w:line="293" w:lineRule="auto"/>
      </w:pPr>
      <w:bookmarkStart w:id="9" w:name="bookmark8"/>
      <w:r>
        <w:t>Závěrečná ustanovení</w:t>
      </w:r>
      <w:bookmarkEnd w:id="9"/>
    </w:p>
    <w:p w:rsidR="00160598" w:rsidRDefault="00C14A8F">
      <w:pPr>
        <w:pStyle w:val="Zkladntext1"/>
        <w:shd w:val="clear" w:color="auto" w:fill="auto"/>
        <w:spacing w:line="293" w:lineRule="auto"/>
        <w:ind w:left="440" w:hanging="440"/>
      </w:pPr>
      <w:r>
        <w:t>7.1. Tato rámc</w:t>
      </w:r>
      <w:r>
        <w:t>ová smlouva je vyhotovena ve 2 stejnopisech, přičemž každá smluvní strana obdrží po jednom vyhotovení.</w:t>
      </w:r>
    </w:p>
    <w:p w:rsidR="00160598" w:rsidRDefault="00C14A8F">
      <w:pPr>
        <w:pStyle w:val="Zkladntext1"/>
        <w:numPr>
          <w:ilvl w:val="0"/>
          <w:numId w:val="2"/>
        </w:numPr>
        <w:shd w:val="clear" w:color="auto" w:fill="auto"/>
        <w:tabs>
          <w:tab w:val="left" w:pos="457"/>
        </w:tabs>
        <w:spacing w:after="240" w:line="293" w:lineRule="auto"/>
        <w:ind w:left="440" w:hanging="440"/>
      </w:pPr>
      <w:r>
        <w:t>Tato rámcová smlouva se řídí právem České republiky, práva a povinnosti smluvních stran neupravená smlouvou o zprostředkování ani rámcovou smlouvou se ří</w:t>
      </w:r>
      <w:r>
        <w:t>dí příslušnými ustanoveními § 2445 a násl. zákona č. 89/2012 Sb., občanský zákoník.</w:t>
      </w:r>
    </w:p>
    <w:p w:rsidR="00160598" w:rsidRDefault="00C14A8F">
      <w:pPr>
        <w:pStyle w:val="Zkladntext1"/>
        <w:numPr>
          <w:ilvl w:val="0"/>
          <w:numId w:val="2"/>
        </w:numPr>
        <w:shd w:val="clear" w:color="auto" w:fill="auto"/>
        <w:tabs>
          <w:tab w:val="left" w:pos="457"/>
        </w:tabs>
        <w:spacing w:line="293" w:lineRule="auto"/>
        <w:ind w:left="440" w:hanging="440"/>
      </w:pPr>
      <w:r>
        <w:t>Všechny spory vznikající ze závazkového smluvního vztahu založeného touto rámcovou smlouvou se pokusí strany vyřešit vzájemnou dohodou, pokud by se jí nepodařilo dosáhnout,</w:t>
      </w:r>
      <w:r>
        <w:t xml:space="preserve"> tak spor předloží místně příslušnému soudu.</w:t>
      </w:r>
    </w:p>
    <w:p w:rsidR="00160598" w:rsidRDefault="00C14A8F">
      <w:pPr>
        <w:pStyle w:val="Zkladntext1"/>
        <w:numPr>
          <w:ilvl w:val="0"/>
          <w:numId w:val="2"/>
        </w:numPr>
        <w:shd w:val="clear" w:color="auto" w:fill="auto"/>
        <w:tabs>
          <w:tab w:val="left" w:pos="457"/>
        </w:tabs>
        <w:spacing w:line="293" w:lineRule="auto"/>
        <w:ind w:left="440" w:hanging="440"/>
      </w:pPr>
      <w:r>
        <w:t>Neobsazeno</w:t>
      </w:r>
    </w:p>
    <w:p w:rsidR="00160598" w:rsidRDefault="00C14A8F">
      <w:pPr>
        <w:pStyle w:val="Zkladntext1"/>
        <w:numPr>
          <w:ilvl w:val="0"/>
          <w:numId w:val="2"/>
        </w:numPr>
        <w:shd w:val="clear" w:color="auto" w:fill="auto"/>
        <w:tabs>
          <w:tab w:val="left" w:pos="457"/>
        </w:tabs>
        <w:spacing w:after="240" w:line="293" w:lineRule="auto"/>
        <w:ind w:left="440" w:hanging="440"/>
      </w:pPr>
      <w:r>
        <w:rPr>
          <w:color w:val="231F20"/>
        </w:rPr>
        <w:t xml:space="preserve">Zprostředkovatel </w:t>
      </w:r>
      <w:proofErr w:type="gramStart"/>
      <w:r>
        <w:rPr>
          <w:color w:val="231F20"/>
        </w:rPr>
        <w:t>přebírá</w:t>
      </w:r>
      <w:proofErr w:type="gramEnd"/>
      <w:r>
        <w:rPr>
          <w:color w:val="231F20"/>
        </w:rPr>
        <w:t xml:space="preserve"> na sebe nebezpečí změny okolností ve smyslu § 1765 odst. 2 občanského zákoníku </w:t>
      </w:r>
      <w:r>
        <w:t xml:space="preserve">Zprostředkovatel </w:t>
      </w:r>
      <w:proofErr w:type="gramStart"/>
      <w:r>
        <w:t>prohlašuje</w:t>
      </w:r>
      <w:proofErr w:type="gramEnd"/>
      <w:r>
        <w:t>, že:</w:t>
      </w:r>
    </w:p>
    <w:p w:rsidR="00160598" w:rsidRDefault="00C14A8F">
      <w:pPr>
        <w:pStyle w:val="Zkladntext20"/>
        <w:numPr>
          <w:ilvl w:val="0"/>
          <w:numId w:val="3"/>
        </w:numPr>
        <w:shd w:val="clear" w:color="auto" w:fill="auto"/>
        <w:tabs>
          <w:tab w:val="left" w:pos="1560"/>
        </w:tabs>
      </w:pPr>
      <w:r>
        <w:t>má nastaven funkční systém kontroly obchodních partnerů ve vzta</w:t>
      </w:r>
      <w:r>
        <w:t xml:space="preserve">hu k mezinárodním sankcím </w:t>
      </w:r>
      <w:r>
        <w:lastRenderedPageBreak/>
        <w:t>vyplývajícím zejména z předpisů a rozhodnutí orgánů Evropské unie, Organizace spojených národů, kteréhokoli z členských státu Evropské Unie, Spojených států amerických, Spojeného království Velké Británie a Severního Irska nebo Šv</w:t>
      </w:r>
      <w:r>
        <w:t>ýcarské konfederace (dále jen „</w:t>
      </w:r>
      <w:r>
        <w:rPr>
          <w:b/>
          <w:bCs/>
        </w:rPr>
        <w:t>sankce</w:t>
      </w:r>
      <w:r>
        <w:t>“), a není si vědom existence smluvních vztahů s osobou, na kterou se tyto sankce vztahují, zejména pak s osobu uvedenou na sankčních seznamech a v dokumentech vydávaných uvedenými orgány a institucemi, osobou, která je</w:t>
      </w:r>
      <w:r>
        <w:t xml:space="preserve"> usídlena v zemi nebo založena podle práva země nebo území, které je cílem sankcí, nebo osobou, která je jinak předmětem sankcí („</w:t>
      </w:r>
      <w:r>
        <w:rPr>
          <w:b/>
          <w:bCs/>
        </w:rPr>
        <w:t>osoba podléhající sankcím</w:t>
      </w:r>
      <w:r>
        <w:t>“).</w:t>
      </w:r>
    </w:p>
    <w:p w:rsidR="00160598" w:rsidRDefault="00C14A8F">
      <w:pPr>
        <w:pStyle w:val="Zkladntext20"/>
        <w:numPr>
          <w:ilvl w:val="0"/>
          <w:numId w:val="3"/>
        </w:numPr>
        <w:shd w:val="clear" w:color="auto" w:fill="auto"/>
        <w:tabs>
          <w:tab w:val="left" w:pos="1560"/>
        </w:tabs>
      </w:pPr>
      <w:r>
        <w:t>není osobou podléhající sankcím a žádná z osob podléhajících sankcím nefiguruje formálně ani fakt</w:t>
      </w:r>
      <w:r>
        <w:t xml:space="preserve">icky ve vlastnické či řídící struktuře Zprostředkovatele, není jeho skutečným majitelem, nedává jakékoli pokyny Zprostředkovateli, Zprostředkovatele. </w:t>
      </w:r>
      <w:proofErr w:type="gramStart"/>
      <w:r>
        <w:t>nezastupuje</w:t>
      </w:r>
      <w:proofErr w:type="gramEnd"/>
      <w:r>
        <w:t>, neovlivňuje, neovládá, ani se jakoukoli jinou formou, ať už skrytou či zjevnou, nepodílí na j</w:t>
      </w:r>
      <w:r>
        <w:t>eho fungování;</w:t>
      </w:r>
    </w:p>
    <w:p w:rsidR="00160598" w:rsidRDefault="00C14A8F">
      <w:pPr>
        <w:pStyle w:val="Zkladntext20"/>
        <w:numPr>
          <w:ilvl w:val="0"/>
          <w:numId w:val="3"/>
        </w:numPr>
        <w:shd w:val="clear" w:color="auto" w:fill="auto"/>
        <w:tabs>
          <w:tab w:val="left" w:pos="1560"/>
        </w:tabs>
      </w:pPr>
      <w:proofErr w:type="gramStart"/>
      <w:r>
        <w:t>si</w:t>
      </w:r>
      <w:proofErr w:type="gramEnd"/>
      <w:r>
        <w:t xml:space="preserve">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rsidR="00160598" w:rsidRDefault="00C14A8F">
      <w:pPr>
        <w:pStyle w:val="Zkladntext20"/>
        <w:numPr>
          <w:ilvl w:val="0"/>
          <w:numId w:val="3"/>
        </w:numPr>
        <w:shd w:val="clear" w:color="auto" w:fill="auto"/>
        <w:tabs>
          <w:tab w:val="left" w:pos="1560"/>
        </w:tabs>
        <w:spacing w:after="120"/>
      </w:pPr>
      <w:r>
        <w:t>neobdržel oznámení ani si není jinak vědom, že by proti němu byl vznesen nárok, vedena žaloba, soudní spor, správní řízení nebo šetření ze strany v souvislosti se sankcemi,</w:t>
      </w:r>
    </w:p>
    <w:p w:rsidR="00160598" w:rsidRDefault="00C14A8F">
      <w:pPr>
        <w:pStyle w:val="Zkladntext20"/>
        <w:shd w:val="clear" w:color="auto" w:fill="auto"/>
        <w:spacing w:after="220" w:line="300" w:lineRule="auto"/>
        <w:ind w:left="780" w:firstLine="0"/>
        <w:jc w:val="left"/>
      </w:pPr>
      <w:r>
        <w:t>a v případě, že kdykoli v budoucnu dojde k porušení některého ze shora uvedených p</w:t>
      </w:r>
      <w:r>
        <w:t>rohlášení, je Zprostředkovatel povinen oznámit tuto skutečnost bez zbytečného odkladu ČD - Telematika a.s. Výše uvedené platí i ve vztahu k případným subdodavatelům Zprostředkovatele.</w:t>
      </w:r>
    </w:p>
    <w:p w:rsidR="00160598" w:rsidRDefault="00C14A8F">
      <w:pPr>
        <w:pStyle w:val="Zkladntext20"/>
        <w:shd w:val="clear" w:color="auto" w:fill="auto"/>
        <w:spacing w:after="220" w:line="300" w:lineRule="auto"/>
        <w:ind w:left="780" w:firstLine="0"/>
        <w:jc w:val="left"/>
      </w:pPr>
      <w:r>
        <w:t>Porušení shora uvedených prohlášení se považuje za porušení smlouvy pods</w:t>
      </w:r>
      <w:r>
        <w:t>tatným způsobem a opravňuje druhou smluvní stranu od smlouvy odstoupit.</w:t>
      </w:r>
    </w:p>
    <w:p w:rsidR="00160598" w:rsidRDefault="00C14A8F">
      <w:pPr>
        <w:pStyle w:val="Zkladntext1"/>
        <w:numPr>
          <w:ilvl w:val="0"/>
          <w:numId w:val="2"/>
        </w:numPr>
        <w:shd w:val="clear" w:color="auto" w:fill="auto"/>
        <w:tabs>
          <w:tab w:val="left" w:pos="457"/>
        </w:tabs>
        <w:ind w:left="440" w:hanging="440"/>
      </w:pPr>
      <w:r>
        <w:t>Žádné z práv nebo povinností smluvní strany ze smlouvy o zprostředkování nesmí být bez předchozího písemného souhlasu druhé smluvní strany postoupeno nebo převedeno na třetí osobu.</w:t>
      </w:r>
    </w:p>
    <w:p w:rsidR="00160598" w:rsidRDefault="00C14A8F">
      <w:pPr>
        <w:pStyle w:val="Zkladntext1"/>
        <w:numPr>
          <w:ilvl w:val="0"/>
          <w:numId w:val="2"/>
        </w:numPr>
        <w:shd w:val="clear" w:color="auto" w:fill="auto"/>
        <w:tabs>
          <w:tab w:val="left" w:pos="457"/>
        </w:tabs>
        <w:ind w:left="440" w:hanging="440"/>
      </w:pPr>
      <w:r>
        <w:t>Sml</w:t>
      </w:r>
      <w:r>
        <w:t xml:space="preserve">uvní strany berou na vědomí, že Klient je povinným subjektem ve smyslu zákona č. 340/2015 Sb., o zvláštních podmínkách účinnosti některých smluv, uveřejňování těchto smluv a o registru smluv (zákon o registru </w:t>
      </w:r>
      <w:proofErr w:type="gramStart"/>
      <w:r>
        <w:t>smluv) (dále</w:t>
      </w:r>
      <w:proofErr w:type="gramEnd"/>
      <w:r>
        <w:t xml:space="preserve"> jako „</w:t>
      </w:r>
      <w:proofErr w:type="spellStart"/>
      <w:r>
        <w:t>ZoRS</w:t>
      </w:r>
      <w:proofErr w:type="spellEnd"/>
      <w:r>
        <w:t xml:space="preserve">“). Dle </w:t>
      </w:r>
      <w:proofErr w:type="spellStart"/>
      <w:r>
        <w:t>ZoRS</w:t>
      </w:r>
      <w:proofErr w:type="spellEnd"/>
      <w:r>
        <w:t xml:space="preserve"> je Klient p</w:t>
      </w:r>
      <w:r>
        <w:t>ovinen uveřejňovat vybrané smlouvy a jejich dodatky v registru smluv spravovaných Ministerstvem vnitra, což Zprostředkovatel svým podpisem na závěr této Smlouvy bere na vědomí a s uveřejněním Smlouvy souhlasí. Smluvní strany berou na vědomí, že byla-li sml</w:t>
      </w:r>
      <w:r>
        <w:t xml:space="preserve">ouva uzavřena po </w:t>
      </w:r>
      <w:proofErr w:type="gramStart"/>
      <w:r>
        <w:t>1.7.2017</w:t>
      </w:r>
      <w:proofErr w:type="gramEnd"/>
      <w:r>
        <w:t xml:space="preserve">, a podléhá-li </w:t>
      </w:r>
      <w:proofErr w:type="spellStart"/>
      <w:r>
        <w:t>ZoRS</w:t>
      </w:r>
      <w:proofErr w:type="spellEnd"/>
      <w:r>
        <w:t>, nabývá účinnosti nejdříve dnem jejího uveřejnění v registru smluv. Klient se zavazuje bez zbytečného odkladu, nejpozději však do 30 dnů ode dne podpisu této Smlouvy zajistit její uveřejnění v registru.</w:t>
      </w:r>
    </w:p>
    <w:p w:rsidR="00160598" w:rsidRDefault="00C14A8F">
      <w:pPr>
        <w:pStyle w:val="Zkladntext1"/>
        <w:numPr>
          <w:ilvl w:val="0"/>
          <w:numId w:val="2"/>
        </w:numPr>
        <w:shd w:val="clear" w:color="auto" w:fill="auto"/>
        <w:tabs>
          <w:tab w:val="left" w:pos="457"/>
        </w:tabs>
        <w:ind w:left="440" w:hanging="440"/>
      </w:pPr>
      <w:r>
        <w:t xml:space="preserve">Smluvní </w:t>
      </w:r>
      <w:r>
        <w:t>strany tímto výslovně konstatují, že považují celý obsah čl. 4, čl. 5 odst. 5.1této Smlouvy včetně příloh za předmět obchodního tajemství ve smyslu § 504 zákona č. 89/2012 Sb., občanského zákoníku. Smluvní strany se vzájemně zavazují v případě vzniku pochy</w:t>
      </w:r>
      <w:r>
        <w:t>bností o</w:t>
      </w:r>
      <w:r>
        <w:br w:type="page"/>
      </w:r>
      <w:r>
        <w:lastRenderedPageBreak/>
        <w:t>rozsahu uveřejněných informací si poskytnout nezbytnou součinnost k prokázání rozsahu a obsahu obchodního tajemství v příslušném soudním/správním řízení.</w:t>
      </w:r>
    </w:p>
    <w:p w:rsidR="00160598" w:rsidRDefault="00C14A8F">
      <w:pPr>
        <w:pStyle w:val="Zkladntext1"/>
        <w:numPr>
          <w:ilvl w:val="0"/>
          <w:numId w:val="2"/>
        </w:numPr>
        <w:shd w:val="clear" w:color="auto" w:fill="auto"/>
        <w:tabs>
          <w:tab w:val="left" w:pos="457"/>
        </w:tabs>
        <w:ind w:left="440" w:hanging="440"/>
      </w:pPr>
      <w:r>
        <w:t>Tato Smlouva nabývá platnosti a účinnosti dnem jejího uveřejnění v registru smluv.</w:t>
      </w:r>
    </w:p>
    <w:p w:rsidR="00160598" w:rsidRDefault="00C14A8F">
      <w:pPr>
        <w:pStyle w:val="Zkladntext1"/>
        <w:numPr>
          <w:ilvl w:val="0"/>
          <w:numId w:val="2"/>
        </w:numPr>
        <w:shd w:val="clear" w:color="auto" w:fill="auto"/>
        <w:tabs>
          <w:tab w:val="left" w:pos="562"/>
        </w:tabs>
        <w:ind w:left="440" w:hanging="440"/>
      </w:pPr>
      <w:r>
        <w:t xml:space="preserve">V průběhu </w:t>
      </w:r>
      <w:r>
        <w:t xml:space="preserve">provádění zprostředkovatelské činnosti Zprostředkovatele na základě konkrétní smlouvy o zprostředkování představuje primární komunikaci mezi smluvními stranami e-mailový kontakt, vyjma případů uvedených ve smlouvě o zprostředkování nebo v rámcové smlouvě, </w:t>
      </w:r>
      <w:r>
        <w:t>přičemž Klient je vázán obsahem všech e-mailových zpráv odeslaných z domény užívané Klientem.</w:t>
      </w:r>
    </w:p>
    <w:p w:rsidR="00160598" w:rsidRDefault="00C14A8F">
      <w:pPr>
        <w:pStyle w:val="Zkladntext1"/>
        <w:numPr>
          <w:ilvl w:val="0"/>
          <w:numId w:val="2"/>
        </w:numPr>
        <w:shd w:val="clear" w:color="auto" w:fill="auto"/>
        <w:tabs>
          <w:tab w:val="left" w:pos="562"/>
        </w:tabs>
        <w:ind w:left="440" w:hanging="440"/>
      </w:pPr>
      <w:r>
        <w:t>Doručovacími adresami se rozumí adresy uvedené v rámcové smlouvě.</w:t>
      </w:r>
    </w:p>
    <w:p w:rsidR="00160598" w:rsidRDefault="00C14A8F">
      <w:pPr>
        <w:spacing w:line="14" w:lineRule="exact"/>
      </w:pPr>
      <w:r>
        <w:rPr>
          <w:noProof/>
          <w:lang w:bidi="ar-SA"/>
        </w:rPr>
        <mc:AlternateContent>
          <mc:Choice Requires="wps">
            <w:drawing>
              <wp:anchor distT="67310" distB="0" distL="114300" distR="3177540" simplePos="0" relativeHeight="125829378" behindDoc="0" locked="0" layoutInCell="1" allowOverlap="1">
                <wp:simplePos x="0" y="0"/>
                <wp:positionH relativeFrom="page">
                  <wp:posOffset>830580</wp:posOffset>
                </wp:positionH>
                <wp:positionV relativeFrom="paragraph">
                  <wp:posOffset>76200</wp:posOffset>
                </wp:positionV>
                <wp:extent cx="1045210" cy="16129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45210" cy="161290"/>
                        </a:xfrm>
                        <a:prstGeom prst="rect">
                          <a:avLst/>
                        </a:prstGeom>
                        <a:noFill/>
                      </wps:spPr>
                      <wps:txbx>
                        <w:txbxContent>
                          <w:p w:rsidR="00160598" w:rsidRDefault="00C14A8F">
                            <w:pPr>
                              <w:pStyle w:val="Zkladntext1"/>
                              <w:shd w:val="clear" w:color="auto" w:fill="auto"/>
                              <w:tabs>
                                <w:tab w:val="left" w:leader="dot" w:pos="1358"/>
                              </w:tabs>
                              <w:spacing w:line="240" w:lineRule="auto"/>
                            </w:pPr>
                            <w:proofErr w:type="gramStart"/>
                            <w:r>
                              <w:t>V dne</w:t>
                            </w:r>
                            <w:proofErr w:type="gramEnd"/>
                            <w:r>
                              <w:t xml:space="preserve"> </w:t>
                            </w:r>
                            <w:r>
                              <w:tab/>
                              <w:t xml:space="preserve"> V</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10000000000000001pt;margin-top:6.pt;width:82.299999999999997pt;height:12.699999999999999pt;z-index:-125829375;mso-wrap-distance-left:9.pt;mso-wrap-distance-top:5.2999999999999998pt;mso-wrap-distance-right:250.19999999999999pt;mso-position-horizontal-relative:margin" filled="f" stroked="f">
                <v:textbox inset="0,0,0,0">
                  <w:txbxContent>
                    <w:p>
                      <w:pPr>
                        <w:pStyle w:val="Style2"/>
                        <w:keepNext w:val="0"/>
                        <w:keepLines w:val="0"/>
                        <w:widowControl w:val="0"/>
                        <w:shd w:val="clear" w:color="auto" w:fill="auto"/>
                        <w:tabs>
                          <w:tab w:leader="dot" w:pos="1358" w:val="left"/>
                        </w:tabs>
                        <w:bidi w:val="0"/>
                        <w:spacing w:before="0" w:after="0" w:line="240" w:lineRule="auto"/>
                        <w:ind w:left="0" w:right="0" w:firstLine="0"/>
                      </w:pPr>
                      <w:r>
                        <w:rPr>
                          <w:color w:val="000000"/>
                          <w:spacing w:val="0"/>
                          <w:w w:val="100"/>
                          <w:position w:val="0"/>
                          <w:shd w:val="clear" w:color="auto" w:fill="auto"/>
                          <w:lang w:val="cs-CZ" w:eastAsia="cs-CZ" w:bidi="cs-CZ"/>
                        </w:rPr>
                        <w:t xml:space="preserve">V dne </w:t>
                        <w:tab/>
                        <w:t xml:space="preserve"> V</w:t>
                      </w:r>
                    </w:p>
                  </w:txbxContent>
                </v:textbox>
                <w10:wrap type="topAndBottom" anchorx="margin"/>
              </v:shape>
            </w:pict>
          </mc:Fallback>
        </mc:AlternateContent>
      </w:r>
      <w:r>
        <w:rPr>
          <w:noProof/>
          <w:lang w:bidi="ar-SA"/>
        </w:rPr>
        <mc:AlternateContent>
          <mc:Choice Requires="wps">
            <w:drawing>
              <wp:anchor distT="67310" distB="0" distL="2049780" distR="114300" simplePos="0" relativeHeight="125829380" behindDoc="0" locked="0" layoutInCell="1" allowOverlap="1">
                <wp:simplePos x="0" y="0"/>
                <wp:positionH relativeFrom="page">
                  <wp:posOffset>2766060</wp:posOffset>
                </wp:positionH>
                <wp:positionV relativeFrom="paragraph">
                  <wp:posOffset>76200</wp:posOffset>
                </wp:positionV>
                <wp:extent cx="2172970" cy="1612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172970" cy="161290"/>
                        </a:xfrm>
                        <a:prstGeom prst="rect">
                          <a:avLst/>
                        </a:prstGeom>
                        <a:noFill/>
                      </wps:spPr>
                      <wps:txbx>
                        <w:txbxContent>
                          <w:p w:rsidR="00160598" w:rsidRDefault="00C14A8F">
                            <w:pPr>
                              <w:pStyle w:val="Zkladntext1"/>
                              <w:shd w:val="clear" w:color="auto" w:fill="auto"/>
                              <w:tabs>
                                <w:tab w:val="left" w:leader="dot" w:pos="3389"/>
                              </w:tabs>
                              <w:spacing w:line="240" w:lineRule="auto"/>
                            </w:pPr>
                            <w:r>
                              <w:t>dne</w:t>
                            </w:r>
                            <w:r>
                              <w:tab/>
                            </w:r>
                          </w:p>
                        </w:txbxContent>
                      </wps:txbx>
                      <wps:bodyPr lIns="0" tIns="0" rIns="0" bIns="0"/>
                    </wps:wsp>
                  </a:graphicData>
                </a:graphic>
              </wp:anchor>
            </w:drawing>
          </mc:Choice>
          <mc:Fallback>
            <w:pict>
              <v:shape id="_x0000_s1029" type="#_x0000_t202" style="position:absolute;margin-left:152.30000000000001pt;margin-top:6.pt;width:171.09999999999999pt;height:12.699999999999999pt;z-index:-125829373;mso-wrap-distance-left:161.40000000000001pt;mso-wrap-distance-top:5.2999999999999998pt;mso-wrap-distance-right:9.pt;mso-position-horizontal-relative:margin" filled="f" stroked="f">
                <v:textbox inset="0,0,0,0">
                  <w:txbxContent>
                    <w:p>
                      <w:pPr>
                        <w:pStyle w:val="Style2"/>
                        <w:keepNext w:val="0"/>
                        <w:keepLines w:val="0"/>
                        <w:widowControl w:val="0"/>
                        <w:shd w:val="clear" w:color="auto" w:fill="auto"/>
                        <w:tabs>
                          <w:tab w:leader="dot" w:pos="3389" w:val="left"/>
                        </w:tabs>
                        <w:bidi w:val="0"/>
                        <w:spacing w:before="0" w:after="0" w:line="240" w:lineRule="auto"/>
                        <w:ind w:left="0" w:right="0" w:firstLine="0"/>
                      </w:pPr>
                      <w:r>
                        <w:rPr>
                          <w:color w:val="000000"/>
                          <w:spacing w:val="0"/>
                          <w:w w:val="100"/>
                          <w:position w:val="0"/>
                          <w:shd w:val="clear" w:color="auto" w:fill="auto"/>
                          <w:lang w:val="cs-CZ" w:eastAsia="cs-CZ" w:bidi="cs-CZ"/>
                        </w:rPr>
                        <w:t>dne</w:t>
                        <w:tab/>
                      </w:r>
                    </w:p>
                  </w:txbxContent>
                </v:textbox>
                <w10:wrap type="topAndBottom" anchorx="margin"/>
              </v:shape>
            </w:pict>
          </mc:Fallback>
        </mc:AlternateContent>
      </w:r>
    </w:p>
    <w:p w:rsidR="00160598" w:rsidRDefault="00C14A8F">
      <w:pPr>
        <w:pStyle w:val="Zkladntext1"/>
        <w:shd w:val="clear" w:color="auto" w:fill="auto"/>
        <w:spacing w:after="1360" w:line="240" w:lineRule="auto"/>
        <w:ind w:left="4920" w:hanging="3760"/>
        <w:jc w:val="left"/>
      </w:pPr>
      <w:r>
        <w:rPr>
          <w:noProof/>
          <w:lang w:bidi="ar-SA"/>
        </w:rPr>
        <mc:AlternateContent>
          <mc:Choice Requires="wps">
            <w:drawing>
              <wp:anchor distT="0" distB="1021080" distL="114300" distR="1842770" simplePos="0" relativeHeight="125829382" behindDoc="0" locked="0" layoutInCell="1" allowOverlap="1">
                <wp:simplePos x="0" y="0"/>
                <wp:positionH relativeFrom="page">
                  <wp:posOffset>833120</wp:posOffset>
                </wp:positionH>
                <wp:positionV relativeFrom="margin">
                  <wp:posOffset>1734185</wp:posOffset>
                </wp:positionV>
                <wp:extent cx="570230" cy="1612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570230" cy="161290"/>
                        </a:xfrm>
                        <a:prstGeom prst="rect">
                          <a:avLst/>
                        </a:prstGeom>
                        <a:noFill/>
                      </wps:spPr>
                      <wps:txbx>
                        <w:txbxContent>
                          <w:p w:rsidR="00160598" w:rsidRDefault="00C14A8F">
                            <w:pPr>
                              <w:pStyle w:val="Zkladntext1"/>
                              <w:shd w:val="clear" w:color="auto" w:fill="auto"/>
                              <w:spacing w:line="240" w:lineRule="auto"/>
                              <w:jc w:val="left"/>
                            </w:pPr>
                            <w:r>
                              <w:t>Za Klienta</w:t>
                            </w:r>
                          </w:p>
                        </w:txbxContent>
                      </wps:txbx>
                      <wps:bodyPr lIns="0" tIns="0" rIns="0" bIns="0">
                        <a:spAutoFit/>
                      </wps:bodyPr>
                    </wps:wsp>
                  </a:graphicData>
                </a:graphic>
              </wp:anchor>
            </w:drawing>
          </mc:Choice>
          <mc:Fallback>
            <w:pict>
              <v:shape id="_x0000_s1031" type="#_x0000_t202" style="position:absolute;margin-left:0.10000000000000001pt;margin-top:136.55000000000001pt;width:44.899999999999999pt;height:12.699999999999999pt;z-index:-125829371;mso-wrap-distance-left:9.pt;mso-wrap-distance-right:145.09999999999999pt;mso-wrap-distance-bottom:80.400000000000006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Klienta</w:t>
                      </w:r>
                    </w:p>
                  </w:txbxContent>
                </v:textbox>
                <w10:wrap type="square" anchorx="margin" anchory="margin"/>
              </v:shape>
            </w:pict>
          </mc:Fallback>
        </mc:AlternateContent>
      </w:r>
      <w:r>
        <w:rPr>
          <w:noProof/>
          <w:lang w:bidi="ar-SA"/>
        </w:rPr>
        <mc:AlternateContent>
          <mc:Choice Requires="wps">
            <w:drawing>
              <wp:anchor distT="1014730" distB="0" distL="160020" distR="114300" simplePos="0" relativeHeight="125829384" behindDoc="0" locked="0" layoutInCell="1" allowOverlap="1">
                <wp:simplePos x="0" y="0"/>
                <wp:positionH relativeFrom="page">
                  <wp:posOffset>878840</wp:posOffset>
                </wp:positionH>
                <wp:positionV relativeFrom="margin">
                  <wp:posOffset>2749550</wp:posOffset>
                </wp:positionV>
                <wp:extent cx="2252345" cy="16764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2252345" cy="167640"/>
                        </a:xfrm>
                        <a:prstGeom prst="rect">
                          <a:avLst/>
                        </a:prstGeom>
                        <a:noFill/>
                      </wps:spPr>
                      <wps:txbx>
                        <w:txbxContent>
                          <w:p w:rsidR="00160598" w:rsidRDefault="00C14A8F">
                            <w:pPr>
                              <w:pStyle w:val="Zkladntext1"/>
                              <w:shd w:val="clear" w:color="auto" w:fill="auto"/>
                              <w:spacing w:line="240" w:lineRule="auto"/>
                              <w:jc w:val="left"/>
                            </w:pPr>
                            <w:r>
                              <w:t>Ing. Jan Hobza, předseda představenstva</w:t>
                            </w:r>
                          </w:p>
                        </w:txbxContent>
                      </wps:txbx>
                      <wps:bodyPr lIns="0" tIns="0" rIns="0" bIns="0">
                        <a:spAutoFit/>
                      </wps:bodyPr>
                    </wps:wsp>
                  </a:graphicData>
                </a:graphic>
              </wp:anchor>
            </w:drawing>
          </mc:Choice>
          <mc:Fallback>
            <w:pict>
              <v:shape id="_x0000_s1033" type="#_x0000_t202" style="position:absolute;margin-left:3.7000000000000002pt;margin-top:216.5pt;width:177.34999999999999pt;height:13.199999999999999pt;z-index:-125829369;mso-wrap-distance-left:12.6pt;mso-wrap-distance-top:79.900000000000006pt;mso-wrap-distance-right:9.pt;mso-position-horizontal-relative:margin;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Ing. Jan Hobza, předseda představenstva</w:t>
                      </w:r>
                    </w:p>
                  </w:txbxContent>
                </v:textbox>
                <w10:wrap type="square" anchorx="margin" anchory="margin"/>
              </v:shape>
            </w:pict>
          </mc:Fallback>
        </mc:AlternateContent>
      </w:r>
      <w:r>
        <w:t xml:space="preserve">Za </w:t>
      </w:r>
      <w:r>
        <w:t>Zprostředkovatele</w:t>
      </w:r>
    </w:p>
    <w:p w:rsidR="00160598" w:rsidRDefault="00C14A8F">
      <w:pPr>
        <w:pStyle w:val="Zkladntext1"/>
        <w:pBdr>
          <w:top w:val="single" w:sz="4" w:space="0" w:color="auto"/>
        </w:pBdr>
        <w:shd w:val="clear" w:color="auto" w:fill="auto"/>
        <w:spacing w:after="1360"/>
        <w:ind w:left="4920" w:right="2360" w:hanging="3760"/>
        <w:jc w:val="left"/>
      </w:pPr>
      <w:proofErr w:type="spellStart"/>
      <w:r>
        <w:t>MgA</w:t>
      </w:r>
      <w:proofErr w:type="spellEnd"/>
      <w:r>
        <w:t xml:space="preserve">. Hana </w:t>
      </w:r>
      <w:proofErr w:type="gramStart"/>
      <w:r>
        <w:t>Kopřivová</w:t>
      </w:r>
      <w:proofErr w:type="gramEnd"/>
      <w:r>
        <w:t xml:space="preserve"> Jednatel</w:t>
      </w:r>
    </w:p>
    <w:p w:rsidR="00160598" w:rsidRDefault="00C14A8F">
      <w:pPr>
        <w:pStyle w:val="Zkladntext1"/>
        <w:shd w:val="clear" w:color="auto" w:fill="auto"/>
        <w:spacing w:line="240" w:lineRule="auto"/>
        <w:jc w:val="left"/>
      </w:pPr>
      <w:r>
        <w:t xml:space="preserve">Ing. David </w:t>
      </w:r>
      <w:proofErr w:type="spellStart"/>
      <w:r>
        <w:t>Wolski</w:t>
      </w:r>
      <w:proofErr w:type="spellEnd"/>
      <w:r>
        <w:t>, člen představenstva</w:t>
      </w:r>
    </w:p>
    <w:sectPr w:rsidR="00160598">
      <w:headerReference w:type="default" r:id="rId10"/>
      <w:footerReference w:type="default" r:id="rId11"/>
      <w:pgSz w:w="11900" w:h="16840"/>
      <w:pgMar w:top="2084" w:right="1317" w:bottom="1887" w:left="13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8F" w:rsidRDefault="00C14A8F">
      <w:r>
        <w:separator/>
      </w:r>
    </w:p>
  </w:endnote>
  <w:endnote w:type="continuationSeparator" w:id="0">
    <w:p w:rsidR="00C14A8F" w:rsidRDefault="00C1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598" w:rsidRDefault="00C14A8F">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920115</wp:posOffset>
              </wp:positionH>
              <wp:positionV relativeFrom="page">
                <wp:posOffset>9641205</wp:posOffset>
              </wp:positionV>
              <wp:extent cx="3874135" cy="423545"/>
              <wp:effectExtent l="0" t="0" r="0" b="0"/>
              <wp:wrapNone/>
              <wp:docPr id="15" name="Shape 15"/>
              <wp:cNvGraphicFramePr/>
              <a:graphic xmlns:a="http://schemas.openxmlformats.org/drawingml/2006/main">
                <a:graphicData uri="http://schemas.microsoft.com/office/word/2010/wordprocessingShape">
                  <wps:wsp>
                    <wps:cNvSpPr txBox="1"/>
                    <wps:spPr>
                      <a:xfrm>
                        <a:off x="0" y="0"/>
                        <a:ext cx="3874135" cy="423545"/>
                      </a:xfrm>
                      <a:prstGeom prst="rect">
                        <a:avLst/>
                      </a:prstGeom>
                      <a:noFill/>
                    </wps:spPr>
                    <wps:txbx>
                      <w:txbxContent>
                        <w:p w:rsidR="00160598" w:rsidRDefault="00C14A8F">
                          <w:pPr>
                            <w:pStyle w:val="Zhlavnebozpat20"/>
                            <w:shd w:val="clear" w:color="auto" w:fill="auto"/>
                            <w:rPr>
                              <w:sz w:val="15"/>
                              <w:szCs w:val="15"/>
                            </w:rPr>
                          </w:pPr>
                          <w:proofErr w:type="spellStart"/>
                          <w:r>
                            <w:rPr>
                              <w:rFonts w:ascii="Arial" w:eastAsia="Arial" w:hAnsi="Arial" w:cs="Arial"/>
                              <w:b/>
                              <w:bCs/>
                              <w:color w:val="115E67"/>
                              <w:sz w:val="15"/>
                              <w:szCs w:val="15"/>
                            </w:rPr>
                            <w:t>Nettles</w:t>
                          </w:r>
                          <w:proofErr w:type="spellEnd"/>
                          <w:r>
                            <w:rPr>
                              <w:rFonts w:ascii="Arial" w:eastAsia="Arial" w:hAnsi="Arial" w:cs="Arial"/>
                              <w:b/>
                              <w:bCs/>
                              <w:color w:val="115E67"/>
                              <w:sz w:val="15"/>
                              <w:szCs w:val="15"/>
                            </w:rPr>
                            <w:t xml:space="preserve"> </w:t>
                          </w:r>
                          <w:proofErr w:type="spellStart"/>
                          <w:r>
                            <w:rPr>
                              <w:rFonts w:ascii="Arial" w:eastAsia="Arial" w:hAnsi="Arial" w:cs="Arial"/>
                              <w:b/>
                              <w:bCs/>
                              <w:color w:val="115E67"/>
                              <w:sz w:val="15"/>
                              <w:szCs w:val="15"/>
                            </w:rPr>
                            <w:t>Consulting</w:t>
                          </w:r>
                          <w:proofErr w:type="spellEnd"/>
                          <w:r>
                            <w:rPr>
                              <w:rFonts w:ascii="Arial" w:eastAsia="Arial" w:hAnsi="Arial" w:cs="Arial"/>
                              <w:b/>
                              <w:bCs/>
                              <w:color w:val="115E67"/>
                              <w:sz w:val="15"/>
                              <w:szCs w:val="15"/>
                            </w:rPr>
                            <w:t xml:space="preserve"> s.r.o.</w:t>
                          </w:r>
                        </w:p>
                        <w:p w:rsidR="00160598" w:rsidRDefault="00C14A8F">
                          <w:pPr>
                            <w:pStyle w:val="Zhlavnebozpat20"/>
                            <w:shd w:val="clear" w:color="auto" w:fill="auto"/>
                            <w:rPr>
                              <w:sz w:val="15"/>
                              <w:szCs w:val="15"/>
                            </w:rPr>
                          </w:pPr>
                          <w:r>
                            <w:rPr>
                              <w:rFonts w:ascii="Arial" w:eastAsia="Arial" w:hAnsi="Arial" w:cs="Arial"/>
                              <w:color w:val="115E67"/>
                              <w:sz w:val="15"/>
                              <w:szCs w:val="15"/>
                            </w:rPr>
                            <w:t xml:space="preserve">Nad Jurečkem 249/15, 251 01 Říčany, IČ: </w:t>
                          </w:r>
                          <w:r>
                            <w:rPr>
                              <w:rFonts w:ascii="Arial" w:eastAsia="Arial" w:hAnsi="Arial" w:cs="Arial"/>
                              <w:color w:val="115E67"/>
                              <w:sz w:val="15"/>
                              <w:szCs w:val="15"/>
                            </w:rPr>
                            <w:t>11775025, DIČ: CZ11775025</w:t>
                          </w:r>
                        </w:p>
                        <w:p w:rsidR="00160598" w:rsidRDefault="00C14A8F">
                          <w:pPr>
                            <w:pStyle w:val="Zhlavnebozpat20"/>
                            <w:shd w:val="clear" w:color="auto" w:fill="auto"/>
                            <w:rPr>
                              <w:sz w:val="15"/>
                              <w:szCs w:val="15"/>
                            </w:rPr>
                          </w:pPr>
                          <w:r>
                            <w:rPr>
                              <w:rFonts w:ascii="Arial" w:eastAsia="Arial" w:hAnsi="Arial" w:cs="Arial"/>
                              <w:color w:val="115E67"/>
                              <w:sz w:val="15"/>
                              <w:szCs w:val="15"/>
                            </w:rPr>
                            <w:t>Společnost zapsána v OR vedeném u Městského soudu v Praze v oddílu C, vložka 354389.</w:t>
                          </w:r>
                        </w:p>
                        <w:p w:rsidR="00160598" w:rsidRDefault="00C14A8F">
                          <w:pPr>
                            <w:pStyle w:val="Zhlavnebozpat20"/>
                            <w:shd w:val="clear" w:color="auto" w:fill="auto"/>
                            <w:rPr>
                              <w:sz w:val="15"/>
                              <w:szCs w:val="15"/>
                            </w:rPr>
                          </w:pPr>
                          <w:r>
                            <w:rPr>
                              <w:rFonts w:ascii="Arial" w:eastAsia="Arial" w:hAnsi="Arial" w:cs="Arial"/>
                              <w:color w:val="115E67"/>
                              <w:sz w:val="15"/>
                              <w:szCs w:val="15"/>
                            </w:rPr>
                            <w:t xml:space="preserve">+420 608 345 467, hana.koprivova@nettles.cz, </w:t>
                          </w:r>
                          <w:r>
                            <w:rPr>
                              <w:rFonts w:ascii="Arial" w:eastAsia="Arial" w:hAnsi="Arial" w:cs="Arial"/>
                              <w:color w:val="0000FF"/>
                              <w:sz w:val="15"/>
                              <w:szCs w:val="15"/>
                            </w:rPr>
                            <w:t>www.nettles.cz</w:t>
                          </w:r>
                        </w:p>
                      </w:txbxContent>
                    </wps:txbx>
                    <wps:bodyPr wrap="none" lIns="0" tIns="0" rIns="0" bIns="0">
                      <a:spAutoFit/>
                    </wps:bodyPr>
                  </wps:wsp>
                </a:graphicData>
              </a:graphic>
            </wp:anchor>
          </w:drawing>
        </mc:Choice>
        <mc:Fallback>
          <w:pict>
            <v:shape id="_x0000_s1041" type="#_x0000_t202" style="position:absolute;margin-left:72.450000000000003pt;margin-top:759.14999999999998pt;width:305.05000000000001pt;height:33.35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b/>
                        <w:bCs/>
                        <w:color w:val="115E67"/>
                        <w:spacing w:val="0"/>
                        <w:w w:val="100"/>
                        <w:position w:val="0"/>
                        <w:sz w:val="15"/>
                        <w:szCs w:val="15"/>
                        <w:shd w:val="clear" w:color="auto" w:fill="auto"/>
                        <w:lang w:val="cs-CZ" w:eastAsia="cs-CZ" w:bidi="cs-CZ"/>
                      </w:rPr>
                      <w:t>Nettles Consulting s.r.o.</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15E67"/>
                        <w:spacing w:val="0"/>
                        <w:w w:val="100"/>
                        <w:position w:val="0"/>
                        <w:sz w:val="15"/>
                        <w:szCs w:val="15"/>
                        <w:shd w:val="clear" w:color="auto" w:fill="auto"/>
                        <w:lang w:val="cs-CZ" w:eastAsia="cs-CZ" w:bidi="cs-CZ"/>
                      </w:rPr>
                      <w:t>Nad Jurečkem 249/15, 251 01 Říčany, IČ: 11775025, DIČ: CZ11775025</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15E67"/>
                        <w:spacing w:val="0"/>
                        <w:w w:val="100"/>
                        <w:position w:val="0"/>
                        <w:sz w:val="15"/>
                        <w:szCs w:val="15"/>
                        <w:shd w:val="clear" w:color="auto" w:fill="auto"/>
                        <w:lang w:val="cs-CZ" w:eastAsia="cs-CZ" w:bidi="cs-CZ"/>
                      </w:rPr>
                      <w:t>Společnost zapsána v OR vedeném u Městského soudu v Praze v oddílu C, vložka 354389.</w:t>
                    </w:r>
                  </w:p>
                  <w:p>
                    <w:pPr>
                      <w:pStyle w:val="Style6"/>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115E67"/>
                        <w:spacing w:val="0"/>
                        <w:w w:val="100"/>
                        <w:position w:val="0"/>
                        <w:sz w:val="15"/>
                        <w:szCs w:val="15"/>
                        <w:shd w:val="clear" w:color="auto" w:fill="auto"/>
                        <w:lang w:val="cs-CZ" w:eastAsia="cs-CZ" w:bidi="cs-CZ"/>
                      </w:rPr>
                      <w:t xml:space="preserve">+420 608 345 467, hana.koprivova@nettles.cz, </w:t>
                    </w:r>
                    <w:r>
                      <w:rPr>
                        <w:rFonts w:ascii="Arial" w:eastAsia="Arial" w:hAnsi="Arial" w:cs="Arial"/>
                        <w:color w:val="0000FF"/>
                        <w:spacing w:val="0"/>
                        <w:w w:val="100"/>
                        <w:position w:val="0"/>
                        <w:sz w:val="15"/>
                        <w:szCs w:val="15"/>
                        <w:shd w:val="clear" w:color="auto" w:fill="auto"/>
                        <w:lang w:val="cs-CZ" w:eastAsia="cs-CZ" w:bidi="cs-CZ"/>
                      </w:rPr>
                      <w:t>www.nettles.cz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8F" w:rsidRDefault="00C14A8F"/>
  </w:footnote>
  <w:footnote w:type="continuationSeparator" w:id="0">
    <w:p w:rsidR="00C14A8F" w:rsidRDefault="00C14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598" w:rsidRDefault="00C14A8F">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1307465</wp:posOffset>
              </wp:positionH>
              <wp:positionV relativeFrom="page">
                <wp:posOffset>354330</wp:posOffset>
              </wp:positionV>
              <wp:extent cx="746760" cy="628015"/>
              <wp:effectExtent l="0" t="0" r="0" b="0"/>
              <wp:wrapNone/>
              <wp:docPr id="9" name="Shape 9"/>
              <wp:cNvGraphicFramePr/>
              <a:graphic xmlns:a="http://schemas.openxmlformats.org/drawingml/2006/main">
                <a:graphicData uri="http://schemas.microsoft.com/office/word/2010/wordprocessingShape">
                  <wps:wsp>
                    <wps:cNvSpPr txBox="1"/>
                    <wps:spPr>
                      <a:xfrm>
                        <a:off x="0" y="0"/>
                        <a:ext cx="746760" cy="628015"/>
                      </a:xfrm>
                      <a:prstGeom prst="rect">
                        <a:avLst/>
                      </a:prstGeom>
                      <a:noFill/>
                    </wps:spPr>
                    <wps:txbx>
                      <w:txbxContent>
                        <w:p w:rsidR="00160598" w:rsidRDefault="00C14A8F">
                          <w:pPr>
                            <w:rPr>
                              <w:sz w:val="2"/>
                              <w:szCs w:val="2"/>
                            </w:rPr>
                          </w:pPr>
                          <w:r>
                            <w:rPr>
                              <w:noProof/>
                              <w:lang w:bidi="ar-SA"/>
                            </w:rPr>
                            <w:drawing>
                              <wp:inline distT="0" distB="0" distL="0" distR="0">
                                <wp:extent cx="749935" cy="62801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pic:blipFill>
                                      <pic:spPr>
                                        <a:xfrm>
                                          <a:off x="0" y="0"/>
                                          <a:ext cx="749935" cy="628015"/>
                                        </a:xfrm>
                                        <a:prstGeom prst="rect">
                                          <a:avLst/>
                                        </a:prstGeom>
                                      </pic:spPr>
                                    </pic:pic>
                                  </a:graphicData>
                                </a:graphic>
                              </wp:inline>
                            </w:drawing>
                          </w:r>
                        </w:p>
                      </w:txbxContent>
                    </wps:txbx>
                    <wps:bodyPr lIns="0" tIns="0" rIns="0" bIns="0"/>
                  </wps:wsp>
                </a:graphicData>
              </a:graphic>
            </wp:anchor>
          </w:drawing>
        </mc:Choice>
        <mc:Fallback>
          <w:pict>
            <v:shape id="_x0000_s1036" type="#_x0000_t202" style="position:absolute;margin-left:102.95pt;margin-top:27.899999999999999pt;width:58.799999999999997pt;height:49.450000000000003pt;z-index:-188744063;mso-wrap-distance-left:0;mso-wrap-distance-right:0;mso-position-horizontal-relative:page;mso-position-vertical-relative:page" wrapcoords="0 0" filled="f" stroked="f">
              <v:textbox inset="0,0,0,0">
                <w:txbxContent>
                  <w:p>
                    <w:pPr>
                      <w:widowControl w:val="0"/>
                      <w:rPr>
                        <w:sz w:val="2"/>
                        <w:szCs w:val="2"/>
                      </w:rPr>
                    </w:pPr>
                    <w:r>
                      <w:drawing>
                        <wp:inline>
                          <wp:extent cx="749935" cy="62801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pic:blipFill>
                                <pic:spPr>
                                  <a:xfrm>
                                    <a:ext cx="749935" cy="62801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920115</wp:posOffset>
              </wp:positionH>
              <wp:positionV relativeFrom="page">
                <wp:posOffset>1067435</wp:posOffset>
              </wp:positionV>
              <wp:extent cx="1365250"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365250" cy="106680"/>
                      </a:xfrm>
                      <a:prstGeom prst="rect">
                        <a:avLst/>
                      </a:prstGeom>
                      <a:noFill/>
                    </wps:spPr>
                    <wps:txbx>
                      <w:txbxContent>
                        <w:p w:rsidR="00160598" w:rsidRDefault="00C14A8F">
                          <w:pPr>
                            <w:pStyle w:val="Zhlavnebozpat20"/>
                            <w:shd w:val="clear" w:color="auto" w:fill="auto"/>
                            <w:rPr>
                              <w:sz w:val="19"/>
                              <w:szCs w:val="19"/>
                            </w:rPr>
                          </w:pPr>
                          <w:r>
                            <w:rPr>
                              <w:rFonts w:ascii="Arial" w:eastAsia="Arial" w:hAnsi="Arial" w:cs="Arial"/>
                              <w:color w:val="115E67"/>
                              <w:sz w:val="19"/>
                              <w:szCs w:val="19"/>
                            </w:rPr>
                            <w:t>NETTLES CONSULTING</w:t>
                          </w:r>
                        </w:p>
                      </w:txbxContent>
                    </wps:txbx>
                    <wps:bodyPr wrap="none" lIns="0" tIns="0" rIns="0" bIns="0">
                      <a:spAutoFit/>
                    </wps:bodyPr>
                  </wps:wsp>
                </a:graphicData>
              </a:graphic>
            </wp:anchor>
          </w:drawing>
        </mc:Choice>
        <mc:Fallback>
          <w:pict>
            <v:shape id="_x0000_s1039" type="#_x0000_t202" style="position:absolute;margin-left:72.450000000000003pt;margin-top:84.049999999999997pt;width:107.5pt;height:8.40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115E67"/>
                        <w:spacing w:val="0"/>
                        <w:w w:val="100"/>
                        <w:position w:val="0"/>
                        <w:sz w:val="19"/>
                        <w:szCs w:val="19"/>
                        <w:shd w:val="clear" w:color="auto" w:fill="auto"/>
                        <w:lang w:val="cs-CZ" w:eastAsia="cs-CZ" w:bidi="cs-CZ"/>
                      </w:rPr>
                      <w:t>NETTLES CONSULTING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252"/>
    <w:multiLevelType w:val="multilevel"/>
    <w:tmpl w:val="987897DC"/>
    <w:lvl w:ilvl="0">
      <w:start w:val="2"/>
      <w:numFmt w:val="decimal"/>
      <w:lvlText w:val="7.%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197EB3"/>
    <w:multiLevelType w:val="multilevel"/>
    <w:tmpl w:val="CF1CE45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2643DF"/>
    <w:multiLevelType w:val="multilevel"/>
    <w:tmpl w:val="20BE8A6E"/>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60598"/>
    <w:rsid w:val="00160598"/>
    <w:rsid w:val="001A7F8D"/>
    <w:rsid w:val="00C14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color w:val="333333"/>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spacing w:line="295" w:lineRule="auto"/>
      <w:jc w:val="both"/>
    </w:pPr>
    <w:rPr>
      <w:rFonts w:ascii="Arial" w:eastAsia="Arial" w:hAnsi="Arial" w:cs="Arial"/>
      <w:sz w:val="19"/>
      <w:szCs w:val="19"/>
    </w:rPr>
  </w:style>
  <w:style w:type="paragraph" w:customStyle="1" w:styleId="Nadpis10">
    <w:name w:val="Nadpis #1"/>
    <w:basedOn w:val="Normln"/>
    <w:link w:val="Nadpis1"/>
    <w:pPr>
      <w:shd w:val="clear" w:color="auto" w:fill="FFFFFF"/>
      <w:spacing w:line="295" w:lineRule="auto"/>
      <w:ind w:left="440" w:hanging="440"/>
      <w:jc w:val="both"/>
      <w:outlineLvl w:val="0"/>
    </w:pPr>
    <w:rPr>
      <w:rFonts w:ascii="Arial" w:eastAsia="Arial" w:hAnsi="Arial" w:cs="Arial"/>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9"/>
      <w:szCs w:val="19"/>
    </w:rPr>
  </w:style>
  <w:style w:type="paragraph" w:customStyle="1" w:styleId="Jin0">
    <w:name w:val="Jiné"/>
    <w:basedOn w:val="Normln"/>
    <w:link w:val="Jin"/>
    <w:pPr>
      <w:shd w:val="clear" w:color="auto" w:fill="FFFFFF"/>
      <w:spacing w:line="295" w:lineRule="auto"/>
      <w:jc w:val="both"/>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312" w:lineRule="auto"/>
      <w:ind w:firstLine="240"/>
    </w:pPr>
    <w:rPr>
      <w:rFonts w:ascii="Verdana" w:eastAsia="Verdana" w:hAnsi="Verdana" w:cs="Verdana"/>
      <w:color w:val="333333"/>
      <w:sz w:val="18"/>
      <w:szCs w:val="18"/>
    </w:rPr>
  </w:style>
  <w:style w:type="paragraph" w:customStyle="1" w:styleId="Zkladntext20">
    <w:name w:val="Základní text (2)"/>
    <w:basedOn w:val="Normln"/>
    <w:link w:val="Zkladntext2"/>
    <w:pPr>
      <w:shd w:val="clear" w:color="auto" w:fill="FFFFFF"/>
      <w:spacing w:line="324" w:lineRule="auto"/>
      <w:ind w:left="1560" w:hanging="720"/>
      <w:jc w:val="both"/>
    </w:pPr>
    <w:rPr>
      <w:rFonts w:ascii="Arial" w:eastAsia="Arial" w:hAnsi="Arial" w:cs="Arial"/>
      <w:sz w:val="17"/>
      <w:szCs w:val="17"/>
    </w:rPr>
  </w:style>
  <w:style w:type="paragraph" w:styleId="Textbubliny">
    <w:name w:val="Balloon Text"/>
    <w:basedOn w:val="Normln"/>
    <w:link w:val="TextbublinyChar"/>
    <w:uiPriority w:val="99"/>
    <w:semiHidden/>
    <w:unhideWhenUsed/>
    <w:rsid w:val="001A7F8D"/>
    <w:rPr>
      <w:rFonts w:ascii="Tahoma" w:hAnsi="Tahoma" w:cs="Tahoma"/>
      <w:sz w:val="16"/>
      <w:szCs w:val="16"/>
    </w:rPr>
  </w:style>
  <w:style w:type="character" w:customStyle="1" w:styleId="TextbublinyChar">
    <w:name w:val="Text bubliny Char"/>
    <w:basedOn w:val="Standardnpsmoodstavce"/>
    <w:link w:val="Textbubliny"/>
    <w:uiPriority w:val="99"/>
    <w:semiHidden/>
    <w:rsid w:val="001A7F8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w:eastAsia="Arial" w:hAnsi="Arial" w:cs="Arial"/>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Zkladntext3">
    <w:name w:val="Základní text (3)_"/>
    <w:basedOn w:val="Standardnpsmoodstavce"/>
    <w:link w:val="Zkladntext30"/>
    <w:rPr>
      <w:rFonts w:ascii="Verdana" w:eastAsia="Verdana" w:hAnsi="Verdana" w:cs="Verdana"/>
      <w:b w:val="0"/>
      <w:bCs w:val="0"/>
      <w:i w:val="0"/>
      <w:iCs w:val="0"/>
      <w:smallCaps w:val="0"/>
      <w:strike w:val="0"/>
      <w:color w:val="333333"/>
      <w:sz w:val="18"/>
      <w:szCs w:val="1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paragraph" w:customStyle="1" w:styleId="Zkladntext1">
    <w:name w:val="Základní text1"/>
    <w:basedOn w:val="Normln"/>
    <w:link w:val="Zkladntext"/>
    <w:pPr>
      <w:shd w:val="clear" w:color="auto" w:fill="FFFFFF"/>
      <w:spacing w:line="295" w:lineRule="auto"/>
      <w:jc w:val="both"/>
    </w:pPr>
    <w:rPr>
      <w:rFonts w:ascii="Arial" w:eastAsia="Arial" w:hAnsi="Arial" w:cs="Arial"/>
      <w:sz w:val="19"/>
      <w:szCs w:val="19"/>
    </w:rPr>
  </w:style>
  <w:style w:type="paragraph" w:customStyle="1" w:styleId="Nadpis10">
    <w:name w:val="Nadpis #1"/>
    <w:basedOn w:val="Normln"/>
    <w:link w:val="Nadpis1"/>
    <w:pPr>
      <w:shd w:val="clear" w:color="auto" w:fill="FFFFFF"/>
      <w:spacing w:line="295" w:lineRule="auto"/>
      <w:ind w:left="440" w:hanging="440"/>
      <w:jc w:val="both"/>
      <w:outlineLvl w:val="0"/>
    </w:pPr>
    <w:rPr>
      <w:rFonts w:ascii="Arial" w:eastAsia="Arial" w:hAnsi="Arial" w:cs="Arial"/>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pPr>
    <w:rPr>
      <w:rFonts w:ascii="Arial" w:eastAsia="Arial" w:hAnsi="Arial" w:cs="Arial"/>
      <w:b/>
      <w:bCs/>
      <w:sz w:val="19"/>
      <w:szCs w:val="19"/>
    </w:rPr>
  </w:style>
  <w:style w:type="paragraph" w:customStyle="1" w:styleId="Jin0">
    <w:name w:val="Jiné"/>
    <w:basedOn w:val="Normln"/>
    <w:link w:val="Jin"/>
    <w:pPr>
      <w:shd w:val="clear" w:color="auto" w:fill="FFFFFF"/>
      <w:spacing w:line="295" w:lineRule="auto"/>
      <w:jc w:val="both"/>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312" w:lineRule="auto"/>
      <w:ind w:firstLine="240"/>
    </w:pPr>
    <w:rPr>
      <w:rFonts w:ascii="Verdana" w:eastAsia="Verdana" w:hAnsi="Verdana" w:cs="Verdana"/>
      <w:color w:val="333333"/>
      <w:sz w:val="18"/>
      <w:szCs w:val="18"/>
    </w:rPr>
  </w:style>
  <w:style w:type="paragraph" w:customStyle="1" w:styleId="Zkladntext20">
    <w:name w:val="Základní text (2)"/>
    <w:basedOn w:val="Normln"/>
    <w:link w:val="Zkladntext2"/>
    <w:pPr>
      <w:shd w:val="clear" w:color="auto" w:fill="FFFFFF"/>
      <w:spacing w:line="324" w:lineRule="auto"/>
      <w:ind w:left="1560" w:hanging="720"/>
      <w:jc w:val="both"/>
    </w:pPr>
    <w:rPr>
      <w:rFonts w:ascii="Arial" w:eastAsia="Arial" w:hAnsi="Arial" w:cs="Arial"/>
      <w:sz w:val="17"/>
      <w:szCs w:val="17"/>
    </w:rPr>
  </w:style>
  <w:style w:type="paragraph" w:styleId="Textbubliny">
    <w:name w:val="Balloon Text"/>
    <w:basedOn w:val="Normln"/>
    <w:link w:val="TextbublinyChar"/>
    <w:uiPriority w:val="99"/>
    <w:semiHidden/>
    <w:unhideWhenUsed/>
    <w:rsid w:val="001A7F8D"/>
    <w:rPr>
      <w:rFonts w:ascii="Tahoma" w:hAnsi="Tahoma" w:cs="Tahoma"/>
      <w:sz w:val="16"/>
      <w:szCs w:val="16"/>
    </w:rPr>
  </w:style>
  <w:style w:type="character" w:customStyle="1" w:styleId="TextbublinyChar">
    <w:name w:val="Text bubliny Char"/>
    <w:basedOn w:val="Standardnpsmoodstavce"/>
    <w:link w:val="Textbubliny"/>
    <w:uiPriority w:val="99"/>
    <w:semiHidden/>
    <w:rsid w:val="001A7F8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dt@cdt.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koprivova@nettle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1719</Words>
  <Characters>10145</Characters>
  <Application>Microsoft Office Word</Application>
  <DocSecurity>0</DocSecurity>
  <Lines>84</Lines>
  <Paragraphs>23</Paragraphs>
  <ScaleCrop>false</ScaleCrop>
  <Company>CD-Telematika, a.s.</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Kopřivová</dc:creator>
  <cp:keywords/>
  <cp:lastModifiedBy>Čápová Karolína</cp:lastModifiedBy>
  <cp:revision>2</cp:revision>
  <dcterms:created xsi:type="dcterms:W3CDTF">2023-10-30T10:18:00Z</dcterms:created>
  <dcterms:modified xsi:type="dcterms:W3CDTF">2023-10-30T10:22:00Z</dcterms:modified>
</cp:coreProperties>
</file>