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43"/>
        <w:gridCol w:w="1176"/>
        <w:gridCol w:w="768"/>
        <w:gridCol w:w="679"/>
        <w:gridCol w:w="754"/>
        <w:gridCol w:w="3019"/>
        <w:gridCol w:w="3222"/>
        <w:gridCol w:w="201"/>
      </w:tblGrid>
      <w:tr w:rsidR="000949D5" w:rsidRPr="000949D5" w14:paraId="28387BB2" w14:textId="77777777" w:rsidTr="000949D5">
        <w:trPr>
          <w:gridAfter w:val="1"/>
          <w:wAfter w:w="91" w:type="dxa"/>
          <w:trHeight w:val="408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2D15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0949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11061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195E03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Česká republika - Ředitelství vodních cest</w:t>
            </w:r>
          </w:p>
        </w:tc>
      </w:tr>
      <w:tr w:rsidR="000949D5" w:rsidRPr="000949D5" w14:paraId="58EA532C" w14:textId="77777777" w:rsidTr="000949D5">
        <w:trPr>
          <w:trHeight w:val="255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EE3701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61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C0E4F2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11FA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0949D5" w:rsidRPr="000949D5" w14:paraId="43B6E273" w14:textId="77777777" w:rsidTr="000949D5">
        <w:trPr>
          <w:trHeight w:val="25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B765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11061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97390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lang w:eastAsia="cs-CZ"/>
              </w:rPr>
              <w:t>Přístaviště na Orlické nádrži</w:t>
            </w:r>
          </w:p>
        </w:tc>
        <w:tc>
          <w:tcPr>
            <w:tcW w:w="91" w:type="dxa"/>
            <w:vAlign w:val="center"/>
            <w:hideMark/>
          </w:tcPr>
          <w:p w14:paraId="753314EE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648A6C57" w14:textId="77777777" w:rsidTr="000949D5">
        <w:trPr>
          <w:trHeight w:val="25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1A3682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61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AA062C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A3DF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0949D5" w:rsidRPr="000949D5" w14:paraId="6969FC4B" w14:textId="77777777" w:rsidTr="000949D5">
        <w:trPr>
          <w:trHeight w:val="25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6B26A4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11061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61DAD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lang w:eastAsia="cs-CZ"/>
              </w:rPr>
              <w:t>Urbanisticko - dispozičně - technické řešení přístavní infrastruktury</w:t>
            </w:r>
          </w:p>
        </w:tc>
        <w:tc>
          <w:tcPr>
            <w:tcW w:w="91" w:type="dxa"/>
            <w:vAlign w:val="center"/>
            <w:hideMark/>
          </w:tcPr>
          <w:p w14:paraId="1F9D1CE3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37D2F6A0" w14:textId="77777777" w:rsidTr="000949D5">
        <w:trPr>
          <w:trHeight w:val="37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00B332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61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758DD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5A4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0949D5" w:rsidRPr="000949D5" w14:paraId="2340369B" w14:textId="77777777" w:rsidTr="000949D5">
        <w:trPr>
          <w:trHeight w:val="623"/>
        </w:trPr>
        <w:tc>
          <w:tcPr>
            <w:tcW w:w="130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C2DFE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91" w:type="dxa"/>
            <w:vAlign w:val="center"/>
            <w:hideMark/>
          </w:tcPr>
          <w:p w14:paraId="0C8D4943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6F6986AC" w14:textId="77777777" w:rsidTr="000949D5">
        <w:trPr>
          <w:trHeight w:val="255"/>
        </w:trPr>
        <w:tc>
          <w:tcPr>
            <w:tcW w:w="60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7B92AD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37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B6E3CB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32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DC0C7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1" w:type="dxa"/>
            <w:vAlign w:val="center"/>
            <w:hideMark/>
          </w:tcPr>
          <w:p w14:paraId="64E990EB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1C55E9B3" w14:textId="77777777" w:rsidTr="000949D5">
        <w:trPr>
          <w:trHeight w:val="255"/>
        </w:trPr>
        <w:tc>
          <w:tcPr>
            <w:tcW w:w="60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065A0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7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278FC2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2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2B6C7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DE11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949D5" w:rsidRPr="000949D5" w14:paraId="719C518E" w14:textId="77777777" w:rsidTr="000949D5">
        <w:trPr>
          <w:trHeight w:val="270"/>
        </w:trPr>
        <w:tc>
          <w:tcPr>
            <w:tcW w:w="60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3425C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7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457E17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2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31AD0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6AF6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092517F2" w14:textId="77777777" w:rsidTr="000949D5">
        <w:trPr>
          <w:trHeight w:val="390"/>
        </w:trPr>
        <w:tc>
          <w:tcPr>
            <w:tcW w:w="6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F1ADE6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3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90708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F7367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4D7B2AC8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641AC58F" w14:textId="77777777" w:rsidTr="000949D5">
        <w:trPr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457DB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6E8E" w14:textId="77777777" w:rsidR="000949D5" w:rsidRPr="000949D5" w:rsidRDefault="000949D5" w:rsidP="00094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lang w:eastAsia="cs-CZ"/>
              </w:rPr>
              <w:t>20.10.2023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D437B" w14:textId="77777777" w:rsidR="000949D5" w:rsidRPr="000949D5" w:rsidRDefault="000949D5" w:rsidP="000949D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0949D5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2B64C" w14:textId="77777777" w:rsidR="000949D5" w:rsidRPr="000949D5" w:rsidRDefault="000949D5" w:rsidP="000949D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0949D5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8821D" w14:textId="77777777" w:rsidR="000949D5" w:rsidRPr="000949D5" w:rsidRDefault="000949D5" w:rsidP="000949D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0949D5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459CB" w14:textId="77777777" w:rsidR="000949D5" w:rsidRPr="000949D5" w:rsidRDefault="000949D5" w:rsidP="000949D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0949D5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30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5909F" w14:textId="77777777" w:rsidR="000949D5" w:rsidRPr="000949D5" w:rsidRDefault="000949D5" w:rsidP="000949D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0949D5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9EF5E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91" w:type="dxa"/>
            <w:vAlign w:val="center"/>
            <w:hideMark/>
          </w:tcPr>
          <w:p w14:paraId="7000A730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69AA24A3" w14:textId="77777777" w:rsidTr="000949D5">
        <w:trPr>
          <w:trHeight w:val="390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F928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78572F" w14:textId="77777777" w:rsidR="000949D5" w:rsidRPr="000949D5" w:rsidRDefault="000949D5" w:rsidP="000949D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B59664" w14:textId="77777777" w:rsidR="000949D5" w:rsidRPr="000949D5" w:rsidRDefault="000949D5" w:rsidP="000949D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575EE1" w14:textId="77777777" w:rsidR="000949D5" w:rsidRPr="000949D5" w:rsidRDefault="000949D5" w:rsidP="000949D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DFD4CD" w14:textId="77777777" w:rsidR="000949D5" w:rsidRPr="000949D5" w:rsidRDefault="000949D5" w:rsidP="000949D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F38813" w14:textId="77777777" w:rsidR="000949D5" w:rsidRPr="000949D5" w:rsidRDefault="000949D5" w:rsidP="000949D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8254F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187C0A77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6BABDAA7" w14:textId="77777777" w:rsidTr="000949D5">
        <w:trPr>
          <w:trHeight w:val="300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C5DE7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1106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B34D7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Kotas &amp; Partners, s.r.o., náměstí I. P. Pavlova 1785/3, 120 00 Praha 2 - Nové Město                           </w:t>
            </w:r>
          </w:p>
        </w:tc>
        <w:tc>
          <w:tcPr>
            <w:tcW w:w="91" w:type="dxa"/>
            <w:vAlign w:val="center"/>
            <w:hideMark/>
          </w:tcPr>
          <w:p w14:paraId="7BE718B5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7CD43417" w14:textId="77777777" w:rsidTr="000949D5">
        <w:trPr>
          <w:trHeight w:val="300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F01F18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0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5C140" w14:textId="52C4C8CB" w:rsidR="000949D5" w:rsidRPr="000949D5" w:rsidRDefault="003228B9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XXXXXXXXXXXX</w:t>
            </w:r>
          </w:p>
        </w:tc>
        <w:tc>
          <w:tcPr>
            <w:tcW w:w="91" w:type="dxa"/>
            <w:vAlign w:val="center"/>
            <w:hideMark/>
          </w:tcPr>
          <w:p w14:paraId="11336C73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15B8EB2E" w14:textId="77777777" w:rsidTr="000949D5">
        <w:trPr>
          <w:trHeight w:val="353"/>
        </w:trPr>
        <w:tc>
          <w:tcPr>
            <w:tcW w:w="34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F5F06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9618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D4F02" w14:textId="6257EC76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lang w:eastAsia="cs-CZ"/>
              </w:rPr>
              <w:t>Posun dílčích termínů plnění, posun celkového termínu plnění</w:t>
            </w:r>
          </w:p>
        </w:tc>
        <w:tc>
          <w:tcPr>
            <w:tcW w:w="91" w:type="dxa"/>
            <w:vAlign w:val="center"/>
            <w:hideMark/>
          </w:tcPr>
          <w:p w14:paraId="3FDCD3DF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5FC9FF5A" w14:textId="77777777" w:rsidTr="000949D5">
        <w:trPr>
          <w:trHeight w:val="780"/>
        </w:trPr>
        <w:tc>
          <w:tcPr>
            <w:tcW w:w="34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2FD07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61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51F406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5509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0949D5" w:rsidRPr="000949D5" w14:paraId="27DCF46C" w14:textId="77777777" w:rsidTr="000949D5">
        <w:trPr>
          <w:trHeight w:val="540"/>
        </w:trPr>
        <w:tc>
          <w:tcPr>
            <w:tcW w:w="34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60BAA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96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A6F24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lang w:eastAsia="cs-CZ"/>
              </w:rPr>
              <w:t>S/ŘVC/001/P/SoD/2021</w:t>
            </w:r>
          </w:p>
        </w:tc>
        <w:tc>
          <w:tcPr>
            <w:tcW w:w="91" w:type="dxa"/>
            <w:vAlign w:val="center"/>
            <w:hideMark/>
          </w:tcPr>
          <w:p w14:paraId="6656B7FB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38F13B68" w14:textId="77777777" w:rsidTr="000949D5">
        <w:trPr>
          <w:trHeight w:val="780"/>
        </w:trPr>
        <w:tc>
          <w:tcPr>
            <w:tcW w:w="34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999DB6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6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A443E16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AC34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0949D5" w:rsidRPr="000949D5" w14:paraId="10EFA0D2" w14:textId="77777777" w:rsidTr="000949D5">
        <w:trPr>
          <w:trHeight w:val="732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C991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63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8FC5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57F70" w14:textId="77777777" w:rsidR="000949D5" w:rsidRPr="000949D5" w:rsidRDefault="000949D5" w:rsidP="00094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20.10.2023</w:t>
            </w:r>
          </w:p>
        </w:tc>
        <w:tc>
          <w:tcPr>
            <w:tcW w:w="91" w:type="dxa"/>
            <w:vAlign w:val="center"/>
            <w:hideMark/>
          </w:tcPr>
          <w:p w14:paraId="55E6C3BA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1880B20F" w14:textId="77777777" w:rsidTr="000949D5">
        <w:trPr>
          <w:trHeight w:val="2610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F9617E" w14:textId="67480A9E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Společnost Kotas &amp; Partners, s. r. o. zpracovává k záměru "Přístaviště na Orlické nádrži" urbanisticko - dispozičně - technické řešení přístavní infrastruktury dle uzavřené SoD č. S/ŘVC/001/P/SoD/2021 a souvisejících Dodatků č. 1, 2, 3, 4, 5, 6, 7 a 8. Byl zpracován a odevzdán koncept části A. Urbanisticko-dispoziční řešení. S ohledem na skutečnost, že přístup na jednotlivé lokality, resp. varianty řešení v jednotlivých lokalitách, je často přes pozemky soukromého vlastníka, je nezbytné pro výběr vítežné varianty projednat urbanisticko-dispoziční řešení i s těmito vlastníky. I přes veškeré úsilí, které Zhotovitel vynaložil k zajištění tohoto projednání, ke dni zjištění změny nedošlo k uskutečnění jednání, jelikož dostupnost pozemků a celá problematika majetkové řešení je velmi složitá, a proto nebylo možné Objednatelem vybrat vítěznou variantu pro navazující práce v rámci bodu B. Z toho důvodu navrhujeme další posun termínu plnění bodu A. - čistopis do 29. 2. 2024, bodu B. potom do 15. 4. 2024. Uvedené se nedalo pře</w:t>
            </w:r>
            <w:r w:rsidR="003228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vídat a není chybou na straně Zhotovitele.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211E0A5F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75DAD453" w14:textId="77777777" w:rsidTr="000949D5">
        <w:trPr>
          <w:trHeight w:val="795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C3BB13C" w14:textId="25637916" w:rsidR="000949D5" w:rsidRPr="000949D5" w:rsidRDefault="000949D5" w:rsidP="00094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ZMĚNA SMLOUVY NENÍ PODSTATNOU ZMĚNOU TJ. SPADÁ POD JEDEN Z BODŮ A-E </w:t>
            </w:r>
            <w:r w:rsidRPr="000949D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(nevztahuje se na ní odstavec 3 článku 40 Směrnice č.S-11/2016 o oběhu smluv a o z</w:t>
            </w:r>
            <w:r w:rsidR="003228B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</w:t>
            </w:r>
            <w:r w:rsidRPr="000949D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dávání veřejných zakázek Ředitelství vodních cest ČR) Verze 1.0</w:t>
            </w:r>
          </w:p>
        </w:tc>
        <w:tc>
          <w:tcPr>
            <w:tcW w:w="91" w:type="dxa"/>
            <w:vAlign w:val="center"/>
            <w:hideMark/>
          </w:tcPr>
          <w:p w14:paraId="390AFEB9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4223FBEE" w14:textId="77777777" w:rsidTr="000949D5">
        <w:trPr>
          <w:trHeight w:val="732"/>
        </w:trPr>
        <w:tc>
          <w:tcPr>
            <w:tcW w:w="130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105B2D" w14:textId="77777777" w:rsidR="000949D5" w:rsidRPr="000949D5" w:rsidRDefault="000949D5" w:rsidP="00094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91" w:type="dxa"/>
            <w:vAlign w:val="center"/>
            <w:hideMark/>
          </w:tcPr>
          <w:p w14:paraId="7986C441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6ADA5BFC" w14:textId="77777777" w:rsidTr="000949D5">
        <w:trPr>
          <w:trHeight w:val="885"/>
        </w:trPr>
        <w:tc>
          <w:tcPr>
            <w:tcW w:w="130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984BF49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0949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 pro navrhovanou změnu platí ustanovení 1-3.  </w:t>
            </w:r>
          </w:p>
        </w:tc>
        <w:tc>
          <w:tcPr>
            <w:tcW w:w="91" w:type="dxa"/>
            <w:vAlign w:val="center"/>
            <w:hideMark/>
          </w:tcPr>
          <w:p w14:paraId="74AB4DF3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71043A7C" w14:textId="77777777" w:rsidTr="000949D5">
        <w:trPr>
          <w:trHeight w:val="660"/>
        </w:trPr>
        <w:tc>
          <w:tcPr>
            <w:tcW w:w="130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607C45D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0304FA55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7D403261" w14:textId="77777777" w:rsidTr="000949D5">
        <w:trPr>
          <w:trHeight w:val="600"/>
        </w:trPr>
        <w:tc>
          <w:tcPr>
            <w:tcW w:w="1302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4A449C50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91" w:type="dxa"/>
            <w:vAlign w:val="center"/>
            <w:hideMark/>
          </w:tcPr>
          <w:p w14:paraId="452D7DCE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1FD0C912" w14:textId="77777777" w:rsidTr="000949D5">
        <w:trPr>
          <w:trHeight w:val="375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9BEAF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</w:t>
            </w:r>
          </w:p>
        </w:tc>
        <w:tc>
          <w:tcPr>
            <w:tcW w:w="91" w:type="dxa"/>
            <w:vAlign w:val="center"/>
            <w:hideMark/>
          </w:tcPr>
          <w:p w14:paraId="1674F467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1B081BF5" w14:textId="77777777" w:rsidTr="000949D5">
        <w:trPr>
          <w:trHeight w:val="420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E6D1D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nákladů 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</w:t>
            </w:r>
          </w:p>
        </w:tc>
        <w:tc>
          <w:tcPr>
            <w:tcW w:w="91" w:type="dxa"/>
            <w:vAlign w:val="center"/>
            <w:hideMark/>
          </w:tcPr>
          <w:p w14:paraId="4F6CC681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2B234917" w14:textId="77777777" w:rsidTr="000949D5">
        <w:trPr>
          <w:trHeight w:val="402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5385C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 / služeb nepřekročí 50 % původní hodnoty závazku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   </w:t>
            </w:r>
          </w:p>
        </w:tc>
        <w:tc>
          <w:tcPr>
            <w:tcW w:w="91" w:type="dxa"/>
            <w:vAlign w:val="center"/>
            <w:hideMark/>
          </w:tcPr>
          <w:p w14:paraId="2BEFD74C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71A49447" w14:textId="77777777" w:rsidTr="000949D5">
        <w:trPr>
          <w:trHeight w:val="398"/>
        </w:trPr>
        <w:tc>
          <w:tcPr>
            <w:tcW w:w="1302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3B7BFF7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91" w:type="dxa"/>
            <w:vAlign w:val="center"/>
            <w:hideMark/>
          </w:tcPr>
          <w:p w14:paraId="3B4C1A95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224AFB8E" w14:textId="77777777" w:rsidTr="000949D5">
        <w:trPr>
          <w:trHeight w:val="495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1D952F1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- 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                                             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194FB7CD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4F54BE1B" w14:textId="77777777" w:rsidTr="000949D5">
        <w:trPr>
          <w:trHeight w:val="450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A14663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zakázky - 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</w:t>
            </w: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91" w:type="dxa"/>
            <w:vAlign w:val="center"/>
            <w:hideMark/>
          </w:tcPr>
          <w:p w14:paraId="1316089A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38527074" w14:textId="77777777" w:rsidTr="000949D5">
        <w:trPr>
          <w:trHeight w:val="495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0DFA90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c) hodnota dodatečných stavebních prací, služeb nebo dodávek (tj. víceprací) nepřekročí 50 % původní hodnoty závazku -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relevantní.      </w:t>
            </w:r>
            <w:r w:rsidRPr="000949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1052173E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47D8F638" w14:textId="77777777" w:rsidTr="000949D5">
        <w:trPr>
          <w:trHeight w:val="529"/>
        </w:trPr>
        <w:tc>
          <w:tcPr>
            <w:tcW w:w="1302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DB0E9B2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91" w:type="dxa"/>
            <w:vAlign w:val="center"/>
            <w:hideMark/>
          </w:tcPr>
          <w:p w14:paraId="170221D7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3A2E336A" w14:textId="77777777" w:rsidTr="000949D5">
        <w:trPr>
          <w:trHeight w:val="645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96A9643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</w:t>
            </w:r>
          </w:p>
        </w:tc>
        <w:tc>
          <w:tcPr>
            <w:tcW w:w="91" w:type="dxa"/>
            <w:vAlign w:val="center"/>
            <w:hideMark/>
          </w:tcPr>
          <w:p w14:paraId="391372F7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7F246AE7" w14:textId="77777777" w:rsidTr="000949D5">
        <w:trPr>
          <w:trHeight w:val="630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9774081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- 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</w:t>
            </w:r>
          </w:p>
        </w:tc>
        <w:tc>
          <w:tcPr>
            <w:tcW w:w="91" w:type="dxa"/>
            <w:vAlign w:val="center"/>
            <w:hideMark/>
          </w:tcPr>
          <w:p w14:paraId="0EF243EC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26907BB3" w14:textId="77777777" w:rsidTr="000949D5">
        <w:trPr>
          <w:trHeight w:val="660"/>
        </w:trPr>
        <w:tc>
          <w:tcPr>
            <w:tcW w:w="1302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3262CA2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vyšší - 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</w:t>
            </w:r>
          </w:p>
        </w:tc>
        <w:tc>
          <w:tcPr>
            <w:tcW w:w="91" w:type="dxa"/>
            <w:vAlign w:val="center"/>
            <w:hideMark/>
          </w:tcPr>
          <w:p w14:paraId="5A8B217C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3347C9D2" w14:textId="77777777" w:rsidTr="000949D5">
        <w:trPr>
          <w:trHeight w:val="1170"/>
        </w:trPr>
        <w:tc>
          <w:tcPr>
            <w:tcW w:w="13021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FE639DA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0949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0E46200A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2A9F6201" w14:textId="77777777" w:rsidTr="000949D5">
        <w:trPr>
          <w:trHeight w:val="15"/>
        </w:trPr>
        <w:tc>
          <w:tcPr>
            <w:tcW w:w="13021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4163AE1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AF6B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949D5" w:rsidRPr="000949D5" w14:paraId="2245FE66" w14:textId="77777777" w:rsidTr="000949D5">
        <w:trPr>
          <w:trHeight w:val="270"/>
        </w:trPr>
        <w:tc>
          <w:tcPr>
            <w:tcW w:w="1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7F9ACD" w14:textId="7428FC55" w:rsidR="000949D5" w:rsidRPr="000949D5" w:rsidRDefault="000949D5" w:rsidP="00094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628D88" w14:textId="77777777" w:rsidR="000949D5" w:rsidRPr="000949D5" w:rsidRDefault="000949D5" w:rsidP="000949D5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0949D5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DC52D3" w14:textId="77777777" w:rsidR="000949D5" w:rsidRPr="000949D5" w:rsidRDefault="000949D5" w:rsidP="000949D5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0949D5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7674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62603C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91" w:type="dxa"/>
            <w:vAlign w:val="center"/>
            <w:hideMark/>
          </w:tcPr>
          <w:p w14:paraId="4412DA1A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02CF437C" w14:textId="77777777" w:rsidTr="000949D5">
        <w:trPr>
          <w:trHeight w:val="255"/>
        </w:trPr>
        <w:tc>
          <w:tcPr>
            <w:tcW w:w="1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3D588E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7B470F" w14:textId="77777777" w:rsidR="000949D5" w:rsidRPr="000949D5" w:rsidRDefault="000949D5" w:rsidP="000949D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1CD83" w14:textId="77777777" w:rsidR="000949D5" w:rsidRPr="000949D5" w:rsidRDefault="000949D5" w:rsidP="000949D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74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D15E3DE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AE36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0949D5" w:rsidRPr="000949D5" w14:paraId="0B23FD78" w14:textId="77777777" w:rsidTr="000949D5">
        <w:trPr>
          <w:trHeight w:val="360"/>
        </w:trPr>
        <w:tc>
          <w:tcPr>
            <w:tcW w:w="1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5C94E2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C87BB8" w14:textId="77777777" w:rsidR="000949D5" w:rsidRPr="000949D5" w:rsidRDefault="000949D5" w:rsidP="000949D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F159C" w14:textId="77777777" w:rsidR="000949D5" w:rsidRPr="000949D5" w:rsidRDefault="000949D5" w:rsidP="000949D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7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D04B9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Dojde k posunu dílčích termínů plnění bodu A. - čistopis a B. Dochází k posunu celkového termínu dokončení díla do 15. 4. 2024.</w:t>
            </w:r>
          </w:p>
        </w:tc>
        <w:tc>
          <w:tcPr>
            <w:tcW w:w="91" w:type="dxa"/>
            <w:vAlign w:val="center"/>
            <w:hideMark/>
          </w:tcPr>
          <w:p w14:paraId="291AFB36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442AB3F2" w14:textId="77777777" w:rsidTr="000949D5">
        <w:trPr>
          <w:trHeight w:val="480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9691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před změnou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003ECD" w14:textId="77777777" w:rsidR="000949D5" w:rsidRPr="000949D5" w:rsidRDefault="000949D5" w:rsidP="00094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949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870.000,00 Kč</w:t>
            </w:r>
          </w:p>
        </w:tc>
        <w:tc>
          <w:tcPr>
            <w:tcW w:w="7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5F757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vAlign w:val="center"/>
            <w:hideMark/>
          </w:tcPr>
          <w:p w14:paraId="6B9EBFA3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4C9D02FC" w14:textId="77777777" w:rsidTr="000949D5">
        <w:trPr>
          <w:trHeight w:val="443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1BC3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po změně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A3E14E" w14:textId="77777777" w:rsidR="000949D5" w:rsidRPr="000949D5" w:rsidRDefault="000949D5" w:rsidP="00094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949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870.000,00 Kč</w:t>
            </w:r>
          </w:p>
        </w:tc>
        <w:tc>
          <w:tcPr>
            <w:tcW w:w="7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74287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vAlign w:val="center"/>
            <w:hideMark/>
          </w:tcPr>
          <w:p w14:paraId="78902309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2CD4DD3C" w14:textId="77777777" w:rsidTr="000949D5">
        <w:trPr>
          <w:trHeight w:val="492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85AFC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173C6F" w14:textId="77777777" w:rsidR="000949D5" w:rsidRPr="000949D5" w:rsidRDefault="000949D5" w:rsidP="000949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949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76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61B5B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vAlign w:val="center"/>
            <w:hideMark/>
          </w:tcPr>
          <w:p w14:paraId="5C045244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28946899" w14:textId="77777777" w:rsidTr="000949D5">
        <w:trPr>
          <w:trHeight w:val="469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1B2A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639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70853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751EA" w14:textId="77777777" w:rsidR="000949D5" w:rsidRPr="000949D5" w:rsidRDefault="000949D5" w:rsidP="00094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3B5E37EE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45ABF2AA" w14:textId="77777777" w:rsidTr="000949D5">
        <w:trPr>
          <w:trHeight w:val="480"/>
        </w:trPr>
        <w:tc>
          <w:tcPr>
            <w:tcW w:w="130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7D85D4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91" w:type="dxa"/>
            <w:vAlign w:val="center"/>
            <w:hideMark/>
          </w:tcPr>
          <w:p w14:paraId="4A840476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6BEF38FF" w14:textId="77777777" w:rsidTr="000949D5">
        <w:trPr>
          <w:trHeight w:val="540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4EC1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639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F2AA3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3980B" w14:textId="77777777" w:rsidR="000949D5" w:rsidRPr="000949D5" w:rsidRDefault="000949D5" w:rsidP="00094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255C95E5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2A206441" w14:textId="77777777" w:rsidTr="000949D5">
        <w:trPr>
          <w:trHeight w:val="390"/>
        </w:trPr>
        <w:tc>
          <w:tcPr>
            <w:tcW w:w="130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36A816D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91" w:type="dxa"/>
            <w:vAlign w:val="center"/>
            <w:hideMark/>
          </w:tcPr>
          <w:p w14:paraId="37F416ED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65894DCB" w14:textId="77777777" w:rsidTr="000949D5">
        <w:trPr>
          <w:trHeight w:val="555"/>
        </w:trPr>
        <w:tc>
          <w:tcPr>
            <w:tcW w:w="1302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2E981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91" w:type="dxa"/>
            <w:vAlign w:val="center"/>
            <w:hideMark/>
          </w:tcPr>
          <w:p w14:paraId="65B4D62C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755E53D3" w14:textId="77777777" w:rsidTr="000949D5">
        <w:trPr>
          <w:trHeight w:val="450"/>
        </w:trPr>
        <w:tc>
          <w:tcPr>
            <w:tcW w:w="1302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A4F98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91" w:type="dxa"/>
            <w:vAlign w:val="center"/>
            <w:hideMark/>
          </w:tcPr>
          <w:p w14:paraId="724C54CE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6F37D1D8" w14:textId="77777777" w:rsidTr="000949D5">
        <w:trPr>
          <w:trHeight w:val="915"/>
        </w:trPr>
        <w:tc>
          <w:tcPr>
            <w:tcW w:w="4579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C28F" w14:textId="636543AF" w:rsidR="000949D5" w:rsidRPr="000949D5" w:rsidRDefault="000949D5" w:rsidP="00094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8442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EB9FF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dochází pouze k posunu dílčích termínů plnění bodu A - čistopis a B. a k posunu celkového termínu dokončení díla. Tímto souhlasím se změnou dle tohoto změnového listu.</w:t>
            </w:r>
          </w:p>
        </w:tc>
        <w:tc>
          <w:tcPr>
            <w:tcW w:w="91" w:type="dxa"/>
            <w:vAlign w:val="center"/>
            <w:hideMark/>
          </w:tcPr>
          <w:p w14:paraId="5A224181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0EF4995D" w14:textId="77777777" w:rsidTr="000949D5">
        <w:trPr>
          <w:trHeight w:val="638"/>
        </w:trPr>
        <w:tc>
          <w:tcPr>
            <w:tcW w:w="45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3F75" w14:textId="3EE285B0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0949D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S/ŘVC/001/P/SoD/2021</w:t>
            </w:r>
          </w:p>
        </w:tc>
        <w:tc>
          <w:tcPr>
            <w:tcW w:w="22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4C3D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výdaj v Kč 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86BD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C04E9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26B5290D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4F23AC89" w14:textId="77777777" w:rsidTr="000949D5">
        <w:trPr>
          <w:trHeight w:val="540"/>
        </w:trPr>
        <w:tc>
          <w:tcPr>
            <w:tcW w:w="45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3CC1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týká se bodu: A. - čistopis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                B.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AC40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266.200,00 Kč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302.500,00 Kč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1401EB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3/2024</w:t>
            </w: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5/2024</w:t>
            </w:r>
          </w:p>
        </w:tc>
        <w:tc>
          <w:tcPr>
            <w:tcW w:w="91" w:type="dxa"/>
            <w:vAlign w:val="center"/>
            <w:hideMark/>
          </w:tcPr>
          <w:p w14:paraId="669A7913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63E38A6E" w14:textId="77777777" w:rsidTr="000949D5">
        <w:trPr>
          <w:trHeight w:val="709"/>
        </w:trPr>
        <w:tc>
          <w:tcPr>
            <w:tcW w:w="60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ED6C" w14:textId="1A6AE1F0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r w:rsidR="003228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xxxxxxxxxxxx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07000F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91" w:type="dxa"/>
            <w:vAlign w:val="center"/>
            <w:hideMark/>
          </w:tcPr>
          <w:p w14:paraId="3999FF4A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334705FB" w14:textId="77777777" w:rsidTr="000949D5">
        <w:trPr>
          <w:trHeight w:val="709"/>
        </w:trPr>
        <w:tc>
          <w:tcPr>
            <w:tcW w:w="60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81EB" w14:textId="280BC7BF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r w:rsidR="003228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ED3B0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91" w:type="dxa"/>
            <w:vAlign w:val="center"/>
            <w:hideMark/>
          </w:tcPr>
          <w:p w14:paraId="698BCD11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3A2074D8" w14:textId="77777777" w:rsidTr="000949D5">
        <w:trPr>
          <w:trHeight w:val="709"/>
        </w:trPr>
        <w:tc>
          <w:tcPr>
            <w:tcW w:w="60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2AE0" w14:textId="3772A114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r w:rsidR="003228B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22B228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91" w:type="dxa"/>
            <w:vAlign w:val="center"/>
            <w:hideMark/>
          </w:tcPr>
          <w:p w14:paraId="6819A01D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49D5" w:rsidRPr="000949D5" w14:paraId="7ADF2CCF" w14:textId="77777777" w:rsidTr="000949D5">
        <w:trPr>
          <w:trHeight w:val="709"/>
        </w:trPr>
        <w:tc>
          <w:tcPr>
            <w:tcW w:w="6026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4310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2C5FF4" w14:textId="77777777" w:rsidR="000949D5" w:rsidRPr="000949D5" w:rsidRDefault="000949D5" w:rsidP="000949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949D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91" w:type="dxa"/>
            <w:vAlign w:val="center"/>
            <w:hideMark/>
          </w:tcPr>
          <w:p w14:paraId="0B69F4C0" w14:textId="77777777" w:rsidR="000949D5" w:rsidRPr="000949D5" w:rsidRDefault="000949D5" w:rsidP="0009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4E9BFDA" w14:textId="77777777" w:rsidR="00320FD4" w:rsidRDefault="00320FD4"/>
    <w:sectPr w:rsidR="00320FD4" w:rsidSect="000949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D5"/>
    <w:rsid w:val="000949D5"/>
    <w:rsid w:val="00320FD4"/>
    <w:rsid w:val="0032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6773"/>
  <w15:chartTrackingRefBased/>
  <w15:docId w15:val="{C8C57520-A4AF-497E-8646-80610BB4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985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2023-10-30T08:02:00Z</dcterms:created>
  <dcterms:modified xsi:type="dcterms:W3CDTF">2023-10-30T08:06:00Z</dcterms:modified>
</cp:coreProperties>
</file>