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/>
        <w:ind w:right="0" w:firstLine="0"/>
        <w:jc w:val="left"/>
      </w:pPr>
      <w:bookmarkStart w:id="0" w:name="bookmark0"/>
      <w:bookmarkStart w:id="1" w:name="bookmark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  <w:bookmarkEnd w:id="0"/>
      <w:bookmarkEnd w:id="1"/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č. 29112/2023</w:t>
      </w:r>
      <w:bookmarkEnd w:id="2"/>
      <w:bookmarkEnd w:id="3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39"/>
        <w:gridCol w:w="6941"/>
      </w:tblGrid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widowControl w:val="0"/>
        <w:spacing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tbl>
      <w:tblPr>
        <w:tblOverlap w:val="never"/>
        <w:jc w:val="center"/>
        <w:tblLayout w:type="fixed"/>
      </w:tblPr>
      <w:tblGrid>
        <w:gridCol w:w="1939"/>
        <w:gridCol w:w="6936"/>
      </w:tblGrid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widowControl w:val="0"/>
        <w:spacing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tbl>
      <w:tblPr>
        <w:tblOverlap w:val="never"/>
        <w:jc w:val="center"/>
        <w:tblLayout w:type="fixed"/>
      </w:tblPr>
      <w:tblGrid>
        <w:gridCol w:w="1939"/>
        <w:gridCol w:w="6936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„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)</w:t>
      </w:r>
    </w:p>
    <w:p>
      <w:pPr>
        <w:widowControl w:val="0"/>
        <w:spacing w:after="379" w:line="1" w:lineRule="exact"/>
      </w:pP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36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  <w:bookmarkEnd w:id="4"/>
      <w:bookmarkEnd w:id="5"/>
    </w:p>
    <w:tbl>
      <w:tblPr>
        <w:tblOverlap w:val="never"/>
        <w:jc w:val="center"/>
        <w:tblLayout w:type="fixed"/>
      </w:tblPr>
      <w:tblGrid>
        <w:gridCol w:w="1939"/>
        <w:gridCol w:w="6936"/>
      </w:tblGrid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Městys Luka nad Jihlavou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1. máje 76, 588 22 Luka nad Jihlavou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Martinem Dvořákem, starostou městyse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00286192</w:t>
            </w:r>
          </w:p>
        </w:tc>
      </w:tr>
    </w:tbl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„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“)</w:t>
      </w:r>
    </w:p>
    <w:p>
      <w:pPr>
        <w:widowControl w:val="0"/>
        <w:spacing w:after="5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/>
        <w:ind w:left="3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I. Předmět díla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32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 komunikace, a to v rozsahu: pluhování a posyp chemickým materiálem v délce 800,80 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3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320" w:line="271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 komunikaci MK v úseku Luka nad Jihlavou Cihelna - místní část Otín.</w:t>
      </w:r>
      <w:r>
        <w:br w:type="page"/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3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2023/2024, a to konkrétně od 01.11.2023 do 31.03.2024.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3" w:val="left"/>
        </w:tabs>
        <w:bidi w:val="0"/>
        <w:spacing w:before="0" w:after="30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 tím, že Zhotovitel nastoupí na provádění prací dle objednávky Objednatele vždy až po skončení údržbových prací na komunikacích ve správě Zhotovitele.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3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3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3" w:val="left"/>
        </w:tabs>
        <w:bidi w:val="0"/>
        <w:spacing w:before="0" w:after="30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4"/>
      <w:bookmarkEnd w:id="1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 Ustanovení neupravená touto Smlouvou se řídí občanským zákoníkem.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je vyhotovena ve dvou stejnopisech, z nichž každá smluvní strana obdrží jedno vyhotovení.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62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055" w:val="right"/>
          <w:tab w:pos="5241" w:val="left"/>
        </w:tabs>
        <w:bidi w:val="0"/>
        <w:spacing w:before="0" w:after="126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Jihlavě dne :</w:t>
        <w:tab/>
        <w:t xml:space="preserve"> V</w:t>
        <w:tab/>
        <w:t>Lukách nad Jihlavou dne 23.10.2023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4410710</wp:posOffset>
                </wp:positionH>
                <wp:positionV relativeFrom="paragraph">
                  <wp:posOffset>12700</wp:posOffset>
                </wp:positionV>
                <wp:extent cx="1234440" cy="63119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4440" cy="631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 Objednatele</w:t>
                              <w:br/>
                              <w:t>Ing. Martin Dvořák</w:t>
                              <w:br/>
                              <w:t>starosta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7.30000000000001pt;margin-top:1.pt;width:97.200000000000003pt;height:49.70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</w:t>
                        <w:br/>
                        <w:t>Ing. Martin Dvořák</w:t>
                        <w:br/>
                        <w:t>starosta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Zhotovitele</w:t>
        <w:br/>
        <w:t>Ing. Radovan Necid</w:t>
        <w:br/>
        <w:t>ředitel organizace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Cenová nabídka pro zimní údržbu pozemních komunikací</w:t>
        <w:br/>
        <w:t>na období od 01.11.2023 do 31.03.2024</w:t>
      </w:r>
      <w:bookmarkEnd w:id="16"/>
      <w:bookmarkEnd w:id="17"/>
    </w:p>
    <w:tbl>
      <w:tblPr>
        <w:tblOverlap w:val="never"/>
        <w:jc w:val="center"/>
        <w:tblLayout w:type="fixed"/>
      </w:tblPr>
      <w:tblGrid>
        <w:gridCol w:w="6086"/>
        <w:gridCol w:w="850"/>
        <w:gridCol w:w="2011"/>
      </w:tblGrid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2 750,00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4,20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450,00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</w:tbl>
    <w:p>
      <w:pPr>
        <w:widowControl w:val="0"/>
        <w:spacing w:after="5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514" w:left="1013" w:right="1373" w:bottom="1226" w:header="86" w:footer="79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color w:val="343E6E"/>
      <w:sz w:val="36"/>
      <w:szCs w:val="36"/>
      <w:u w:val="none"/>
    </w:rPr>
  </w:style>
  <w:style w:type="character" w:customStyle="1" w:styleId="CharStyle7">
    <w:name w:val="Nadpis #2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9">
    <w:name w:val="Titulek tabulky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Jiné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Nadpis #3_"/>
    <w:basedOn w:val="DefaultParagraphFont"/>
    <w:link w:val="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680" w:line="302" w:lineRule="auto"/>
      <w:ind w:left="36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343E6E"/>
      <w:sz w:val="36"/>
      <w:szCs w:val="36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FFFFFF"/>
      <w:spacing w:after="680"/>
      <w:ind w:left="104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8">
    <w:name w:val="Titulek tabulky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Nadpis #3"/>
    <w:basedOn w:val="Normal"/>
    <w:link w:val="CharStyle16"/>
    <w:pPr>
      <w:widowControl w:val="0"/>
      <w:shd w:val="clear" w:color="auto" w:fill="FFFFFF"/>
      <w:spacing w:line="274" w:lineRule="auto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Ondráčková Dita</dc:creator>
  <cp:keywords/>
</cp:coreProperties>
</file>