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3C7" w:rsidRPr="00833530" w:rsidRDefault="00C833C7" w:rsidP="00C833C7">
      <w:pPr>
        <w:spacing w:after="240"/>
        <w:rPr>
          <w:rFonts w:ascii="Arial" w:eastAsiaTheme="minorHAnsi" w:hAnsi="Arial" w:cs="Arial"/>
          <w:b/>
          <w:bCs/>
          <w:i/>
          <w:caps/>
          <w:sz w:val="22"/>
          <w:szCs w:val="22"/>
          <w:lang w:eastAsia="en-US"/>
        </w:rPr>
      </w:pPr>
    </w:p>
    <w:p w:rsidR="00C833C7" w:rsidRPr="00833530" w:rsidRDefault="00C833C7" w:rsidP="00E153EA">
      <w:pPr>
        <w:jc w:val="right"/>
        <w:rPr>
          <w:rFonts w:ascii="Arial" w:eastAsiaTheme="minorHAnsi" w:hAnsi="Arial" w:cs="Arial"/>
          <w:sz w:val="22"/>
          <w:szCs w:val="22"/>
          <w:lang w:eastAsia="en-US"/>
        </w:rPr>
      </w:pPr>
      <w:r w:rsidRPr="00E153EA">
        <w:rPr>
          <w:rFonts w:ascii="Arial" w:eastAsiaTheme="minorHAnsi" w:hAnsi="Arial" w:cs="Arial"/>
          <w:spacing w:val="1"/>
          <w:sz w:val="22"/>
          <w:szCs w:val="22"/>
          <w:lang w:eastAsia="en-US"/>
        </w:rPr>
        <w:t>Ev.</w:t>
      </w:r>
      <w:r w:rsidR="00C426BC">
        <w:rPr>
          <w:rFonts w:ascii="Arial" w:eastAsiaTheme="minorHAnsi" w:hAnsi="Arial" w:cs="Arial"/>
          <w:spacing w:val="1"/>
          <w:sz w:val="22"/>
          <w:szCs w:val="22"/>
          <w:lang w:eastAsia="en-US"/>
        </w:rPr>
        <w:t xml:space="preserve"> </w:t>
      </w:r>
      <w:r w:rsidRPr="00E153EA">
        <w:rPr>
          <w:rFonts w:ascii="Arial" w:eastAsiaTheme="minorHAnsi" w:hAnsi="Arial" w:cs="Arial"/>
          <w:spacing w:val="1"/>
          <w:sz w:val="22"/>
          <w:szCs w:val="22"/>
          <w:lang w:eastAsia="en-US"/>
        </w:rPr>
        <w:t>č. 23</w:t>
      </w:r>
      <w:r w:rsidRPr="00E153EA">
        <w:rPr>
          <w:rFonts w:ascii="Arial" w:eastAsiaTheme="minorHAnsi" w:hAnsi="Arial" w:cs="Arial"/>
          <w:sz w:val="22"/>
          <w:szCs w:val="22"/>
          <w:lang w:eastAsia="en-US"/>
        </w:rPr>
        <w:t>/</w:t>
      </w:r>
      <w:r w:rsidR="00327A47">
        <w:rPr>
          <w:rFonts w:ascii="Arial" w:eastAsiaTheme="minorHAnsi" w:hAnsi="Arial" w:cs="Arial"/>
          <w:sz w:val="22"/>
          <w:szCs w:val="22"/>
          <w:lang w:eastAsia="en-US"/>
        </w:rPr>
        <w:t>167</w:t>
      </w:r>
      <w:r w:rsidRPr="00E153EA">
        <w:rPr>
          <w:rFonts w:ascii="Arial" w:eastAsiaTheme="minorHAnsi" w:hAnsi="Arial" w:cs="Arial"/>
          <w:spacing w:val="-2"/>
          <w:sz w:val="22"/>
          <w:szCs w:val="22"/>
          <w:lang w:eastAsia="en-US"/>
        </w:rPr>
        <w:t>-</w:t>
      </w:r>
      <w:r w:rsidRPr="00E153EA">
        <w:rPr>
          <w:rFonts w:ascii="Arial" w:eastAsiaTheme="minorHAnsi" w:hAnsi="Arial" w:cs="Arial"/>
          <w:sz w:val="22"/>
          <w:szCs w:val="22"/>
          <w:lang w:eastAsia="en-US"/>
        </w:rPr>
        <w:t>0</w:t>
      </w:r>
      <w:r w:rsidRPr="00E153EA">
        <w:rPr>
          <w:rFonts w:ascii="Arial" w:eastAsiaTheme="minorHAnsi" w:hAnsi="Arial" w:cs="Arial"/>
          <w:sz w:val="22"/>
          <w:szCs w:val="22"/>
          <w:lang w:eastAsia="en-US"/>
        </w:rPr>
        <w:br/>
        <w:t xml:space="preserve">Čj. </w:t>
      </w:r>
      <w:r w:rsidRPr="00E153EA">
        <w:rPr>
          <w:rFonts w:ascii="Arial" w:eastAsia="Calibri" w:hAnsi="Arial" w:cs="Arial"/>
          <w:sz w:val="22"/>
          <w:szCs w:val="22"/>
        </w:rPr>
        <w:t>15827/2023-</w:t>
      </w:r>
      <w:r w:rsidRPr="00E153EA">
        <w:rPr>
          <w:rFonts w:ascii="Arial" w:eastAsiaTheme="minorHAnsi" w:hAnsi="Arial" w:cs="Arial"/>
          <w:sz w:val="22"/>
          <w:szCs w:val="22"/>
          <w:lang w:eastAsia="en-US"/>
        </w:rPr>
        <w:t>UVCR-</w:t>
      </w:r>
      <w:r w:rsidR="00E153EA" w:rsidRPr="00E153EA">
        <w:rPr>
          <w:rFonts w:ascii="Arial" w:eastAsiaTheme="minorHAnsi" w:hAnsi="Arial" w:cs="Arial"/>
          <w:sz w:val="22"/>
          <w:szCs w:val="22"/>
          <w:lang w:eastAsia="en-US"/>
        </w:rPr>
        <w:t>20</w:t>
      </w:r>
    </w:p>
    <w:p w:rsidR="00C833C7" w:rsidRPr="002928DA" w:rsidRDefault="00C833C7" w:rsidP="00C833C7">
      <w:pPr>
        <w:spacing w:before="440" w:after="240"/>
        <w:jc w:val="center"/>
        <w:rPr>
          <w:rFonts w:ascii="Arial" w:hAnsi="Arial" w:cs="Arial"/>
          <w:b/>
          <w:bCs/>
          <w:caps/>
          <w:sz w:val="26"/>
          <w:szCs w:val="26"/>
        </w:rPr>
      </w:pPr>
      <w:r w:rsidRPr="002928DA">
        <w:rPr>
          <w:rFonts w:ascii="Arial" w:hAnsi="Arial" w:cs="Arial"/>
          <w:b/>
          <w:bCs/>
          <w:caps/>
          <w:sz w:val="26"/>
          <w:szCs w:val="26"/>
        </w:rPr>
        <w:t>kupní Smlouva</w:t>
      </w:r>
    </w:p>
    <w:p w:rsidR="00C833C7" w:rsidRPr="002928DA" w:rsidRDefault="00C833C7" w:rsidP="00C833C7">
      <w:pPr>
        <w:spacing w:after="240"/>
        <w:jc w:val="center"/>
        <w:rPr>
          <w:rFonts w:ascii="Arial" w:hAnsi="Arial" w:cs="Arial"/>
          <w:b/>
          <w:caps/>
          <w:sz w:val="26"/>
          <w:szCs w:val="26"/>
        </w:rPr>
      </w:pPr>
      <w:r>
        <w:rPr>
          <w:rFonts w:ascii="Arial" w:hAnsi="Arial" w:cs="Arial"/>
          <w:b/>
          <w:bCs/>
          <w:sz w:val="26"/>
          <w:szCs w:val="26"/>
        </w:rPr>
        <w:t>„</w:t>
      </w:r>
      <w:r>
        <w:rPr>
          <w:rFonts w:ascii="Arial" w:eastAsia="Calibri" w:hAnsi="Arial" w:cs="Arial"/>
          <w:b/>
          <w:sz w:val="24"/>
          <w:szCs w:val="24"/>
        </w:rPr>
        <w:t>HW virtualizace</w:t>
      </w:r>
      <w:r w:rsidRPr="002928DA">
        <w:rPr>
          <w:rFonts w:ascii="Arial" w:hAnsi="Arial" w:cs="Arial"/>
          <w:b/>
          <w:bCs/>
          <w:sz w:val="26"/>
          <w:szCs w:val="26"/>
        </w:rPr>
        <w:t>“</w:t>
      </w:r>
    </w:p>
    <w:p w:rsidR="00C833C7" w:rsidRPr="00A13B73" w:rsidRDefault="00C833C7" w:rsidP="00C833C7">
      <w:pPr>
        <w:spacing w:after="240"/>
        <w:jc w:val="center"/>
        <w:rPr>
          <w:rFonts w:ascii="Arial" w:eastAsia="Calibri" w:hAnsi="Arial" w:cs="Arial"/>
          <w:sz w:val="22"/>
          <w:szCs w:val="22"/>
        </w:rPr>
      </w:pPr>
      <w:r w:rsidRPr="00A13B73">
        <w:rPr>
          <w:rFonts w:ascii="Arial" w:eastAsia="Calibri" w:hAnsi="Arial" w:cs="Arial"/>
          <w:sz w:val="22"/>
          <w:szCs w:val="22"/>
        </w:rPr>
        <w:t>uzavřená podle zákona č. 89/2012 Sb., občanský zákoník, ve znění pozdějších předpisů (dále jen „občanský zákoník“), a dle zákona č. 121/2000 Sb., zákona o právu autorském, o právech souvisejících s právem autorským a o změně některých zákonů, ve znění pozdějších předpisů, (dále jen „autorský zákon“)</w:t>
      </w:r>
    </w:p>
    <w:p w:rsidR="00C833C7" w:rsidRPr="00A13B73" w:rsidRDefault="00C833C7" w:rsidP="00C833C7">
      <w:pPr>
        <w:spacing w:before="240" w:after="240"/>
        <w:jc w:val="center"/>
        <w:rPr>
          <w:rFonts w:ascii="Arial" w:eastAsia="Calibri" w:hAnsi="Arial" w:cs="Arial"/>
          <w:b/>
          <w:sz w:val="22"/>
          <w:szCs w:val="22"/>
        </w:rPr>
      </w:pPr>
      <w:r w:rsidRPr="00A13B73">
        <w:rPr>
          <w:rFonts w:ascii="Arial" w:eastAsia="Calibri" w:hAnsi="Arial" w:cs="Arial"/>
          <w:b/>
          <w:sz w:val="22"/>
          <w:szCs w:val="22"/>
        </w:rPr>
        <w:t>Smluvní strany</w:t>
      </w:r>
    </w:p>
    <w:p w:rsidR="00C833C7" w:rsidRPr="00A13B73" w:rsidRDefault="00C833C7" w:rsidP="00C833C7">
      <w:pPr>
        <w:spacing w:after="120"/>
        <w:rPr>
          <w:rFonts w:ascii="Arial" w:eastAsia="Calibri" w:hAnsi="Arial" w:cs="Arial"/>
          <w:b/>
          <w:sz w:val="22"/>
          <w:szCs w:val="22"/>
        </w:rPr>
      </w:pPr>
      <w:r w:rsidRPr="00A13B73">
        <w:rPr>
          <w:rFonts w:ascii="Arial" w:eastAsia="Calibri" w:hAnsi="Arial" w:cs="Arial"/>
          <w:b/>
          <w:sz w:val="22"/>
          <w:szCs w:val="22"/>
        </w:rPr>
        <w:t>Česká republika - Úřad vlády České republiky</w:t>
      </w:r>
    </w:p>
    <w:p w:rsidR="00C833C7" w:rsidRPr="00A13B73" w:rsidRDefault="00C833C7" w:rsidP="00C833C7">
      <w:pPr>
        <w:tabs>
          <w:tab w:val="left" w:pos="1985"/>
        </w:tabs>
        <w:ind w:left="1980" w:hanging="1980"/>
        <w:rPr>
          <w:rFonts w:ascii="Arial" w:eastAsia="Calibri" w:hAnsi="Arial" w:cs="Arial"/>
          <w:sz w:val="22"/>
          <w:szCs w:val="22"/>
        </w:rPr>
      </w:pPr>
      <w:r w:rsidRPr="00A13B73">
        <w:rPr>
          <w:rFonts w:ascii="Arial" w:eastAsia="Calibri" w:hAnsi="Arial" w:cs="Arial"/>
          <w:sz w:val="22"/>
          <w:szCs w:val="22"/>
        </w:rPr>
        <w:t>kterou z</w:t>
      </w:r>
      <w:r>
        <w:rPr>
          <w:rFonts w:ascii="Arial" w:eastAsia="Calibri" w:hAnsi="Arial" w:cs="Arial"/>
          <w:sz w:val="22"/>
          <w:szCs w:val="22"/>
        </w:rPr>
        <w:t>astupuje:</w:t>
      </w:r>
      <w:r>
        <w:rPr>
          <w:rFonts w:ascii="Arial" w:eastAsia="Calibri" w:hAnsi="Arial" w:cs="Arial"/>
          <w:sz w:val="22"/>
          <w:szCs w:val="22"/>
        </w:rPr>
        <w:tab/>
        <w:t>Ing. Jitka Křupková</w:t>
      </w:r>
      <w:r w:rsidRPr="00A13B73">
        <w:rPr>
          <w:rFonts w:ascii="Arial" w:eastAsia="Calibri" w:hAnsi="Arial" w:cs="Arial"/>
          <w:sz w:val="22"/>
          <w:szCs w:val="22"/>
        </w:rPr>
        <w:t>,</w:t>
      </w:r>
      <w:r>
        <w:rPr>
          <w:rFonts w:ascii="Arial" w:eastAsia="Calibri" w:hAnsi="Arial" w:cs="Arial"/>
          <w:sz w:val="22"/>
          <w:szCs w:val="22"/>
        </w:rPr>
        <w:t xml:space="preserve"> ředitelka Odboru informatiky,</w:t>
      </w:r>
      <w:r w:rsidRPr="00A13B73">
        <w:rPr>
          <w:rFonts w:ascii="Arial" w:eastAsia="Calibri" w:hAnsi="Arial" w:cs="Arial"/>
          <w:sz w:val="22"/>
          <w:szCs w:val="22"/>
        </w:rPr>
        <w:t xml:space="preserve"> na základě vnitřního předpisu</w:t>
      </w:r>
    </w:p>
    <w:p w:rsidR="00A31330" w:rsidRPr="008D5017" w:rsidRDefault="00C833C7" w:rsidP="00A31330">
      <w:pPr>
        <w:spacing w:after="240"/>
        <w:ind w:left="1985" w:hanging="1985"/>
        <w:contextualSpacing/>
        <w:rPr>
          <w:rFonts w:ascii="Arial" w:hAnsi="Arial" w:cs="Arial"/>
        </w:rPr>
      </w:pPr>
      <w:r w:rsidRPr="00A13B73">
        <w:rPr>
          <w:rFonts w:ascii="Arial" w:eastAsia="Calibri" w:hAnsi="Arial" w:cs="Arial"/>
          <w:sz w:val="22"/>
          <w:szCs w:val="22"/>
        </w:rPr>
        <w:t>kontaktní osoba:</w:t>
      </w:r>
      <w:r w:rsidRPr="00A13B73">
        <w:rPr>
          <w:rFonts w:ascii="Arial" w:eastAsia="Calibri" w:hAnsi="Arial" w:cs="Arial"/>
          <w:sz w:val="22"/>
          <w:szCs w:val="22"/>
        </w:rPr>
        <w:tab/>
      </w:r>
      <w:r w:rsidR="00A31330" w:rsidRPr="00A31330">
        <w:rPr>
          <w:rFonts w:ascii="Arial" w:eastAsia="Calibri" w:hAnsi="Arial" w:cs="Arial"/>
          <w:sz w:val="22"/>
          <w:szCs w:val="22"/>
        </w:rPr>
        <w:t xml:space="preserve">Mgr. Ivan Metelka, vedoucí Oddělení systémové podpory, na základě vnitřního předpisu, e-mail: </w:t>
      </w:r>
      <w:r w:rsidR="00E10043">
        <w:rPr>
          <w:rFonts w:ascii="Arial" w:eastAsia="Calibri" w:hAnsi="Arial" w:cs="Arial"/>
          <w:sz w:val="22"/>
          <w:szCs w:val="22"/>
        </w:rPr>
        <w:t>XXXXX</w:t>
      </w:r>
      <w:r w:rsidR="00A31330" w:rsidRPr="00A31330">
        <w:rPr>
          <w:rFonts w:ascii="Arial" w:eastAsia="Calibri" w:hAnsi="Arial" w:cs="Arial"/>
          <w:sz w:val="22"/>
          <w:szCs w:val="22"/>
        </w:rPr>
        <w:t xml:space="preserve">, tel.: </w:t>
      </w:r>
      <w:r w:rsidR="00E10043">
        <w:rPr>
          <w:rFonts w:ascii="Arial" w:eastAsia="Calibri" w:hAnsi="Arial" w:cs="Arial"/>
          <w:sz w:val="22"/>
          <w:szCs w:val="22"/>
        </w:rPr>
        <w:t>XXXXX</w:t>
      </w:r>
    </w:p>
    <w:p w:rsidR="00C833C7" w:rsidRPr="00A13B73" w:rsidRDefault="00C833C7" w:rsidP="00C833C7">
      <w:pPr>
        <w:tabs>
          <w:tab w:val="left" w:pos="1985"/>
        </w:tabs>
        <w:rPr>
          <w:rFonts w:ascii="Arial" w:eastAsia="Calibri" w:hAnsi="Arial" w:cs="Arial"/>
          <w:sz w:val="22"/>
          <w:szCs w:val="22"/>
        </w:rPr>
      </w:pPr>
      <w:r w:rsidRPr="00A13B73">
        <w:rPr>
          <w:rFonts w:ascii="Arial" w:eastAsia="Calibri" w:hAnsi="Arial" w:cs="Arial"/>
          <w:sz w:val="22"/>
          <w:szCs w:val="22"/>
        </w:rPr>
        <w:t>se sídlem:</w:t>
      </w:r>
      <w:r w:rsidRPr="00A13B73">
        <w:rPr>
          <w:rFonts w:ascii="Arial" w:eastAsia="Calibri" w:hAnsi="Arial" w:cs="Arial"/>
          <w:sz w:val="22"/>
          <w:szCs w:val="22"/>
        </w:rPr>
        <w:tab/>
        <w:t>nábřeží Edvarda Beneše 128/4, 118 01 Praha 1 - Malá Strana</w:t>
      </w:r>
    </w:p>
    <w:p w:rsidR="00C833C7" w:rsidRPr="00A13B73" w:rsidRDefault="00C833C7" w:rsidP="00C833C7">
      <w:pPr>
        <w:tabs>
          <w:tab w:val="left" w:pos="1985"/>
        </w:tabs>
        <w:rPr>
          <w:rFonts w:ascii="Arial" w:eastAsia="Calibri" w:hAnsi="Arial" w:cs="Arial"/>
          <w:sz w:val="22"/>
          <w:szCs w:val="22"/>
        </w:rPr>
      </w:pPr>
      <w:r w:rsidRPr="00A13B73">
        <w:rPr>
          <w:rFonts w:ascii="Arial" w:eastAsia="Calibri" w:hAnsi="Arial" w:cs="Arial"/>
          <w:sz w:val="22"/>
          <w:szCs w:val="22"/>
        </w:rPr>
        <w:t>IČO:</w:t>
      </w:r>
      <w:r w:rsidRPr="00A13B73">
        <w:rPr>
          <w:rFonts w:ascii="Arial" w:eastAsia="Calibri" w:hAnsi="Arial" w:cs="Arial"/>
          <w:sz w:val="22"/>
          <w:szCs w:val="22"/>
        </w:rPr>
        <w:tab/>
        <w:t>00006599</w:t>
      </w:r>
    </w:p>
    <w:p w:rsidR="00C833C7" w:rsidRPr="00A13B73" w:rsidRDefault="00C833C7" w:rsidP="00C833C7">
      <w:pPr>
        <w:tabs>
          <w:tab w:val="left" w:pos="1985"/>
        </w:tabs>
        <w:rPr>
          <w:rFonts w:ascii="Arial" w:eastAsia="Calibri" w:hAnsi="Arial" w:cs="Arial"/>
          <w:sz w:val="22"/>
          <w:szCs w:val="22"/>
        </w:rPr>
      </w:pPr>
      <w:r w:rsidRPr="00A13B73">
        <w:rPr>
          <w:rFonts w:ascii="Arial" w:eastAsia="Calibri" w:hAnsi="Arial" w:cs="Arial"/>
          <w:sz w:val="22"/>
          <w:szCs w:val="22"/>
        </w:rPr>
        <w:t>DIČ:</w:t>
      </w:r>
      <w:r w:rsidRPr="00A13B73">
        <w:rPr>
          <w:rFonts w:ascii="Arial" w:eastAsia="Calibri" w:hAnsi="Arial" w:cs="Arial"/>
          <w:sz w:val="22"/>
          <w:szCs w:val="22"/>
        </w:rPr>
        <w:tab/>
        <w:t>CZ00006599</w:t>
      </w:r>
    </w:p>
    <w:p w:rsidR="00C833C7" w:rsidRPr="00A13B73" w:rsidRDefault="00C833C7" w:rsidP="00C833C7">
      <w:pPr>
        <w:tabs>
          <w:tab w:val="left" w:pos="1985"/>
        </w:tabs>
        <w:spacing w:after="120"/>
        <w:rPr>
          <w:rFonts w:ascii="Arial" w:eastAsia="Calibri" w:hAnsi="Arial" w:cs="Arial"/>
          <w:sz w:val="22"/>
          <w:szCs w:val="22"/>
        </w:rPr>
      </w:pPr>
      <w:r w:rsidRPr="00A13B73">
        <w:rPr>
          <w:rFonts w:ascii="Arial" w:eastAsia="Calibri" w:hAnsi="Arial" w:cs="Arial"/>
          <w:sz w:val="22"/>
          <w:szCs w:val="22"/>
        </w:rPr>
        <w:t>bankovní spojení:</w:t>
      </w:r>
      <w:r w:rsidRPr="00A13B73">
        <w:rPr>
          <w:rFonts w:ascii="Arial" w:eastAsia="Calibri" w:hAnsi="Arial" w:cs="Arial"/>
          <w:sz w:val="22"/>
          <w:szCs w:val="22"/>
        </w:rPr>
        <w:tab/>
        <w:t>ČNB Praha, účet č.: 4320001/0710</w:t>
      </w:r>
    </w:p>
    <w:p w:rsidR="00C833C7" w:rsidRPr="00A13B73" w:rsidRDefault="00C833C7" w:rsidP="00C833C7">
      <w:pPr>
        <w:spacing w:after="240"/>
        <w:rPr>
          <w:rFonts w:ascii="Arial" w:eastAsia="Calibri" w:hAnsi="Arial" w:cs="Arial"/>
          <w:sz w:val="22"/>
          <w:szCs w:val="22"/>
        </w:rPr>
      </w:pPr>
      <w:r w:rsidRPr="00A13B73">
        <w:rPr>
          <w:rFonts w:ascii="Arial" w:eastAsia="Calibri" w:hAnsi="Arial" w:cs="Arial"/>
          <w:sz w:val="22"/>
          <w:szCs w:val="22"/>
        </w:rPr>
        <w:t>(dále jen „kupující“)</w:t>
      </w:r>
    </w:p>
    <w:p w:rsidR="00C833C7" w:rsidRPr="00A13B73" w:rsidRDefault="00C833C7" w:rsidP="00C833C7">
      <w:pPr>
        <w:spacing w:after="240"/>
        <w:rPr>
          <w:rFonts w:ascii="Arial" w:eastAsia="Calibri" w:hAnsi="Arial" w:cs="Arial"/>
          <w:sz w:val="22"/>
          <w:szCs w:val="22"/>
        </w:rPr>
      </w:pPr>
      <w:r w:rsidRPr="00A13B73">
        <w:rPr>
          <w:rFonts w:ascii="Arial" w:eastAsia="Calibri" w:hAnsi="Arial" w:cs="Arial"/>
          <w:sz w:val="22"/>
          <w:szCs w:val="22"/>
        </w:rPr>
        <w:t>a</w:t>
      </w:r>
    </w:p>
    <w:p w:rsidR="00E153EA" w:rsidRPr="00046DB1" w:rsidRDefault="00E153EA" w:rsidP="00E153EA">
      <w:pPr>
        <w:spacing w:after="120"/>
        <w:rPr>
          <w:rFonts w:ascii="Arial" w:eastAsia="Calibri" w:hAnsi="Arial" w:cs="Arial"/>
          <w:b/>
          <w:sz w:val="22"/>
          <w:szCs w:val="22"/>
        </w:rPr>
      </w:pPr>
      <w:r w:rsidRPr="00046DB1">
        <w:rPr>
          <w:rFonts w:ascii="Arial" w:eastAsia="Calibri" w:hAnsi="Arial" w:cs="Arial"/>
          <w:b/>
          <w:sz w:val="22"/>
          <w:szCs w:val="22"/>
        </w:rPr>
        <w:t>Data Force, s.r.o.</w:t>
      </w:r>
    </w:p>
    <w:p w:rsidR="00E153EA" w:rsidRPr="00A13B73" w:rsidRDefault="00E153EA" w:rsidP="00E153EA">
      <w:pPr>
        <w:tabs>
          <w:tab w:val="left" w:pos="1985"/>
        </w:tabs>
        <w:ind w:left="1980" w:hanging="1980"/>
        <w:rPr>
          <w:rFonts w:ascii="Arial" w:eastAsia="Calibri" w:hAnsi="Arial" w:cs="Arial"/>
          <w:sz w:val="22"/>
          <w:szCs w:val="22"/>
        </w:rPr>
      </w:pPr>
      <w:r w:rsidRPr="00A13B73">
        <w:rPr>
          <w:rFonts w:ascii="Arial" w:eastAsia="Calibri" w:hAnsi="Arial" w:cs="Arial"/>
          <w:sz w:val="22"/>
          <w:szCs w:val="22"/>
        </w:rPr>
        <w:t>kterou zastupuje:</w:t>
      </w:r>
      <w:r w:rsidRPr="00A13B73">
        <w:rPr>
          <w:rFonts w:ascii="Arial" w:eastAsia="Calibri" w:hAnsi="Arial" w:cs="Arial"/>
          <w:sz w:val="22"/>
          <w:szCs w:val="22"/>
        </w:rPr>
        <w:tab/>
      </w:r>
      <w:r w:rsidRPr="00046DB1">
        <w:rPr>
          <w:rFonts w:ascii="Arial" w:eastAsia="Calibri" w:hAnsi="Arial" w:cs="Arial"/>
          <w:sz w:val="22"/>
          <w:szCs w:val="22"/>
        </w:rPr>
        <w:t>Vlastimil Srna, jednatel</w:t>
      </w:r>
    </w:p>
    <w:p w:rsidR="00E153EA" w:rsidRPr="00A13B73" w:rsidRDefault="00E153EA" w:rsidP="00E153EA">
      <w:pPr>
        <w:tabs>
          <w:tab w:val="left" w:pos="1985"/>
        </w:tabs>
        <w:ind w:left="1980" w:hanging="1980"/>
        <w:rPr>
          <w:rFonts w:ascii="Arial" w:eastAsia="Calibri" w:hAnsi="Arial" w:cs="Arial"/>
          <w:sz w:val="22"/>
          <w:szCs w:val="22"/>
        </w:rPr>
      </w:pPr>
      <w:r w:rsidRPr="00A13B73">
        <w:rPr>
          <w:rFonts w:ascii="Arial" w:eastAsia="Calibri" w:hAnsi="Arial" w:cs="Arial"/>
          <w:sz w:val="22"/>
          <w:szCs w:val="22"/>
        </w:rPr>
        <w:t>kontaktní osoba:</w:t>
      </w:r>
      <w:r w:rsidRPr="00A13B73">
        <w:rPr>
          <w:rFonts w:ascii="Arial" w:eastAsia="Calibri" w:hAnsi="Arial" w:cs="Arial"/>
          <w:sz w:val="22"/>
          <w:szCs w:val="22"/>
        </w:rPr>
        <w:tab/>
      </w:r>
      <w:r w:rsidRPr="00046DB1">
        <w:rPr>
          <w:rFonts w:ascii="Arial" w:eastAsia="Calibri" w:hAnsi="Arial" w:cs="Arial"/>
          <w:sz w:val="22"/>
          <w:szCs w:val="22"/>
        </w:rPr>
        <w:t xml:space="preserve">Vratislav Plný, e-mail: </w:t>
      </w:r>
      <w:r w:rsidR="00E10043">
        <w:rPr>
          <w:rFonts w:ascii="Arial" w:eastAsia="Calibri" w:hAnsi="Arial" w:cs="Arial"/>
          <w:sz w:val="22"/>
          <w:szCs w:val="22"/>
        </w:rPr>
        <w:t>XXXXX</w:t>
      </w:r>
      <w:r w:rsidRPr="00046DB1">
        <w:rPr>
          <w:rFonts w:ascii="Arial" w:eastAsia="Calibri" w:hAnsi="Arial" w:cs="Arial"/>
          <w:sz w:val="22"/>
          <w:szCs w:val="22"/>
        </w:rPr>
        <w:t xml:space="preserve">, tel.: </w:t>
      </w:r>
      <w:r w:rsidR="00E10043">
        <w:rPr>
          <w:rFonts w:ascii="Arial" w:eastAsia="Calibri" w:hAnsi="Arial" w:cs="Arial"/>
          <w:sz w:val="22"/>
          <w:szCs w:val="22"/>
        </w:rPr>
        <w:t>XXXXX</w:t>
      </w:r>
    </w:p>
    <w:p w:rsidR="00E153EA" w:rsidRPr="00A13B73" w:rsidRDefault="00E153EA" w:rsidP="00E153EA">
      <w:pPr>
        <w:tabs>
          <w:tab w:val="left" w:pos="1985"/>
        </w:tabs>
        <w:ind w:left="1980" w:hanging="1980"/>
        <w:rPr>
          <w:rFonts w:ascii="Arial" w:eastAsia="Calibri" w:hAnsi="Arial" w:cs="Arial"/>
          <w:sz w:val="22"/>
          <w:szCs w:val="22"/>
        </w:rPr>
      </w:pPr>
      <w:r w:rsidRPr="00A13B73">
        <w:rPr>
          <w:rFonts w:ascii="Arial" w:eastAsia="Calibri" w:hAnsi="Arial" w:cs="Arial"/>
          <w:sz w:val="22"/>
          <w:szCs w:val="22"/>
        </w:rPr>
        <w:t>se sídlem:</w:t>
      </w:r>
      <w:r w:rsidRPr="00A13B73">
        <w:rPr>
          <w:rFonts w:ascii="Arial" w:eastAsia="Calibri" w:hAnsi="Arial" w:cs="Arial"/>
          <w:sz w:val="22"/>
          <w:szCs w:val="22"/>
        </w:rPr>
        <w:tab/>
      </w:r>
      <w:r w:rsidRPr="00046DB1">
        <w:rPr>
          <w:rFonts w:ascii="Arial" w:eastAsia="Calibri" w:hAnsi="Arial" w:cs="Arial"/>
          <w:sz w:val="22"/>
          <w:szCs w:val="22"/>
        </w:rPr>
        <w:t>Lužná 716/2, 160 00 Praha 6 - Vokovice</w:t>
      </w:r>
    </w:p>
    <w:p w:rsidR="00E153EA" w:rsidRPr="00A13B73" w:rsidRDefault="00E153EA" w:rsidP="00E153EA">
      <w:pPr>
        <w:tabs>
          <w:tab w:val="left" w:pos="1985"/>
        </w:tabs>
        <w:ind w:left="1980" w:hanging="1980"/>
        <w:rPr>
          <w:rFonts w:ascii="Arial" w:eastAsia="Calibri" w:hAnsi="Arial" w:cs="Arial"/>
          <w:sz w:val="22"/>
          <w:szCs w:val="22"/>
        </w:rPr>
      </w:pPr>
      <w:r w:rsidRPr="00A13B73">
        <w:rPr>
          <w:rFonts w:ascii="Arial" w:eastAsia="Calibri" w:hAnsi="Arial" w:cs="Arial"/>
          <w:sz w:val="22"/>
          <w:szCs w:val="22"/>
        </w:rPr>
        <w:t>IČO:</w:t>
      </w:r>
      <w:r w:rsidRPr="00A13B73">
        <w:rPr>
          <w:rFonts w:ascii="Arial" w:eastAsia="Calibri" w:hAnsi="Arial" w:cs="Arial"/>
          <w:sz w:val="22"/>
          <w:szCs w:val="22"/>
        </w:rPr>
        <w:tab/>
      </w:r>
      <w:r w:rsidRPr="00046DB1">
        <w:rPr>
          <w:rFonts w:ascii="Arial" w:eastAsia="Calibri" w:hAnsi="Arial" w:cs="Arial"/>
          <w:sz w:val="22"/>
          <w:szCs w:val="22"/>
        </w:rPr>
        <w:t>02967171</w:t>
      </w:r>
    </w:p>
    <w:p w:rsidR="00E153EA" w:rsidRPr="00A13B73" w:rsidRDefault="00E153EA" w:rsidP="00E153EA">
      <w:pPr>
        <w:tabs>
          <w:tab w:val="left" w:pos="1985"/>
        </w:tabs>
        <w:ind w:left="1980" w:hanging="1980"/>
        <w:rPr>
          <w:rFonts w:ascii="Arial" w:eastAsia="Calibri" w:hAnsi="Arial" w:cs="Arial"/>
          <w:sz w:val="22"/>
          <w:szCs w:val="22"/>
        </w:rPr>
      </w:pPr>
      <w:r w:rsidRPr="00A13B73">
        <w:rPr>
          <w:rFonts w:ascii="Arial" w:eastAsia="Calibri" w:hAnsi="Arial" w:cs="Arial"/>
          <w:sz w:val="22"/>
          <w:szCs w:val="22"/>
        </w:rPr>
        <w:t>DIČ:</w:t>
      </w:r>
      <w:r w:rsidRPr="00A13B73">
        <w:rPr>
          <w:rFonts w:ascii="Arial" w:eastAsia="Calibri" w:hAnsi="Arial" w:cs="Arial"/>
          <w:sz w:val="22"/>
          <w:szCs w:val="22"/>
        </w:rPr>
        <w:tab/>
      </w:r>
      <w:r w:rsidRPr="00046DB1">
        <w:rPr>
          <w:rFonts w:ascii="Arial" w:eastAsia="Calibri" w:hAnsi="Arial" w:cs="Arial"/>
          <w:sz w:val="22"/>
          <w:szCs w:val="22"/>
        </w:rPr>
        <w:t>CZ02967171</w:t>
      </w:r>
    </w:p>
    <w:p w:rsidR="00E153EA" w:rsidRPr="00046DB1" w:rsidRDefault="00E153EA" w:rsidP="00E153EA">
      <w:pPr>
        <w:tabs>
          <w:tab w:val="left" w:pos="1985"/>
        </w:tabs>
        <w:ind w:left="1980" w:hanging="1980"/>
        <w:rPr>
          <w:rFonts w:ascii="Arial" w:eastAsia="Calibri" w:hAnsi="Arial" w:cs="Arial"/>
          <w:sz w:val="22"/>
          <w:szCs w:val="22"/>
        </w:rPr>
      </w:pPr>
      <w:r w:rsidRPr="00A13B73">
        <w:rPr>
          <w:rFonts w:ascii="Arial" w:eastAsia="Calibri" w:hAnsi="Arial" w:cs="Arial"/>
          <w:sz w:val="22"/>
          <w:szCs w:val="22"/>
        </w:rPr>
        <w:t>bankovní spojení:</w:t>
      </w:r>
      <w:r w:rsidRPr="00A13B73">
        <w:rPr>
          <w:rFonts w:ascii="Arial" w:eastAsia="Calibri" w:hAnsi="Arial" w:cs="Arial"/>
          <w:sz w:val="22"/>
          <w:szCs w:val="22"/>
        </w:rPr>
        <w:tab/>
      </w:r>
      <w:r w:rsidRPr="00046DB1">
        <w:rPr>
          <w:rFonts w:ascii="Arial" w:eastAsia="Calibri" w:hAnsi="Arial" w:cs="Arial"/>
          <w:sz w:val="22"/>
          <w:szCs w:val="22"/>
        </w:rPr>
        <w:t>ČSOB Praha, a.s., účet č.: 264817081/0300</w:t>
      </w:r>
    </w:p>
    <w:p w:rsidR="00E153EA" w:rsidRPr="00A13B73" w:rsidRDefault="00E153EA" w:rsidP="00E153EA">
      <w:pPr>
        <w:tabs>
          <w:tab w:val="left" w:pos="1985"/>
        </w:tabs>
        <w:ind w:left="1980" w:hanging="1980"/>
        <w:rPr>
          <w:rFonts w:ascii="Arial" w:eastAsia="Calibri" w:hAnsi="Arial" w:cs="Arial"/>
          <w:sz w:val="22"/>
          <w:szCs w:val="22"/>
        </w:rPr>
      </w:pPr>
    </w:p>
    <w:p w:rsidR="00E153EA" w:rsidRPr="00046DB1" w:rsidRDefault="00E153EA" w:rsidP="00E153EA">
      <w:pPr>
        <w:spacing w:after="120"/>
        <w:rPr>
          <w:rFonts w:ascii="Arial" w:eastAsia="Calibri" w:hAnsi="Arial" w:cs="Arial"/>
          <w:sz w:val="22"/>
          <w:szCs w:val="22"/>
        </w:rPr>
      </w:pPr>
      <w:r w:rsidRPr="00A13B73">
        <w:rPr>
          <w:rFonts w:ascii="Arial" w:eastAsia="Calibri" w:hAnsi="Arial" w:cs="Arial"/>
          <w:sz w:val="22"/>
          <w:szCs w:val="22"/>
        </w:rPr>
        <w:t xml:space="preserve">Společnost je zapsaná </w:t>
      </w:r>
      <w:r w:rsidRPr="00A13B73">
        <w:rPr>
          <w:rFonts w:ascii="Arial" w:eastAsia="Calibri" w:hAnsi="Arial" w:cs="Arial"/>
          <w:bCs/>
          <w:sz w:val="22"/>
          <w:szCs w:val="22"/>
        </w:rPr>
        <w:t xml:space="preserve">v obchodním </w:t>
      </w:r>
      <w:r w:rsidRPr="00A13B73">
        <w:rPr>
          <w:rFonts w:ascii="Arial" w:eastAsia="Calibri" w:hAnsi="Arial" w:cs="Arial"/>
          <w:sz w:val="22"/>
          <w:szCs w:val="22"/>
        </w:rPr>
        <w:t xml:space="preserve">rejstříku u </w:t>
      </w:r>
      <w:r w:rsidRPr="00046DB1">
        <w:rPr>
          <w:rFonts w:ascii="Arial" w:eastAsia="Calibri" w:hAnsi="Arial" w:cs="Arial"/>
          <w:sz w:val="22"/>
          <w:szCs w:val="22"/>
        </w:rPr>
        <w:t>Městského soudu v Praze, oddíl C, vložka č. 225785</w:t>
      </w:r>
    </w:p>
    <w:p w:rsidR="00C833C7" w:rsidRPr="00A13B73" w:rsidRDefault="00E153EA" w:rsidP="00E153EA">
      <w:pPr>
        <w:spacing w:after="240"/>
        <w:rPr>
          <w:rFonts w:ascii="Arial" w:eastAsia="Calibri" w:hAnsi="Arial" w:cs="Arial"/>
          <w:b/>
          <w:sz w:val="22"/>
          <w:szCs w:val="22"/>
        </w:rPr>
      </w:pPr>
      <w:r w:rsidRPr="00A13B73">
        <w:rPr>
          <w:rFonts w:ascii="Arial" w:eastAsia="Calibri" w:hAnsi="Arial" w:cs="Arial"/>
          <w:sz w:val="22"/>
          <w:szCs w:val="22"/>
        </w:rPr>
        <w:t xml:space="preserve"> </w:t>
      </w:r>
      <w:r w:rsidR="00C833C7" w:rsidRPr="00A13B73">
        <w:rPr>
          <w:rFonts w:ascii="Arial" w:eastAsia="Calibri" w:hAnsi="Arial" w:cs="Arial"/>
          <w:sz w:val="22"/>
          <w:szCs w:val="22"/>
        </w:rPr>
        <w:t>(dále jen „prodávající“)</w:t>
      </w:r>
    </w:p>
    <w:p w:rsidR="00C833C7" w:rsidRPr="00C93046" w:rsidRDefault="00C833C7" w:rsidP="00C833C7">
      <w:pPr>
        <w:spacing w:after="240"/>
        <w:rPr>
          <w:rFonts w:ascii="Arial" w:eastAsia="Calibri" w:hAnsi="Arial" w:cs="Arial"/>
          <w:sz w:val="22"/>
          <w:szCs w:val="22"/>
        </w:rPr>
      </w:pPr>
      <w:r w:rsidRPr="00A13B73">
        <w:rPr>
          <w:rFonts w:ascii="Arial" w:eastAsia="Calibri" w:hAnsi="Arial" w:cs="Arial"/>
          <w:sz w:val="22"/>
          <w:szCs w:val="22"/>
        </w:rPr>
        <w:t>Smlouva je uzavírána v souladu s nabídkou prodávajícího a rozhodnutím kupujícího</w:t>
      </w:r>
      <w:r>
        <w:rPr>
          <w:rFonts w:ascii="Arial" w:eastAsia="Calibri" w:hAnsi="Arial" w:cs="Arial"/>
          <w:sz w:val="22"/>
          <w:szCs w:val="22"/>
        </w:rPr>
        <w:t xml:space="preserve"> jako zadavatele </w:t>
      </w:r>
      <w:r w:rsidRPr="00A13B73">
        <w:rPr>
          <w:rFonts w:ascii="Arial" w:eastAsia="Calibri" w:hAnsi="Arial" w:cs="Arial"/>
          <w:sz w:val="22"/>
          <w:szCs w:val="22"/>
        </w:rPr>
        <w:t xml:space="preserve">o výběru nejvýhodnější nabídky v zadávacím řízení </w:t>
      </w:r>
      <w:r w:rsidR="00E153EA">
        <w:rPr>
          <w:rFonts w:ascii="Arial" w:eastAsia="Calibri" w:hAnsi="Arial" w:cs="Arial"/>
          <w:sz w:val="22"/>
          <w:szCs w:val="22"/>
        </w:rPr>
        <w:t xml:space="preserve">podlimitní veřejné zakázky </w:t>
      </w:r>
      <w:r w:rsidR="00E153EA">
        <w:rPr>
          <w:rFonts w:ascii="Arial" w:eastAsia="Calibri" w:hAnsi="Arial" w:cs="Arial"/>
          <w:sz w:val="22"/>
          <w:szCs w:val="22"/>
        </w:rPr>
        <w:br/>
        <w:t xml:space="preserve">sp. </w:t>
      </w:r>
      <w:r>
        <w:rPr>
          <w:rFonts w:ascii="Arial" w:eastAsia="Calibri" w:hAnsi="Arial" w:cs="Arial"/>
          <w:sz w:val="22"/>
          <w:szCs w:val="22"/>
        </w:rPr>
        <w:t>zn.: 15827/2023</w:t>
      </w:r>
      <w:r w:rsidRPr="00C63282">
        <w:rPr>
          <w:rFonts w:ascii="Arial" w:eastAsia="Calibri" w:hAnsi="Arial" w:cs="Arial"/>
          <w:sz w:val="22"/>
          <w:szCs w:val="22"/>
        </w:rPr>
        <w:t>-UVCR</w:t>
      </w:r>
      <w:r w:rsidRPr="00A13B73">
        <w:rPr>
          <w:rFonts w:ascii="Arial" w:eastAsia="Calibri" w:hAnsi="Arial" w:cs="Arial"/>
          <w:sz w:val="22"/>
          <w:szCs w:val="22"/>
        </w:rPr>
        <w:t>, s názvem „</w:t>
      </w:r>
      <w:r>
        <w:rPr>
          <w:rFonts w:ascii="Arial" w:eastAsia="Calibri" w:hAnsi="Arial" w:cs="Arial"/>
          <w:sz w:val="22"/>
          <w:szCs w:val="22"/>
        </w:rPr>
        <w:t>HW virtualizace</w:t>
      </w:r>
      <w:r w:rsidRPr="00A13B73">
        <w:rPr>
          <w:rFonts w:ascii="Arial" w:eastAsia="Calibri" w:hAnsi="Arial" w:cs="Arial"/>
          <w:sz w:val="22"/>
          <w:szCs w:val="22"/>
        </w:rPr>
        <w:t>“</w:t>
      </w:r>
      <w:r w:rsidRPr="00893602">
        <w:rPr>
          <w:rFonts w:ascii="Arial" w:hAnsi="Arial" w:cs="Arial"/>
          <w:sz w:val="22"/>
          <w:szCs w:val="22"/>
        </w:rPr>
        <w:t>, ve smyslu podmínek a ustanovení uvedených v</w:t>
      </w:r>
      <w:r>
        <w:rPr>
          <w:rFonts w:ascii="Arial" w:hAnsi="Arial" w:cs="Arial"/>
          <w:sz w:val="22"/>
          <w:szCs w:val="22"/>
        </w:rPr>
        <w:t> </w:t>
      </w:r>
      <w:r w:rsidRPr="00893602">
        <w:rPr>
          <w:rFonts w:ascii="Arial" w:hAnsi="Arial" w:cs="Arial"/>
          <w:sz w:val="22"/>
          <w:szCs w:val="22"/>
        </w:rPr>
        <w:t>kompletní zadávací dokumentaci</w:t>
      </w:r>
      <w:r>
        <w:rPr>
          <w:rFonts w:ascii="Arial" w:hAnsi="Arial" w:cs="Arial"/>
          <w:sz w:val="22"/>
          <w:szCs w:val="22"/>
        </w:rPr>
        <w:t xml:space="preserve"> </w:t>
      </w:r>
      <w:r w:rsidRPr="00893602">
        <w:rPr>
          <w:rFonts w:ascii="Arial" w:hAnsi="Arial" w:cs="Arial"/>
          <w:sz w:val="22"/>
          <w:szCs w:val="22"/>
        </w:rPr>
        <w:t>(dále jen „smlouva“).</w:t>
      </w:r>
    </w:p>
    <w:p w:rsidR="00C833C7" w:rsidRPr="000A21C5" w:rsidRDefault="00C833C7" w:rsidP="00C833C7">
      <w:pPr>
        <w:spacing w:before="480"/>
        <w:jc w:val="center"/>
        <w:rPr>
          <w:rFonts w:ascii="Arial" w:hAnsi="Arial" w:cs="Arial"/>
          <w:b/>
          <w:sz w:val="24"/>
        </w:rPr>
      </w:pPr>
      <w:r w:rsidRPr="00511591">
        <w:rPr>
          <w:rFonts w:ascii="Arial" w:hAnsi="Arial" w:cs="Arial"/>
          <w:b/>
          <w:bCs/>
          <w:sz w:val="22"/>
          <w:szCs w:val="22"/>
        </w:rPr>
        <w:t>Čl</w:t>
      </w:r>
      <w:r>
        <w:rPr>
          <w:rFonts w:ascii="Arial" w:hAnsi="Arial" w:cs="Arial"/>
          <w:b/>
          <w:bCs/>
          <w:sz w:val="22"/>
          <w:szCs w:val="22"/>
        </w:rPr>
        <w:t>ánek</w:t>
      </w:r>
      <w:r w:rsidRPr="00511591">
        <w:rPr>
          <w:rFonts w:ascii="Arial" w:hAnsi="Arial" w:cs="Arial"/>
          <w:b/>
          <w:bCs/>
          <w:sz w:val="22"/>
          <w:szCs w:val="22"/>
        </w:rPr>
        <w:t xml:space="preserve"> </w:t>
      </w:r>
      <w:r>
        <w:rPr>
          <w:rFonts w:ascii="Arial" w:hAnsi="Arial" w:cs="Arial"/>
          <w:b/>
          <w:sz w:val="24"/>
        </w:rPr>
        <w:t>I.</w:t>
      </w:r>
    </w:p>
    <w:p w:rsidR="00C833C7" w:rsidRPr="00E8629E" w:rsidRDefault="00C833C7" w:rsidP="00C833C7">
      <w:pPr>
        <w:pStyle w:val="Nadpis2"/>
        <w:spacing w:before="0" w:after="240"/>
        <w:jc w:val="center"/>
        <w:rPr>
          <w:rFonts w:ascii="Arial" w:hAnsi="Arial" w:cs="Arial"/>
          <w:i w:val="0"/>
          <w:sz w:val="22"/>
          <w:szCs w:val="22"/>
        </w:rPr>
      </w:pPr>
      <w:r w:rsidRPr="00E8629E">
        <w:rPr>
          <w:rFonts w:ascii="Arial" w:hAnsi="Arial" w:cs="Arial"/>
          <w:i w:val="0"/>
          <w:sz w:val="22"/>
          <w:szCs w:val="22"/>
        </w:rPr>
        <w:t>Předmět smlouvy a účel smlouvy</w:t>
      </w:r>
    </w:p>
    <w:p w:rsidR="00C833C7" w:rsidRDefault="00C833C7" w:rsidP="00C833C7">
      <w:pPr>
        <w:pStyle w:val="Odstavecseseznamem"/>
        <w:numPr>
          <w:ilvl w:val="3"/>
          <w:numId w:val="17"/>
        </w:numPr>
        <w:spacing w:after="120"/>
        <w:ind w:left="284"/>
        <w:rPr>
          <w:rFonts w:ascii="Arial" w:hAnsi="Arial" w:cs="Arial"/>
          <w:sz w:val="22"/>
          <w:szCs w:val="22"/>
        </w:rPr>
      </w:pPr>
      <w:r w:rsidRPr="00C93046">
        <w:rPr>
          <w:rFonts w:ascii="Arial" w:hAnsi="Arial" w:cs="Arial"/>
          <w:bCs/>
          <w:sz w:val="22"/>
          <w:szCs w:val="22"/>
        </w:rPr>
        <w:t xml:space="preserve">Předmětem této smlouvy je závazek prodávajícího dodat kupujícímu </w:t>
      </w:r>
      <w:r w:rsidRPr="00C93046">
        <w:rPr>
          <w:rFonts w:ascii="Arial" w:hAnsi="Arial" w:cs="Arial"/>
          <w:sz w:val="22"/>
          <w:szCs w:val="22"/>
        </w:rPr>
        <w:t>nový HW pro zajištění obměny technických prostředků virtualizačního prostředí na hlavní lokalitě Úřadu vlády ČR.</w:t>
      </w:r>
      <w:r>
        <w:rPr>
          <w:rFonts w:ascii="Arial" w:hAnsi="Arial" w:cs="Arial"/>
          <w:sz w:val="22"/>
          <w:szCs w:val="22"/>
        </w:rPr>
        <w:t xml:space="preserve"> </w:t>
      </w:r>
      <w:r w:rsidRPr="00C93046">
        <w:rPr>
          <w:rFonts w:ascii="Arial" w:hAnsi="Arial" w:cs="Arial"/>
          <w:sz w:val="22"/>
          <w:szCs w:val="22"/>
        </w:rPr>
        <w:t xml:space="preserve">Nové virtualizační produkční prostředí bude budováno na blade technologii (jednotlivé HW komponenty </w:t>
      </w:r>
      <w:r w:rsidRPr="00C93046">
        <w:rPr>
          <w:rFonts w:ascii="Arial" w:hAnsi="Arial" w:cs="Arial"/>
          <w:sz w:val="22"/>
          <w:szCs w:val="22"/>
        </w:rPr>
        <w:lastRenderedPageBreak/>
        <w:t xml:space="preserve">jsou osazovány do společného šasi a sdílí vysoce výkonnou redundantní sběrnici a napájení, umožňuje konsolidaci vstupních a výstupních portů). </w:t>
      </w:r>
    </w:p>
    <w:p w:rsidR="00C833C7" w:rsidRDefault="00C833C7" w:rsidP="00C833C7">
      <w:pPr>
        <w:pStyle w:val="Odstavecseseznamem"/>
        <w:numPr>
          <w:ilvl w:val="3"/>
          <w:numId w:val="17"/>
        </w:numPr>
        <w:spacing w:after="120"/>
        <w:ind w:left="283" w:hanging="357"/>
        <w:contextualSpacing w:val="0"/>
        <w:rPr>
          <w:rFonts w:ascii="Arial" w:hAnsi="Arial" w:cs="Arial"/>
          <w:sz w:val="22"/>
          <w:szCs w:val="22"/>
        </w:rPr>
      </w:pPr>
      <w:r>
        <w:rPr>
          <w:rFonts w:ascii="Arial" w:hAnsi="Arial" w:cs="Arial"/>
          <w:bCs/>
          <w:sz w:val="22"/>
          <w:szCs w:val="22"/>
        </w:rPr>
        <w:t>Součástí předmětu této smlouvy je pořízení</w:t>
      </w:r>
      <w:r w:rsidRPr="00C93046">
        <w:rPr>
          <w:rFonts w:ascii="Arial" w:hAnsi="Arial" w:cs="Arial"/>
          <w:sz w:val="22"/>
          <w:szCs w:val="22"/>
        </w:rPr>
        <w:t xml:space="preserve"> blade šasi, do </w:t>
      </w:r>
      <w:r w:rsidRPr="00910F0A">
        <w:rPr>
          <w:rFonts w:ascii="Arial" w:hAnsi="Arial" w:cs="Arial"/>
          <w:sz w:val="22"/>
          <w:szCs w:val="22"/>
        </w:rPr>
        <w:t xml:space="preserve">uvedeného šasi bude osazeno 6 serverů a 2 </w:t>
      </w:r>
      <w:r w:rsidRPr="00C93046">
        <w:rPr>
          <w:rFonts w:ascii="Arial" w:hAnsi="Arial" w:cs="Arial"/>
          <w:sz w:val="22"/>
          <w:szCs w:val="22"/>
        </w:rPr>
        <w:t xml:space="preserve">přepínače. Na veškerý dodaný HW </w:t>
      </w:r>
      <w:r>
        <w:rPr>
          <w:rFonts w:ascii="Arial" w:hAnsi="Arial" w:cs="Arial"/>
          <w:sz w:val="22"/>
          <w:szCs w:val="22"/>
        </w:rPr>
        <w:t>poskytne prodávající</w:t>
      </w:r>
      <w:r w:rsidRPr="00C93046">
        <w:rPr>
          <w:rFonts w:ascii="Arial" w:hAnsi="Arial" w:cs="Arial"/>
          <w:sz w:val="22"/>
          <w:szCs w:val="22"/>
        </w:rPr>
        <w:t xml:space="preserve"> </w:t>
      </w:r>
      <w:r w:rsidR="00203667">
        <w:rPr>
          <w:rFonts w:ascii="Arial" w:hAnsi="Arial" w:cs="Arial"/>
          <w:sz w:val="22"/>
          <w:szCs w:val="22"/>
        </w:rPr>
        <w:t>záruku a technic</w:t>
      </w:r>
      <w:r>
        <w:rPr>
          <w:rFonts w:ascii="Arial" w:hAnsi="Arial" w:cs="Arial"/>
          <w:sz w:val="22"/>
          <w:szCs w:val="22"/>
        </w:rPr>
        <w:t>kou podporu v délce</w:t>
      </w:r>
      <w:r w:rsidRPr="00150188">
        <w:rPr>
          <w:rFonts w:ascii="Arial" w:hAnsi="Arial" w:cs="Arial"/>
          <w:sz w:val="22"/>
          <w:szCs w:val="22"/>
        </w:rPr>
        <w:t xml:space="preserve"> 36 měsíců</w:t>
      </w:r>
      <w:r w:rsidRPr="00C93046">
        <w:rPr>
          <w:rFonts w:ascii="Arial" w:hAnsi="Arial" w:cs="Arial"/>
          <w:sz w:val="22"/>
          <w:szCs w:val="22"/>
        </w:rPr>
        <w:t xml:space="preserve">. Součástí </w:t>
      </w:r>
      <w:r w:rsidRPr="00E839D4">
        <w:rPr>
          <w:rFonts w:ascii="Arial" w:hAnsi="Arial" w:cs="Arial"/>
          <w:sz w:val="22"/>
          <w:szCs w:val="22"/>
        </w:rPr>
        <w:t>plnění dle této smlouvy</w:t>
      </w:r>
      <w:r w:rsidRPr="00C93046">
        <w:rPr>
          <w:rFonts w:ascii="Arial" w:hAnsi="Arial" w:cs="Arial"/>
          <w:sz w:val="22"/>
          <w:szCs w:val="22"/>
        </w:rPr>
        <w:t xml:space="preserve"> budou instalační a konfigurační práce spojené s migrací stávajícího virtualizačního produkčního prostředí na nový HW.</w:t>
      </w:r>
      <w:r w:rsidRPr="00C93046" w:rsidDel="00346AB8">
        <w:rPr>
          <w:rFonts w:ascii="Arial" w:hAnsi="Arial" w:cs="Arial"/>
          <w:sz w:val="22"/>
          <w:szCs w:val="22"/>
        </w:rPr>
        <w:t xml:space="preserve"> </w:t>
      </w:r>
    </w:p>
    <w:p w:rsidR="00C833C7" w:rsidRPr="00C93046" w:rsidRDefault="00C833C7" w:rsidP="00C833C7">
      <w:pPr>
        <w:pStyle w:val="Odstavecseseznamem"/>
        <w:numPr>
          <w:ilvl w:val="3"/>
          <w:numId w:val="17"/>
        </w:numPr>
        <w:spacing w:after="120"/>
        <w:ind w:left="283" w:hanging="357"/>
        <w:contextualSpacing w:val="0"/>
        <w:rPr>
          <w:rFonts w:ascii="Arial" w:hAnsi="Arial" w:cs="Arial"/>
          <w:sz w:val="22"/>
          <w:szCs w:val="22"/>
        </w:rPr>
      </w:pPr>
      <w:r w:rsidRPr="00C93046">
        <w:rPr>
          <w:rFonts w:ascii="Arial" w:hAnsi="Arial" w:cs="Arial"/>
          <w:bCs/>
          <w:sz w:val="22"/>
          <w:szCs w:val="22"/>
        </w:rPr>
        <w:t>Bližší</w:t>
      </w:r>
      <w:r w:rsidRPr="00C93046">
        <w:rPr>
          <w:rFonts w:ascii="Arial" w:hAnsi="Arial" w:cs="Arial"/>
          <w:sz w:val="22"/>
          <w:szCs w:val="22"/>
        </w:rPr>
        <w:t xml:space="preserve"> specifikace </w:t>
      </w:r>
      <w:r>
        <w:rPr>
          <w:rFonts w:ascii="Arial" w:hAnsi="Arial" w:cs="Arial"/>
          <w:sz w:val="22"/>
          <w:szCs w:val="22"/>
        </w:rPr>
        <w:t xml:space="preserve">předmětu této smlouvy </w:t>
      </w:r>
      <w:r w:rsidRPr="00C93046">
        <w:rPr>
          <w:rFonts w:ascii="Arial" w:hAnsi="Arial" w:cs="Arial"/>
          <w:sz w:val="22"/>
          <w:szCs w:val="22"/>
        </w:rPr>
        <w:t>je uvedena v příloze č. 1 této smlouvy – Technická specifikace zboží (vše dále také jen „zboží“).</w:t>
      </w:r>
    </w:p>
    <w:p w:rsidR="00C833C7" w:rsidRPr="00E839D4" w:rsidRDefault="00C833C7" w:rsidP="00C833C7">
      <w:pPr>
        <w:pStyle w:val="Odstavecseseznamem"/>
        <w:numPr>
          <w:ilvl w:val="3"/>
          <w:numId w:val="17"/>
        </w:numPr>
        <w:spacing w:after="120"/>
        <w:ind w:left="283" w:hanging="357"/>
        <w:contextualSpacing w:val="0"/>
        <w:rPr>
          <w:rFonts w:ascii="Arial" w:hAnsi="Arial" w:cs="Arial"/>
          <w:bCs/>
          <w:sz w:val="22"/>
          <w:szCs w:val="22"/>
        </w:rPr>
      </w:pPr>
      <w:r w:rsidRPr="00E839D4">
        <w:rPr>
          <w:rFonts w:ascii="Arial" w:hAnsi="Arial" w:cs="Arial"/>
          <w:bCs/>
          <w:sz w:val="22"/>
          <w:szCs w:val="22"/>
        </w:rPr>
        <w:t>Předmětem této smlouvy je dále závazek kupujícího převzít řádně a včas poskytnuté zboží a zaplatit za něj sjednanou cenu podle podmínek v této smlouvě.</w:t>
      </w:r>
    </w:p>
    <w:p w:rsidR="00C833C7" w:rsidRPr="00F4490F" w:rsidRDefault="00C833C7" w:rsidP="00C833C7">
      <w:pPr>
        <w:spacing w:before="240"/>
        <w:jc w:val="center"/>
        <w:rPr>
          <w:rFonts w:ascii="Arial" w:hAnsi="Arial" w:cs="Arial"/>
          <w:b/>
          <w:sz w:val="24"/>
        </w:rPr>
      </w:pPr>
      <w:r w:rsidRPr="00511591">
        <w:rPr>
          <w:rFonts w:ascii="Arial" w:hAnsi="Arial" w:cs="Arial"/>
          <w:b/>
          <w:bCs/>
          <w:sz w:val="22"/>
          <w:szCs w:val="22"/>
        </w:rPr>
        <w:t>Čl</w:t>
      </w:r>
      <w:r>
        <w:rPr>
          <w:rFonts w:ascii="Arial" w:hAnsi="Arial" w:cs="Arial"/>
          <w:b/>
          <w:bCs/>
          <w:sz w:val="22"/>
          <w:szCs w:val="22"/>
        </w:rPr>
        <w:t>ánek</w:t>
      </w:r>
      <w:r w:rsidRPr="00511591">
        <w:rPr>
          <w:rFonts w:ascii="Arial" w:hAnsi="Arial" w:cs="Arial"/>
          <w:b/>
          <w:bCs/>
          <w:sz w:val="22"/>
          <w:szCs w:val="22"/>
        </w:rPr>
        <w:t xml:space="preserve"> </w:t>
      </w:r>
      <w:r w:rsidRPr="00F4490F">
        <w:rPr>
          <w:rFonts w:ascii="Arial" w:hAnsi="Arial" w:cs="Arial"/>
          <w:b/>
          <w:sz w:val="24"/>
        </w:rPr>
        <w:t>II.</w:t>
      </w:r>
    </w:p>
    <w:p w:rsidR="00C833C7" w:rsidRPr="00E8629E" w:rsidRDefault="00C833C7" w:rsidP="00C833C7">
      <w:pPr>
        <w:pStyle w:val="Nadpis2"/>
        <w:spacing w:before="0" w:after="240"/>
        <w:jc w:val="center"/>
        <w:rPr>
          <w:rFonts w:ascii="Arial" w:hAnsi="Arial" w:cs="Arial"/>
          <w:i w:val="0"/>
          <w:sz w:val="22"/>
          <w:szCs w:val="22"/>
        </w:rPr>
      </w:pPr>
      <w:r w:rsidRPr="00E8629E">
        <w:rPr>
          <w:rFonts w:ascii="Arial" w:hAnsi="Arial" w:cs="Arial"/>
          <w:i w:val="0"/>
          <w:sz w:val="22"/>
          <w:szCs w:val="22"/>
        </w:rPr>
        <w:t xml:space="preserve">Doba a místo plnění, </w:t>
      </w:r>
      <w:r>
        <w:rPr>
          <w:rFonts w:ascii="Arial" w:hAnsi="Arial" w:cs="Arial"/>
          <w:i w:val="0"/>
          <w:sz w:val="22"/>
          <w:szCs w:val="22"/>
        </w:rPr>
        <w:t>předání a akceptace</w:t>
      </w:r>
    </w:p>
    <w:p w:rsidR="00C833C7" w:rsidRPr="00D94FBC" w:rsidRDefault="00C833C7" w:rsidP="00C833C7">
      <w:pPr>
        <w:numPr>
          <w:ilvl w:val="0"/>
          <w:numId w:val="1"/>
        </w:numPr>
        <w:tabs>
          <w:tab w:val="clear" w:pos="720"/>
        </w:tabs>
        <w:spacing w:after="120"/>
        <w:ind w:left="425" w:hanging="425"/>
        <w:rPr>
          <w:rFonts w:ascii="Arial" w:hAnsi="Arial" w:cs="Arial"/>
          <w:bCs/>
          <w:sz w:val="22"/>
          <w:szCs w:val="22"/>
        </w:rPr>
      </w:pPr>
      <w:r w:rsidRPr="00FE1BA4">
        <w:rPr>
          <w:rFonts w:ascii="Arial" w:hAnsi="Arial" w:cs="Arial"/>
          <w:bCs/>
          <w:sz w:val="22"/>
          <w:szCs w:val="22"/>
        </w:rPr>
        <w:t>Prodávající dodá kupujícímu zboží</w:t>
      </w:r>
      <w:r>
        <w:rPr>
          <w:rFonts w:ascii="Arial" w:hAnsi="Arial" w:cs="Arial"/>
          <w:bCs/>
          <w:sz w:val="22"/>
          <w:szCs w:val="22"/>
        </w:rPr>
        <w:t xml:space="preserve"> v kvalitě a rozsahu dle přílohy č. 1 této smlouvy </w:t>
      </w:r>
      <w:r>
        <w:rPr>
          <w:rFonts w:ascii="Arial" w:hAnsi="Arial" w:cs="Arial"/>
          <w:sz w:val="22"/>
          <w:szCs w:val="22"/>
        </w:rPr>
        <w:t>– Technická specifikace zboží, a to nejpozději do 30 dnů ode dne účinnosti této smlouvy</w:t>
      </w:r>
      <w:r>
        <w:rPr>
          <w:rFonts w:ascii="Arial" w:hAnsi="Arial" w:cs="Arial"/>
          <w:bCs/>
          <w:sz w:val="22"/>
          <w:szCs w:val="22"/>
        </w:rPr>
        <w:t>.</w:t>
      </w:r>
    </w:p>
    <w:p w:rsidR="00C833C7" w:rsidRDefault="00C833C7" w:rsidP="00C833C7">
      <w:pPr>
        <w:numPr>
          <w:ilvl w:val="0"/>
          <w:numId w:val="1"/>
        </w:numPr>
        <w:tabs>
          <w:tab w:val="clear" w:pos="720"/>
        </w:tabs>
        <w:spacing w:after="120"/>
        <w:ind w:left="425" w:hanging="425"/>
        <w:rPr>
          <w:rFonts w:ascii="Arial" w:hAnsi="Arial" w:cs="Arial"/>
          <w:bCs/>
          <w:sz w:val="22"/>
          <w:szCs w:val="22"/>
        </w:rPr>
      </w:pPr>
      <w:r w:rsidRPr="00FE1BA4">
        <w:rPr>
          <w:rFonts w:ascii="Arial" w:hAnsi="Arial" w:cs="Arial"/>
          <w:bCs/>
          <w:sz w:val="22"/>
          <w:szCs w:val="22"/>
        </w:rPr>
        <w:t xml:space="preserve">O předání a </w:t>
      </w:r>
      <w:r>
        <w:rPr>
          <w:rFonts w:ascii="Arial" w:hAnsi="Arial" w:cs="Arial"/>
          <w:bCs/>
          <w:sz w:val="22"/>
          <w:szCs w:val="22"/>
        </w:rPr>
        <w:t xml:space="preserve"> uvedení </w:t>
      </w:r>
      <w:r w:rsidRPr="00FE1BA4">
        <w:rPr>
          <w:rFonts w:ascii="Arial" w:hAnsi="Arial" w:cs="Arial"/>
          <w:bCs/>
          <w:sz w:val="22"/>
          <w:szCs w:val="22"/>
        </w:rPr>
        <w:t>zboží</w:t>
      </w:r>
      <w:r>
        <w:rPr>
          <w:rFonts w:ascii="Arial" w:hAnsi="Arial" w:cs="Arial"/>
          <w:bCs/>
          <w:sz w:val="22"/>
          <w:szCs w:val="22"/>
        </w:rPr>
        <w:t xml:space="preserve"> do provozu </w:t>
      </w:r>
      <w:r w:rsidRPr="00FE1BA4">
        <w:rPr>
          <w:rFonts w:ascii="Arial" w:hAnsi="Arial" w:cs="Arial"/>
          <w:bCs/>
          <w:sz w:val="22"/>
          <w:szCs w:val="22"/>
        </w:rPr>
        <w:t xml:space="preserve">bude sepsán </w:t>
      </w:r>
      <w:r>
        <w:rPr>
          <w:rFonts w:ascii="Arial" w:hAnsi="Arial" w:cs="Arial"/>
          <w:bCs/>
          <w:sz w:val="22"/>
          <w:szCs w:val="22"/>
        </w:rPr>
        <w:t xml:space="preserve">předávací </w:t>
      </w:r>
      <w:r w:rsidRPr="00FE1BA4">
        <w:rPr>
          <w:rFonts w:ascii="Arial" w:hAnsi="Arial" w:cs="Arial"/>
          <w:bCs/>
          <w:sz w:val="22"/>
          <w:szCs w:val="22"/>
        </w:rPr>
        <w:t xml:space="preserve">protokol ve 2 vyhotoveních, který bude podepsán oprávněnými </w:t>
      </w:r>
      <w:r>
        <w:rPr>
          <w:rFonts w:ascii="Arial" w:hAnsi="Arial" w:cs="Arial"/>
          <w:bCs/>
          <w:sz w:val="22"/>
          <w:szCs w:val="22"/>
        </w:rPr>
        <w:t>zástupci</w:t>
      </w:r>
      <w:r w:rsidRPr="00FE1BA4">
        <w:rPr>
          <w:rFonts w:ascii="Arial" w:hAnsi="Arial" w:cs="Arial"/>
          <w:bCs/>
          <w:sz w:val="22"/>
          <w:szCs w:val="22"/>
        </w:rPr>
        <w:t xml:space="preserve"> prodávajícího a kupujícího, a každá ze smluvních stran obdrží po 1 </w:t>
      </w:r>
      <w:r>
        <w:rPr>
          <w:rFonts w:ascii="Arial" w:hAnsi="Arial" w:cs="Arial"/>
          <w:bCs/>
          <w:sz w:val="22"/>
          <w:szCs w:val="22"/>
        </w:rPr>
        <w:t>vyhotovení tohoto protokolu. Předávací protokol vyhotoví prodávající.</w:t>
      </w:r>
    </w:p>
    <w:p w:rsidR="00C833C7" w:rsidRPr="006C6C65" w:rsidRDefault="00C833C7" w:rsidP="00C833C7">
      <w:pPr>
        <w:numPr>
          <w:ilvl w:val="0"/>
          <w:numId w:val="1"/>
        </w:numPr>
        <w:tabs>
          <w:tab w:val="clear" w:pos="720"/>
        </w:tabs>
        <w:spacing w:after="120"/>
        <w:ind w:left="425" w:hanging="425"/>
        <w:rPr>
          <w:rFonts w:ascii="Arial" w:hAnsi="Arial" w:cs="Arial"/>
          <w:bCs/>
          <w:sz w:val="22"/>
          <w:szCs w:val="22"/>
        </w:rPr>
      </w:pPr>
      <w:r w:rsidRPr="001668CB">
        <w:rPr>
          <w:rFonts w:ascii="Arial" w:hAnsi="Arial" w:cs="Arial"/>
          <w:bCs/>
          <w:sz w:val="22"/>
          <w:szCs w:val="22"/>
        </w:rPr>
        <w:t>Záru</w:t>
      </w:r>
      <w:r>
        <w:rPr>
          <w:rFonts w:ascii="Arial" w:hAnsi="Arial" w:cs="Arial"/>
          <w:bCs/>
          <w:sz w:val="22"/>
          <w:szCs w:val="22"/>
        </w:rPr>
        <w:t xml:space="preserve">ční servis </w:t>
      </w:r>
      <w:r w:rsidRPr="001668CB">
        <w:rPr>
          <w:rFonts w:ascii="Arial" w:hAnsi="Arial" w:cs="Arial"/>
          <w:bCs/>
          <w:sz w:val="22"/>
          <w:szCs w:val="22"/>
        </w:rPr>
        <w:t>a technická podpora</w:t>
      </w:r>
      <w:r w:rsidRPr="006C6C65">
        <w:rPr>
          <w:rFonts w:ascii="Arial" w:hAnsi="Arial" w:cs="Arial"/>
          <w:bCs/>
          <w:sz w:val="22"/>
          <w:szCs w:val="22"/>
        </w:rPr>
        <w:t xml:space="preserve"> bud</w:t>
      </w:r>
      <w:r>
        <w:rPr>
          <w:rFonts w:ascii="Arial" w:hAnsi="Arial" w:cs="Arial"/>
          <w:bCs/>
          <w:sz w:val="22"/>
          <w:szCs w:val="22"/>
        </w:rPr>
        <w:t>ou</w:t>
      </w:r>
      <w:r w:rsidRPr="006C6C65">
        <w:rPr>
          <w:rFonts w:ascii="Arial" w:hAnsi="Arial" w:cs="Arial"/>
          <w:bCs/>
          <w:sz w:val="22"/>
          <w:szCs w:val="22"/>
        </w:rPr>
        <w:t xml:space="preserve"> poskytová</w:t>
      </w:r>
      <w:r>
        <w:rPr>
          <w:rFonts w:ascii="Arial" w:hAnsi="Arial" w:cs="Arial"/>
          <w:bCs/>
          <w:sz w:val="22"/>
          <w:szCs w:val="22"/>
        </w:rPr>
        <w:t>ny</w:t>
      </w:r>
      <w:r w:rsidRPr="006C6C65">
        <w:rPr>
          <w:rFonts w:ascii="Arial" w:hAnsi="Arial" w:cs="Arial"/>
          <w:bCs/>
          <w:sz w:val="22"/>
          <w:szCs w:val="22"/>
        </w:rPr>
        <w:t xml:space="preserve"> po dobu 3</w:t>
      </w:r>
      <w:r>
        <w:rPr>
          <w:rFonts w:ascii="Arial" w:hAnsi="Arial" w:cs="Arial"/>
          <w:bCs/>
          <w:sz w:val="22"/>
          <w:szCs w:val="22"/>
        </w:rPr>
        <w:t xml:space="preserve">6 měsíců ode dne podpisu předávacího protokolu dle bodu 2 tohoto článku. </w:t>
      </w:r>
    </w:p>
    <w:p w:rsidR="00C833C7" w:rsidRPr="00FE1BA4" w:rsidRDefault="00C833C7" w:rsidP="00C833C7">
      <w:pPr>
        <w:numPr>
          <w:ilvl w:val="0"/>
          <w:numId w:val="1"/>
        </w:numPr>
        <w:tabs>
          <w:tab w:val="clear" w:pos="720"/>
        </w:tabs>
        <w:spacing w:after="120"/>
        <w:ind w:left="425" w:hanging="425"/>
        <w:rPr>
          <w:rFonts w:ascii="Arial" w:hAnsi="Arial" w:cs="Arial"/>
          <w:bCs/>
          <w:sz w:val="22"/>
          <w:szCs w:val="22"/>
        </w:rPr>
      </w:pPr>
      <w:r w:rsidRPr="00FE1BA4">
        <w:rPr>
          <w:rFonts w:ascii="Arial" w:hAnsi="Arial" w:cs="Arial"/>
          <w:bCs/>
          <w:sz w:val="22"/>
          <w:szCs w:val="22"/>
        </w:rPr>
        <w:t xml:space="preserve">Místem plnění je </w:t>
      </w:r>
      <w:r w:rsidRPr="00DD1FB3">
        <w:rPr>
          <w:rFonts w:ascii="Arial" w:hAnsi="Arial" w:cs="Arial"/>
          <w:bCs/>
          <w:sz w:val="22"/>
          <w:szCs w:val="22"/>
        </w:rPr>
        <w:t>sídlo kupujícího</w:t>
      </w:r>
      <w:r>
        <w:rPr>
          <w:rFonts w:ascii="Arial" w:hAnsi="Arial" w:cs="Arial"/>
          <w:bCs/>
          <w:sz w:val="22"/>
          <w:szCs w:val="22"/>
        </w:rPr>
        <w:t xml:space="preserve"> na adrese</w:t>
      </w:r>
      <w:r w:rsidRPr="00833530">
        <w:rPr>
          <w:rFonts w:ascii="Arial" w:hAnsi="Arial" w:cs="Arial"/>
          <w:sz w:val="22"/>
          <w:szCs w:val="22"/>
        </w:rPr>
        <w:t xml:space="preserve"> </w:t>
      </w:r>
      <w:r w:rsidRPr="00C31ACC">
        <w:rPr>
          <w:rFonts w:ascii="Arial" w:hAnsi="Arial" w:cs="Arial"/>
          <w:sz w:val="22"/>
          <w:szCs w:val="22"/>
        </w:rPr>
        <w:t>Strakova akademie na adrese nábřeží Edvarda Beneše 128/4, 118 01 Praha 1 – Malá Strana</w:t>
      </w:r>
      <w:r w:rsidRPr="00DD1FB3">
        <w:rPr>
          <w:rFonts w:ascii="Arial" w:hAnsi="Arial" w:cs="Arial"/>
          <w:bCs/>
          <w:sz w:val="22"/>
          <w:szCs w:val="22"/>
        </w:rPr>
        <w:t>.</w:t>
      </w:r>
    </w:p>
    <w:p w:rsidR="00C833C7" w:rsidRPr="00FE1BA4" w:rsidRDefault="00C833C7" w:rsidP="00C833C7">
      <w:pPr>
        <w:numPr>
          <w:ilvl w:val="0"/>
          <w:numId w:val="1"/>
        </w:numPr>
        <w:tabs>
          <w:tab w:val="clear" w:pos="720"/>
        </w:tabs>
        <w:spacing w:after="120"/>
        <w:ind w:left="425" w:hanging="425"/>
        <w:rPr>
          <w:rFonts w:ascii="Arial" w:hAnsi="Arial" w:cs="Arial"/>
          <w:bCs/>
          <w:sz w:val="22"/>
          <w:szCs w:val="22"/>
        </w:rPr>
      </w:pPr>
      <w:r w:rsidRPr="00FE1BA4">
        <w:rPr>
          <w:rFonts w:ascii="Arial" w:hAnsi="Arial" w:cs="Arial"/>
          <w:bCs/>
          <w:sz w:val="22"/>
          <w:szCs w:val="22"/>
        </w:rPr>
        <w:t>Nebezpečí škody na zboží přechází na kupujícího podpisem předávacího protokolu</w:t>
      </w:r>
      <w:r>
        <w:rPr>
          <w:rFonts w:ascii="Arial" w:hAnsi="Arial" w:cs="Arial"/>
          <w:bCs/>
          <w:sz w:val="22"/>
          <w:szCs w:val="22"/>
        </w:rPr>
        <w:t xml:space="preserve"> dle bodu 2 tohoto článku</w:t>
      </w:r>
      <w:r w:rsidRPr="00FE1BA4">
        <w:rPr>
          <w:rFonts w:ascii="Arial" w:hAnsi="Arial" w:cs="Arial"/>
          <w:bCs/>
          <w:sz w:val="22"/>
          <w:szCs w:val="22"/>
        </w:rPr>
        <w:t>. Vlastnické právo k</w:t>
      </w:r>
      <w:r>
        <w:rPr>
          <w:rFonts w:ascii="Arial" w:hAnsi="Arial" w:cs="Arial"/>
          <w:bCs/>
          <w:sz w:val="22"/>
          <w:szCs w:val="22"/>
        </w:rPr>
        <w:t>e</w:t>
      </w:r>
      <w:r w:rsidRPr="00FE1BA4">
        <w:rPr>
          <w:rFonts w:ascii="Arial" w:hAnsi="Arial" w:cs="Arial"/>
          <w:bCs/>
          <w:sz w:val="22"/>
          <w:szCs w:val="22"/>
        </w:rPr>
        <w:t xml:space="preserve"> zboží</w:t>
      </w:r>
      <w:r w:rsidRPr="00A3624E">
        <w:rPr>
          <w:rFonts w:ascii="Arial" w:hAnsi="Arial" w:cs="Arial"/>
          <w:bCs/>
          <w:sz w:val="22"/>
          <w:szCs w:val="22"/>
        </w:rPr>
        <w:t xml:space="preserve"> </w:t>
      </w:r>
      <w:r>
        <w:rPr>
          <w:rFonts w:ascii="Arial" w:hAnsi="Arial" w:cs="Arial"/>
          <w:bCs/>
          <w:sz w:val="22"/>
          <w:szCs w:val="22"/>
        </w:rPr>
        <w:t>a další práva ke zboží</w:t>
      </w:r>
      <w:r w:rsidRPr="00FE1BA4">
        <w:rPr>
          <w:rFonts w:ascii="Arial" w:hAnsi="Arial" w:cs="Arial"/>
          <w:bCs/>
          <w:sz w:val="22"/>
          <w:szCs w:val="22"/>
        </w:rPr>
        <w:t>, případně jeho části,</w:t>
      </w:r>
      <w:r>
        <w:rPr>
          <w:rFonts w:ascii="Arial" w:hAnsi="Arial" w:cs="Arial"/>
          <w:bCs/>
          <w:sz w:val="22"/>
          <w:szCs w:val="22"/>
        </w:rPr>
        <w:t xml:space="preserve"> </w:t>
      </w:r>
      <w:r w:rsidRPr="00FE1BA4">
        <w:rPr>
          <w:rFonts w:ascii="Arial" w:hAnsi="Arial" w:cs="Arial"/>
          <w:bCs/>
          <w:sz w:val="22"/>
          <w:szCs w:val="22"/>
        </w:rPr>
        <w:t xml:space="preserve">nabývá kupující dnem </w:t>
      </w:r>
      <w:r>
        <w:rPr>
          <w:rFonts w:ascii="Arial" w:hAnsi="Arial" w:cs="Arial"/>
          <w:bCs/>
          <w:sz w:val="22"/>
          <w:szCs w:val="22"/>
        </w:rPr>
        <w:t>podpisu předávacího protokolu dle bodu 2 tohoto článku, nedohodnou-li se smluvní strany jinak.</w:t>
      </w:r>
    </w:p>
    <w:p w:rsidR="00C833C7" w:rsidRDefault="00C833C7" w:rsidP="00C833C7">
      <w:pPr>
        <w:numPr>
          <w:ilvl w:val="0"/>
          <w:numId w:val="1"/>
        </w:numPr>
        <w:tabs>
          <w:tab w:val="clear" w:pos="720"/>
        </w:tabs>
        <w:spacing w:after="120"/>
        <w:ind w:left="425" w:hanging="425"/>
        <w:rPr>
          <w:rFonts w:ascii="Arial" w:hAnsi="Arial" w:cs="Arial"/>
          <w:bCs/>
          <w:sz w:val="22"/>
          <w:szCs w:val="22"/>
        </w:rPr>
      </w:pPr>
      <w:r w:rsidRPr="00FE1BA4">
        <w:rPr>
          <w:rFonts w:ascii="Arial" w:hAnsi="Arial" w:cs="Arial"/>
          <w:bCs/>
          <w:sz w:val="22"/>
          <w:szCs w:val="22"/>
        </w:rPr>
        <w:t xml:space="preserve">Kupující není povinen převzít zboží, které vykazuje zjevné vady či odchylky od popisu dle této smlouvy, od dokumentace k němu nebo od nabídky prodávajícího podaného v zadávacím řízení, v němž byla jeho nabídka vybrána jako </w:t>
      </w:r>
      <w:r>
        <w:rPr>
          <w:rFonts w:ascii="Arial" w:hAnsi="Arial" w:cs="Arial"/>
          <w:bCs/>
          <w:sz w:val="22"/>
          <w:szCs w:val="22"/>
        </w:rPr>
        <w:t xml:space="preserve">ekonomicky </w:t>
      </w:r>
      <w:r w:rsidRPr="00FE1BA4">
        <w:rPr>
          <w:rFonts w:ascii="Arial" w:hAnsi="Arial" w:cs="Arial"/>
          <w:bCs/>
          <w:sz w:val="22"/>
          <w:szCs w:val="22"/>
        </w:rPr>
        <w:t>nejv</w:t>
      </w:r>
      <w:r>
        <w:rPr>
          <w:rFonts w:ascii="Arial" w:hAnsi="Arial" w:cs="Arial"/>
          <w:bCs/>
          <w:sz w:val="22"/>
          <w:szCs w:val="22"/>
        </w:rPr>
        <w:t>ý</w:t>
      </w:r>
      <w:r w:rsidRPr="00FE1BA4">
        <w:rPr>
          <w:rFonts w:ascii="Arial" w:hAnsi="Arial" w:cs="Arial"/>
          <w:bCs/>
          <w:sz w:val="22"/>
          <w:szCs w:val="22"/>
        </w:rPr>
        <w:t xml:space="preserve">hodnější. V takovém případě je kupující povinen sepsat zápis o zjištěných vadách a předat jej prodávajícímu. Do odstranění vad není kupující povinen podepsat předávací protokol </w:t>
      </w:r>
      <w:r>
        <w:rPr>
          <w:rFonts w:ascii="Arial" w:hAnsi="Arial" w:cs="Arial"/>
          <w:bCs/>
          <w:sz w:val="22"/>
          <w:szCs w:val="22"/>
        </w:rPr>
        <w:t xml:space="preserve">dle bodu 2 tohoto článku </w:t>
      </w:r>
      <w:r w:rsidRPr="00FE1BA4">
        <w:rPr>
          <w:rFonts w:ascii="Arial" w:hAnsi="Arial" w:cs="Arial"/>
          <w:bCs/>
          <w:sz w:val="22"/>
          <w:szCs w:val="22"/>
        </w:rPr>
        <w:t>a zaplatit cenu. Vady zjištěné kupujícím při převzetí zboží je prodávající povinen odstranit nejpozději do 2 pracovních dnů ode dne doručení (předání) zápisu kupujícího o těchto vadách.</w:t>
      </w:r>
    </w:p>
    <w:p w:rsidR="00C833C7" w:rsidRPr="00AA58B9" w:rsidRDefault="00C833C7" w:rsidP="00C833C7">
      <w:pPr>
        <w:numPr>
          <w:ilvl w:val="0"/>
          <w:numId w:val="1"/>
        </w:numPr>
        <w:tabs>
          <w:tab w:val="clear" w:pos="720"/>
        </w:tabs>
        <w:spacing w:after="120"/>
        <w:ind w:left="425" w:hanging="425"/>
        <w:rPr>
          <w:rFonts w:ascii="Arial" w:hAnsi="Arial" w:cs="Arial"/>
          <w:bCs/>
          <w:sz w:val="22"/>
          <w:szCs w:val="22"/>
        </w:rPr>
      </w:pPr>
      <w:r w:rsidRPr="00AA58B9">
        <w:rPr>
          <w:rFonts w:ascii="Arial" w:eastAsiaTheme="minorHAnsi" w:hAnsi="Arial" w:cs="Arial"/>
          <w:sz w:val="22"/>
          <w:szCs w:val="22"/>
          <w:lang w:eastAsia="en-US"/>
        </w:rPr>
        <w:t>Prodávající odpovídá za to, že veškeré zboží dle této smlouvy:</w:t>
      </w:r>
    </w:p>
    <w:p w:rsidR="00C833C7" w:rsidRPr="00AA58B9" w:rsidRDefault="00C833C7" w:rsidP="00C833C7">
      <w:pPr>
        <w:numPr>
          <w:ilvl w:val="1"/>
          <w:numId w:val="16"/>
        </w:numPr>
        <w:tabs>
          <w:tab w:val="num" w:pos="851"/>
        </w:tabs>
        <w:spacing w:after="120"/>
        <w:ind w:left="851" w:hanging="425"/>
        <w:contextualSpacing/>
        <w:rPr>
          <w:rFonts w:ascii="Arial" w:eastAsiaTheme="minorHAnsi" w:hAnsi="Arial" w:cs="Arial"/>
          <w:sz w:val="22"/>
          <w:szCs w:val="22"/>
          <w:lang w:eastAsia="en-US"/>
        </w:rPr>
      </w:pPr>
      <w:r w:rsidRPr="00AA58B9">
        <w:rPr>
          <w:rFonts w:ascii="Arial" w:eastAsiaTheme="minorHAnsi" w:hAnsi="Arial" w:cs="Arial"/>
          <w:sz w:val="22"/>
          <w:szCs w:val="22"/>
          <w:lang w:eastAsia="en-US"/>
        </w:rPr>
        <w:t>pochází z autorizovaného obchodního kanálu výrobce,</w:t>
      </w:r>
    </w:p>
    <w:p w:rsidR="00C833C7" w:rsidRPr="00AA58B9" w:rsidRDefault="00C833C7" w:rsidP="00C833C7">
      <w:pPr>
        <w:numPr>
          <w:ilvl w:val="1"/>
          <w:numId w:val="16"/>
        </w:numPr>
        <w:tabs>
          <w:tab w:val="num" w:pos="851"/>
        </w:tabs>
        <w:spacing w:after="120"/>
        <w:ind w:left="851" w:hanging="425"/>
        <w:contextualSpacing/>
        <w:rPr>
          <w:rFonts w:ascii="Arial" w:eastAsiaTheme="minorHAnsi" w:hAnsi="Arial" w:cs="Arial"/>
          <w:sz w:val="22"/>
          <w:szCs w:val="22"/>
          <w:lang w:eastAsia="en-US"/>
        </w:rPr>
      </w:pPr>
      <w:r w:rsidRPr="00AA58B9">
        <w:rPr>
          <w:rFonts w:ascii="Arial" w:eastAsiaTheme="minorHAnsi" w:hAnsi="Arial" w:cs="Arial"/>
          <w:sz w:val="22"/>
          <w:szCs w:val="22"/>
          <w:lang w:eastAsia="en-US"/>
        </w:rPr>
        <w:t>je registrováno a licencováno u výrobce na jméno kupujícího,</w:t>
      </w:r>
    </w:p>
    <w:p w:rsidR="00C833C7" w:rsidRPr="00AA58B9" w:rsidRDefault="00C833C7" w:rsidP="00C833C7">
      <w:pPr>
        <w:numPr>
          <w:ilvl w:val="1"/>
          <w:numId w:val="16"/>
        </w:numPr>
        <w:tabs>
          <w:tab w:val="num" w:pos="851"/>
        </w:tabs>
        <w:spacing w:after="120"/>
        <w:ind w:left="851" w:hanging="425"/>
        <w:rPr>
          <w:rFonts w:ascii="Arial" w:eastAsiaTheme="minorHAnsi" w:hAnsi="Arial" w:cs="Arial"/>
          <w:sz w:val="22"/>
          <w:szCs w:val="22"/>
          <w:lang w:eastAsia="en-US"/>
        </w:rPr>
      </w:pPr>
      <w:r w:rsidRPr="00AA58B9">
        <w:rPr>
          <w:rFonts w:ascii="Arial" w:eastAsiaTheme="minorHAnsi" w:hAnsi="Arial" w:cs="Arial"/>
          <w:sz w:val="22"/>
          <w:szCs w:val="22"/>
          <w:lang w:eastAsia="en-US"/>
        </w:rPr>
        <w:t>nachází se v oblasti Evropské unie v souladu s pravidly Evropské unie o paralelním trhu.</w:t>
      </w:r>
    </w:p>
    <w:p w:rsidR="00C833C7" w:rsidRPr="00AA58B9" w:rsidRDefault="00C833C7" w:rsidP="00C833C7">
      <w:pPr>
        <w:spacing w:before="120" w:after="120"/>
        <w:ind w:left="425"/>
        <w:rPr>
          <w:rFonts w:ascii="Arial" w:eastAsiaTheme="minorHAnsi" w:hAnsi="Arial" w:cs="Arial"/>
          <w:sz w:val="22"/>
          <w:szCs w:val="22"/>
          <w:lang w:eastAsia="en-US"/>
        </w:rPr>
      </w:pPr>
      <w:r w:rsidRPr="00AA58B9">
        <w:rPr>
          <w:rFonts w:ascii="Arial" w:eastAsiaTheme="minorHAnsi" w:hAnsi="Arial" w:cs="Arial"/>
          <w:sz w:val="22"/>
          <w:szCs w:val="22"/>
          <w:lang w:eastAsia="en-US"/>
        </w:rPr>
        <w:t>Prodávající odpovídá za to, že kupující bude uveden v databázi výrobce jako konečný uživatel.</w:t>
      </w:r>
    </w:p>
    <w:p w:rsidR="00C833C7" w:rsidRPr="000579F5" w:rsidRDefault="00C833C7" w:rsidP="00C833C7">
      <w:pPr>
        <w:spacing w:before="240"/>
        <w:jc w:val="center"/>
        <w:rPr>
          <w:rFonts w:ascii="Arial" w:hAnsi="Arial" w:cs="Arial"/>
          <w:b/>
          <w:sz w:val="24"/>
        </w:rPr>
      </w:pPr>
      <w:r w:rsidRPr="000579F5">
        <w:rPr>
          <w:rFonts w:ascii="Arial" w:hAnsi="Arial" w:cs="Arial"/>
          <w:b/>
          <w:bCs/>
          <w:sz w:val="22"/>
          <w:szCs w:val="22"/>
        </w:rPr>
        <w:t xml:space="preserve">Článek </w:t>
      </w:r>
      <w:r w:rsidRPr="000579F5">
        <w:rPr>
          <w:rFonts w:ascii="Arial" w:hAnsi="Arial" w:cs="Arial"/>
          <w:b/>
          <w:sz w:val="24"/>
        </w:rPr>
        <w:t>III.</w:t>
      </w:r>
    </w:p>
    <w:p w:rsidR="00C833C7" w:rsidRPr="00E8629E" w:rsidRDefault="00C833C7" w:rsidP="00C833C7">
      <w:pPr>
        <w:pStyle w:val="Nadpis2"/>
        <w:spacing w:before="0" w:after="240"/>
        <w:jc w:val="center"/>
        <w:rPr>
          <w:rFonts w:ascii="Arial" w:hAnsi="Arial" w:cs="Arial"/>
          <w:i w:val="0"/>
          <w:sz w:val="22"/>
          <w:szCs w:val="22"/>
        </w:rPr>
      </w:pPr>
      <w:r w:rsidRPr="00E8629E">
        <w:rPr>
          <w:rFonts w:ascii="Arial" w:hAnsi="Arial" w:cs="Arial"/>
          <w:i w:val="0"/>
          <w:sz w:val="22"/>
          <w:szCs w:val="22"/>
        </w:rPr>
        <w:t>Záruka</w:t>
      </w:r>
      <w:r>
        <w:rPr>
          <w:rFonts w:ascii="Arial" w:hAnsi="Arial" w:cs="Arial"/>
          <w:i w:val="0"/>
          <w:sz w:val="22"/>
          <w:szCs w:val="22"/>
        </w:rPr>
        <w:t xml:space="preserve">, </w:t>
      </w:r>
      <w:r w:rsidRPr="00E8629E">
        <w:rPr>
          <w:rFonts w:ascii="Arial" w:hAnsi="Arial" w:cs="Arial"/>
          <w:i w:val="0"/>
          <w:sz w:val="22"/>
          <w:szCs w:val="22"/>
        </w:rPr>
        <w:t>záruční servis</w:t>
      </w:r>
      <w:r>
        <w:rPr>
          <w:rFonts w:ascii="Arial" w:hAnsi="Arial" w:cs="Arial"/>
          <w:i w:val="0"/>
          <w:sz w:val="22"/>
          <w:szCs w:val="22"/>
        </w:rPr>
        <w:t xml:space="preserve"> a technická podpora</w:t>
      </w:r>
    </w:p>
    <w:p w:rsidR="00C833C7" w:rsidRPr="000579F5" w:rsidRDefault="00C833C7" w:rsidP="00C833C7">
      <w:pPr>
        <w:numPr>
          <w:ilvl w:val="0"/>
          <w:numId w:val="2"/>
        </w:numPr>
        <w:tabs>
          <w:tab w:val="clear" w:pos="720"/>
        </w:tabs>
        <w:spacing w:before="120" w:after="120"/>
        <w:ind w:left="425" w:hanging="425"/>
        <w:rPr>
          <w:rFonts w:ascii="Arial" w:hAnsi="Arial" w:cs="Arial"/>
          <w:bCs/>
          <w:sz w:val="22"/>
          <w:szCs w:val="22"/>
        </w:rPr>
      </w:pPr>
      <w:r w:rsidRPr="000579F5">
        <w:rPr>
          <w:rFonts w:ascii="Arial" w:hAnsi="Arial" w:cs="Arial"/>
          <w:bCs/>
          <w:sz w:val="22"/>
          <w:szCs w:val="22"/>
        </w:rPr>
        <w:t>Prodávající odpovídá za to, že zboží má vlastnosti stanovené touto smlouvou, dokumentací k</w:t>
      </w:r>
      <w:r>
        <w:rPr>
          <w:rFonts w:ascii="Arial" w:hAnsi="Arial" w:cs="Arial"/>
          <w:bCs/>
          <w:sz w:val="22"/>
          <w:szCs w:val="22"/>
        </w:rPr>
        <w:t> </w:t>
      </w:r>
      <w:r w:rsidRPr="000579F5">
        <w:rPr>
          <w:rFonts w:ascii="Arial" w:hAnsi="Arial" w:cs="Arial"/>
          <w:bCs/>
          <w:sz w:val="22"/>
          <w:szCs w:val="22"/>
        </w:rPr>
        <w:t xml:space="preserve">němu a nabídkou prodávajícího podanou v zadávacím řízení, v němž byla jeho nabídka vybrána jako </w:t>
      </w:r>
      <w:r>
        <w:rPr>
          <w:rFonts w:ascii="Arial" w:hAnsi="Arial" w:cs="Arial"/>
          <w:bCs/>
          <w:sz w:val="22"/>
          <w:szCs w:val="22"/>
        </w:rPr>
        <w:t xml:space="preserve">ekonomicky </w:t>
      </w:r>
      <w:r w:rsidRPr="000579F5">
        <w:rPr>
          <w:rFonts w:ascii="Arial" w:hAnsi="Arial" w:cs="Arial"/>
          <w:bCs/>
          <w:sz w:val="22"/>
          <w:szCs w:val="22"/>
        </w:rPr>
        <w:t>nejv</w:t>
      </w:r>
      <w:r>
        <w:rPr>
          <w:rFonts w:ascii="Arial" w:hAnsi="Arial" w:cs="Arial"/>
          <w:bCs/>
          <w:sz w:val="22"/>
          <w:szCs w:val="22"/>
        </w:rPr>
        <w:t>ý</w:t>
      </w:r>
      <w:r w:rsidRPr="000579F5">
        <w:rPr>
          <w:rFonts w:ascii="Arial" w:hAnsi="Arial" w:cs="Arial"/>
          <w:bCs/>
          <w:sz w:val="22"/>
          <w:szCs w:val="22"/>
        </w:rPr>
        <w:t>hodnější.</w:t>
      </w:r>
    </w:p>
    <w:p w:rsidR="00C833C7" w:rsidRDefault="00C833C7" w:rsidP="00C833C7">
      <w:pPr>
        <w:numPr>
          <w:ilvl w:val="0"/>
          <w:numId w:val="2"/>
        </w:numPr>
        <w:tabs>
          <w:tab w:val="clear" w:pos="720"/>
        </w:tabs>
        <w:spacing w:before="120" w:after="120"/>
        <w:ind w:left="425" w:hanging="425"/>
        <w:rPr>
          <w:rFonts w:ascii="Arial" w:hAnsi="Arial" w:cs="Arial"/>
          <w:bCs/>
          <w:sz w:val="22"/>
          <w:szCs w:val="22"/>
        </w:rPr>
      </w:pPr>
      <w:r w:rsidRPr="000579F5">
        <w:rPr>
          <w:rFonts w:ascii="Arial" w:hAnsi="Arial" w:cs="Arial"/>
          <w:bCs/>
          <w:sz w:val="22"/>
          <w:szCs w:val="22"/>
        </w:rPr>
        <w:t xml:space="preserve">Prodávající odpovídá za vady zboží zjištěné při jeho předání nebo v průběhu záruční doby, </w:t>
      </w:r>
      <w:r>
        <w:rPr>
          <w:rFonts w:ascii="Arial" w:hAnsi="Arial" w:cs="Arial"/>
          <w:bCs/>
          <w:sz w:val="22"/>
          <w:szCs w:val="22"/>
        </w:rPr>
        <w:br/>
      </w:r>
      <w:r w:rsidRPr="000579F5">
        <w:rPr>
          <w:rFonts w:ascii="Arial" w:hAnsi="Arial" w:cs="Arial"/>
          <w:bCs/>
          <w:sz w:val="22"/>
          <w:szCs w:val="22"/>
        </w:rPr>
        <w:t xml:space="preserve">a to za všechny vady zboží existující v době předání i za vady vzniklé později. Prodávající </w:t>
      </w:r>
      <w:r>
        <w:rPr>
          <w:rFonts w:ascii="Arial" w:hAnsi="Arial" w:cs="Arial"/>
          <w:bCs/>
          <w:sz w:val="22"/>
          <w:szCs w:val="22"/>
        </w:rPr>
        <w:br/>
      </w:r>
      <w:r w:rsidRPr="000579F5">
        <w:rPr>
          <w:rFonts w:ascii="Arial" w:hAnsi="Arial" w:cs="Arial"/>
          <w:bCs/>
          <w:sz w:val="22"/>
          <w:szCs w:val="22"/>
        </w:rPr>
        <w:t xml:space="preserve">se za tímto účelem zavazuje poskytnout kupujícímu záruku včetně </w:t>
      </w:r>
      <w:r w:rsidRPr="001668CB">
        <w:rPr>
          <w:rFonts w:ascii="Arial" w:hAnsi="Arial" w:cs="Arial"/>
          <w:bCs/>
          <w:sz w:val="22"/>
          <w:szCs w:val="22"/>
        </w:rPr>
        <w:t xml:space="preserve">záruční podpory v délce </w:t>
      </w:r>
      <w:r w:rsidRPr="001668CB">
        <w:rPr>
          <w:rFonts w:ascii="Arial" w:hAnsi="Arial" w:cs="Arial"/>
          <w:bCs/>
          <w:sz w:val="22"/>
          <w:szCs w:val="22"/>
        </w:rPr>
        <w:lastRenderedPageBreak/>
        <w:t>trvání 3</w:t>
      </w:r>
      <w:r>
        <w:rPr>
          <w:rFonts w:ascii="Arial" w:hAnsi="Arial" w:cs="Arial"/>
          <w:bCs/>
          <w:sz w:val="22"/>
          <w:szCs w:val="22"/>
        </w:rPr>
        <w:t>6 měsíců</w:t>
      </w:r>
      <w:r w:rsidRPr="001668CB">
        <w:rPr>
          <w:rFonts w:ascii="Arial" w:hAnsi="Arial" w:cs="Arial"/>
          <w:bCs/>
          <w:sz w:val="22"/>
          <w:szCs w:val="22"/>
        </w:rPr>
        <w:t xml:space="preserve"> (dále jen „záruční doba“) poskytnutou přímo výrobcem zařízení v tomto rozsahu:</w:t>
      </w:r>
    </w:p>
    <w:p w:rsidR="00C833C7" w:rsidRPr="00644E29" w:rsidRDefault="00C833C7" w:rsidP="00C833C7">
      <w:pPr>
        <w:pStyle w:val="Prosttext"/>
        <w:numPr>
          <w:ilvl w:val="1"/>
          <w:numId w:val="8"/>
        </w:numPr>
        <w:tabs>
          <w:tab w:val="num" w:pos="1134"/>
        </w:tabs>
        <w:spacing w:before="60" w:after="60"/>
        <w:ind w:left="850" w:hanging="357"/>
        <w:jc w:val="both"/>
        <w:rPr>
          <w:rFonts w:ascii="Arial" w:eastAsia="MS Mincho" w:hAnsi="Arial" w:cs="Arial"/>
          <w:sz w:val="22"/>
          <w:szCs w:val="22"/>
        </w:rPr>
      </w:pPr>
      <w:r w:rsidRPr="00644E29">
        <w:rPr>
          <w:rFonts w:ascii="Arial" w:eastAsia="MS Mincho" w:hAnsi="Arial" w:cs="Arial"/>
          <w:sz w:val="22"/>
          <w:szCs w:val="22"/>
        </w:rPr>
        <w:t>započetí servisního zásahu nejpozději do 4 hodin po nahlášení závady v sídle zadavatele,</w:t>
      </w:r>
    </w:p>
    <w:p w:rsidR="00C833C7" w:rsidRPr="00644E29" w:rsidRDefault="00C833C7" w:rsidP="00C833C7">
      <w:pPr>
        <w:pStyle w:val="Prosttext"/>
        <w:numPr>
          <w:ilvl w:val="1"/>
          <w:numId w:val="8"/>
        </w:numPr>
        <w:tabs>
          <w:tab w:val="num" w:pos="1134"/>
        </w:tabs>
        <w:spacing w:before="60" w:after="60"/>
        <w:ind w:left="850" w:hanging="357"/>
        <w:jc w:val="both"/>
        <w:rPr>
          <w:rFonts w:ascii="Arial" w:eastAsia="MS Mincho" w:hAnsi="Arial" w:cs="Arial"/>
          <w:sz w:val="22"/>
          <w:szCs w:val="22"/>
        </w:rPr>
      </w:pPr>
      <w:r w:rsidRPr="00644E29">
        <w:rPr>
          <w:rFonts w:ascii="Arial" w:eastAsia="MS Mincho" w:hAnsi="Arial" w:cs="Arial"/>
          <w:sz w:val="22"/>
          <w:szCs w:val="22"/>
        </w:rPr>
        <w:t>dostupnost podpory 24 hodin denně, 365 dní v roce,</w:t>
      </w:r>
    </w:p>
    <w:p w:rsidR="00C833C7" w:rsidRPr="00644E29" w:rsidRDefault="00C833C7" w:rsidP="00C833C7">
      <w:pPr>
        <w:pStyle w:val="Prosttext"/>
        <w:numPr>
          <w:ilvl w:val="1"/>
          <w:numId w:val="8"/>
        </w:numPr>
        <w:tabs>
          <w:tab w:val="num" w:pos="1134"/>
        </w:tabs>
        <w:spacing w:before="60" w:after="60"/>
        <w:ind w:left="850" w:hanging="357"/>
        <w:jc w:val="both"/>
        <w:rPr>
          <w:rFonts w:ascii="Arial" w:eastAsia="MS Mincho" w:hAnsi="Arial" w:cs="Arial"/>
          <w:sz w:val="22"/>
          <w:szCs w:val="22"/>
        </w:rPr>
      </w:pPr>
      <w:r w:rsidRPr="00644E29">
        <w:rPr>
          <w:rFonts w:ascii="Arial" w:eastAsia="MS Mincho" w:hAnsi="Arial" w:cs="Arial"/>
          <w:sz w:val="22"/>
          <w:szCs w:val="22"/>
        </w:rPr>
        <w:t>podpora automatického hlášení závady a otevření incidentu,</w:t>
      </w:r>
    </w:p>
    <w:p w:rsidR="00C833C7" w:rsidRPr="00644E29" w:rsidRDefault="00C833C7" w:rsidP="00C833C7">
      <w:pPr>
        <w:pStyle w:val="Prosttext"/>
        <w:numPr>
          <w:ilvl w:val="1"/>
          <w:numId w:val="8"/>
        </w:numPr>
        <w:tabs>
          <w:tab w:val="num" w:pos="1134"/>
        </w:tabs>
        <w:spacing w:before="60" w:after="60"/>
        <w:ind w:left="850" w:hanging="357"/>
        <w:jc w:val="both"/>
        <w:rPr>
          <w:rFonts w:ascii="Arial" w:eastAsia="MS Mincho" w:hAnsi="Arial" w:cs="Arial"/>
          <w:sz w:val="22"/>
          <w:szCs w:val="22"/>
        </w:rPr>
      </w:pPr>
      <w:r w:rsidRPr="00644E29">
        <w:rPr>
          <w:rFonts w:ascii="Arial" w:eastAsia="MS Mincho" w:hAnsi="Arial" w:cs="Arial"/>
          <w:sz w:val="22"/>
          <w:szCs w:val="22"/>
        </w:rPr>
        <w:t>možnost proaktivního monitoringu a návrhů aktualizací SW vybavení šasi,</w:t>
      </w:r>
    </w:p>
    <w:p w:rsidR="00C833C7" w:rsidRPr="00A31330" w:rsidRDefault="00C833C7" w:rsidP="00C833C7">
      <w:pPr>
        <w:pStyle w:val="Prosttext"/>
        <w:numPr>
          <w:ilvl w:val="1"/>
          <w:numId w:val="8"/>
        </w:numPr>
        <w:tabs>
          <w:tab w:val="num" w:pos="1134"/>
        </w:tabs>
        <w:spacing w:before="60" w:after="60"/>
        <w:ind w:left="850" w:hanging="357"/>
        <w:jc w:val="both"/>
        <w:rPr>
          <w:rFonts w:ascii="Arial" w:eastAsia="MS Mincho" w:hAnsi="Arial" w:cs="Arial"/>
          <w:sz w:val="22"/>
          <w:szCs w:val="22"/>
        </w:rPr>
      </w:pPr>
      <w:r w:rsidRPr="00A31330">
        <w:rPr>
          <w:rFonts w:ascii="Arial" w:eastAsia="MS Mincho" w:hAnsi="Arial" w:cs="Arial"/>
          <w:sz w:val="22"/>
          <w:szCs w:val="22"/>
        </w:rPr>
        <w:t>mo</w:t>
      </w:r>
      <w:r w:rsidRPr="00644E29">
        <w:rPr>
          <w:rFonts w:ascii="Arial" w:eastAsia="MS Mincho" w:hAnsi="Arial" w:cs="Arial"/>
          <w:sz w:val="22"/>
          <w:szCs w:val="22"/>
        </w:rPr>
        <w:t>žnost sledování servisních reportů prostřednictvím internetu.</w:t>
      </w:r>
    </w:p>
    <w:p w:rsidR="00C833C7" w:rsidRPr="000579F5" w:rsidRDefault="00C833C7" w:rsidP="00C833C7">
      <w:pPr>
        <w:numPr>
          <w:ilvl w:val="0"/>
          <w:numId w:val="2"/>
        </w:numPr>
        <w:tabs>
          <w:tab w:val="clear" w:pos="720"/>
        </w:tabs>
        <w:spacing w:before="120" w:after="120"/>
        <w:ind w:left="425" w:hanging="425"/>
        <w:rPr>
          <w:rFonts w:ascii="Arial" w:hAnsi="Arial" w:cs="Arial"/>
          <w:bCs/>
          <w:sz w:val="22"/>
          <w:szCs w:val="22"/>
        </w:rPr>
      </w:pPr>
      <w:r w:rsidRPr="000579F5">
        <w:rPr>
          <w:rFonts w:ascii="Arial" w:hAnsi="Arial" w:cs="Arial"/>
          <w:bCs/>
          <w:sz w:val="22"/>
          <w:szCs w:val="22"/>
        </w:rPr>
        <w:t>Záruční doba začíná běžet dnem podpisu předávacího protokolu</w:t>
      </w:r>
      <w:r>
        <w:rPr>
          <w:rFonts w:ascii="Arial" w:hAnsi="Arial" w:cs="Arial"/>
          <w:bCs/>
          <w:sz w:val="22"/>
          <w:szCs w:val="22"/>
        </w:rPr>
        <w:t xml:space="preserve"> dle čl. II odst. 2 </w:t>
      </w:r>
      <w:proofErr w:type="gramStart"/>
      <w:r>
        <w:rPr>
          <w:rFonts w:ascii="Arial" w:hAnsi="Arial" w:cs="Arial"/>
          <w:bCs/>
          <w:sz w:val="22"/>
          <w:szCs w:val="22"/>
        </w:rPr>
        <w:t>této</w:t>
      </w:r>
      <w:proofErr w:type="gramEnd"/>
      <w:r>
        <w:rPr>
          <w:rFonts w:ascii="Arial" w:hAnsi="Arial" w:cs="Arial"/>
          <w:bCs/>
          <w:sz w:val="22"/>
          <w:szCs w:val="22"/>
        </w:rPr>
        <w:t xml:space="preserve"> smlouvy, případně od jiného okamžiku, je-li to pro toto zboží obvyklé (např. od okamžiku registrace licence, implementace)</w:t>
      </w:r>
      <w:r w:rsidRPr="000579F5">
        <w:rPr>
          <w:rFonts w:ascii="Arial" w:hAnsi="Arial" w:cs="Arial"/>
          <w:bCs/>
          <w:sz w:val="22"/>
          <w:szCs w:val="22"/>
        </w:rPr>
        <w:t xml:space="preserve">. </w:t>
      </w:r>
    </w:p>
    <w:p w:rsidR="00C833C7" w:rsidRDefault="00C833C7" w:rsidP="00C833C7">
      <w:pPr>
        <w:numPr>
          <w:ilvl w:val="0"/>
          <w:numId w:val="2"/>
        </w:numPr>
        <w:tabs>
          <w:tab w:val="clear" w:pos="720"/>
        </w:tabs>
        <w:spacing w:before="120" w:after="120"/>
        <w:ind w:left="425" w:hanging="425"/>
        <w:rPr>
          <w:rFonts w:ascii="Arial" w:hAnsi="Arial" w:cs="Arial"/>
          <w:bCs/>
          <w:sz w:val="22"/>
          <w:szCs w:val="22"/>
        </w:rPr>
      </w:pPr>
      <w:r w:rsidRPr="00FF01A1">
        <w:rPr>
          <w:rFonts w:ascii="Arial" w:hAnsi="Arial" w:cs="Arial"/>
          <w:bCs/>
          <w:sz w:val="22"/>
          <w:szCs w:val="22"/>
        </w:rPr>
        <w:t xml:space="preserve">Vadou zboží se rozumí zejména odchylka od množství, druhu či kvalitativních náležitostí zboží stanovených touto smlouvou, technickými normami či obecně závaznými právními předpisy, dále dodání jiného zboží a vady v dokladech nutných k řádnému užívání zboží a k nakládání </w:t>
      </w:r>
      <w:r>
        <w:rPr>
          <w:rFonts w:ascii="Arial" w:hAnsi="Arial" w:cs="Arial"/>
          <w:bCs/>
          <w:sz w:val="22"/>
          <w:szCs w:val="22"/>
        </w:rPr>
        <w:br/>
      </w:r>
      <w:r w:rsidRPr="00FF01A1">
        <w:rPr>
          <w:rFonts w:ascii="Arial" w:hAnsi="Arial" w:cs="Arial"/>
          <w:bCs/>
          <w:sz w:val="22"/>
          <w:szCs w:val="22"/>
        </w:rPr>
        <w:t>se zbožím.</w:t>
      </w:r>
    </w:p>
    <w:p w:rsidR="00C833C7" w:rsidRPr="000579F5" w:rsidRDefault="00C833C7" w:rsidP="00C833C7">
      <w:pPr>
        <w:numPr>
          <w:ilvl w:val="0"/>
          <w:numId w:val="2"/>
        </w:numPr>
        <w:tabs>
          <w:tab w:val="clear" w:pos="720"/>
        </w:tabs>
        <w:spacing w:before="120" w:after="120"/>
        <w:ind w:left="425" w:hanging="425"/>
        <w:rPr>
          <w:rFonts w:ascii="Arial" w:hAnsi="Arial" w:cs="Arial"/>
          <w:bCs/>
          <w:sz w:val="22"/>
          <w:szCs w:val="22"/>
        </w:rPr>
      </w:pPr>
      <w:r w:rsidRPr="000579F5">
        <w:rPr>
          <w:rFonts w:ascii="Arial" w:hAnsi="Arial" w:cs="Arial"/>
          <w:bCs/>
          <w:sz w:val="22"/>
          <w:szCs w:val="22"/>
        </w:rPr>
        <w:t>Písemnou reklamaci lze uplatnit nejpozději do posledního dne záruční doby, přičemž reklamace odeslaná kupujícím v poslední den záruční doby se považuje za včas uplatněnou.</w:t>
      </w:r>
    </w:p>
    <w:p w:rsidR="00C833C7" w:rsidRPr="000579F5" w:rsidRDefault="00C833C7" w:rsidP="00C833C7">
      <w:pPr>
        <w:numPr>
          <w:ilvl w:val="0"/>
          <w:numId w:val="2"/>
        </w:numPr>
        <w:tabs>
          <w:tab w:val="clear" w:pos="720"/>
        </w:tabs>
        <w:spacing w:before="120" w:after="120"/>
        <w:ind w:left="425" w:hanging="425"/>
        <w:rPr>
          <w:rFonts w:ascii="Arial" w:hAnsi="Arial" w:cs="Arial"/>
          <w:bCs/>
          <w:sz w:val="22"/>
          <w:szCs w:val="22"/>
        </w:rPr>
      </w:pPr>
      <w:r w:rsidRPr="000579F5">
        <w:rPr>
          <w:rFonts w:ascii="Arial" w:hAnsi="Arial" w:cs="Arial"/>
          <w:bCs/>
          <w:sz w:val="22"/>
          <w:szCs w:val="22"/>
        </w:rPr>
        <w:t>Prodávající odstraní v záruční době reklamované vady na svůj náklad. Odmítne-li prodávající odstranit reklamované vady, případně neodstraní-li je do 15 dnů od stanoveného termínu, je kupující oprávněn odstranit vady sám nebo prostřednictvím třetího subjektu a náklady s tím spojené vyúčtovat prodávajícímu.</w:t>
      </w:r>
    </w:p>
    <w:p w:rsidR="00C833C7" w:rsidRPr="00ED7A52" w:rsidRDefault="00C833C7" w:rsidP="00C833C7">
      <w:pPr>
        <w:numPr>
          <w:ilvl w:val="0"/>
          <w:numId w:val="2"/>
        </w:numPr>
        <w:tabs>
          <w:tab w:val="clear" w:pos="720"/>
        </w:tabs>
        <w:spacing w:after="120"/>
        <w:ind w:left="425" w:hanging="425"/>
        <w:rPr>
          <w:rFonts w:ascii="Arial" w:hAnsi="Arial" w:cs="Arial"/>
          <w:bCs/>
          <w:sz w:val="22"/>
          <w:szCs w:val="22"/>
        </w:rPr>
      </w:pPr>
      <w:r>
        <w:rPr>
          <w:rFonts w:ascii="Arial" w:hAnsi="Arial" w:cs="Arial"/>
          <w:bCs/>
          <w:sz w:val="22"/>
          <w:szCs w:val="22"/>
        </w:rPr>
        <w:t>Technická podpora je poskytována ve stejném rozsahu a za stejných podmínek jako záruční podpora. Pro tyto účely se pojem „servisní požadavek“ považuje za synonymum pojmu „vada“, p</w:t>
      </w:r>
      <w:r w:rsidRPr="00ED7A52">
        <w:rPr>
          <w:rFonts w:ascii="Arial" w:hAnsi="Arial" w:cs="Arial"/>
          <w:bCs/>
          <w:sz w:val="22"/>
          <w:szCs w:val="22"/>
        </w:rPr>
        <w:t>ojem „záruční doba“ synonymem pojmu „doba poskytování technické podpory“ atd.</w:t>
      </w:r>
    </w:p>
    <w:p w:rsidR="00C833C7" w:rsidRPr="00ED7A52" w:rsidRDefault="00C833C7" w:rsidP="00C833C7">
      <w:pPr>
        <w:numPr>
          <w:ilvl w:val="0"/>
          <w:numId w:val="2"/>
        </w:numPr>
        <w:tabs>
          <w:tab w:val="clear" w:pos="720"/>
        </w:tabs>
        <w:spacing w:after="120"/>
        <w:ind w:left="425" w:hanging="425"/>
        <w:rPr>
          <w:rFonts w:ascii="Arial" w:hAnsi="Arial" w:cs="Arial"/>
          <w:bCs/>
          <w:sz w:val="22"/>
          <w:szCs w:val="22"/>
        </w:rPr>
      </w:pPr>
      <w:r w:rsidRPr="00ED7A52">
        <w:rPr>
          <w:rFonts w:ascii="Arial" w:hAnsi="Arial" w:cs="Arial"/>
          <w:bCs/>
          <w:sz w:val="22"/>
          <w:szCs w:val="22"/>
        </w:rPr>
        <w:t>Prodávající kupujícímu garantuje, že pro dodané zboží bude po dobu dalších 2 let po uplynutí záruční doby volně pořiditelná technická podpora od jakéhokoli jiného dodavatele na trhu (tj.</w:t>
      </w:r>
      <w:r>
        <w:rPr>
          <w:rFonts w:ascii="Arial" w:hAnsi="Arial" w:cs="Arial"/>
          <w:bCs/>
          <w:sz w:val="22"/>
          <w:szCs w:val="22"/>
        </w:rPr>
        <w:t> </w:t>
      </w:r>
      <w:r w:rsidRPr="00ED7A52">
        <w:rPr>
          <w:rFonts w:ascii="Arial" w:hAnsi="Arial" w:cs="Arial"/>
          <w:bCs/>
          <w:sz w:val="22"/>
          <w:szCs w:val="22"/>
        </w:rPr>
        <w:t>možnost provozovat zařízení s podporou minimálně 60 měsíců).</w:t>
      </w:r>
    </w:p>
    <w:p w:rsidR="00C833C7" w:rsidRDefault="00C833C7" w:rsidP="00C833C7">
      <w:pPr>
        <w:numPr>
          <w:ilvl w:val="0"/>
          <w:numId w:val="2"/>
        </w:numPr>
        <w:tabs>
          <w:tab w:val="clear" w:pos="720"/>
        </w:tabs>
        <w:spacing w:after="120"/>
        <w:ind w:left="425" w:hanging="425"/>
        <w:rPr>
          <w:rFonts w:ascii="Arial" w:hAnsi="Arial" w:cs="Arial"/>
          <w:bCs/>
          <w:sz w:val="22"/>
          <w:szCs w:val="22"/>
        </w:rPr>
      </w:pPr>
      <w:r w:rsidRPr="00ED7A52">
        <w:rPr>
          <w:rFonts w:ascii="Arial" w:hAnsi="Arial" w:cs="Arial"/>
          <w:bCs/>
          <w:sz w:val="22"/>
          <w:szCs w:val="22"/>
        </w:rPr>
        <w:t>Uplatněním odpovědnosti za vady nejsou dotčeny nároky na náhradu škody nebo na uplatnění smluvní pokuty.</w:t>
      </w:r>
    </w:p>
    <w:p w:rsidR="00C833C7" w:rsidRPr="00EC6E57" w:rsidRDefault="00C833C7" w:rsidP="00C833C7">
      <w:pPr>
        <w:numPr>
          <w:ilvl w:val="0"/>
          <w:numId w:val="2"/>
        </w:numPr>
        <w:tabs>
          <w:tab w:val="clear" w:pos="720"/>
          <w:tab w:val="num" w:pos="426"/>
        </w:tabs>
        <w:spacing w:after="120"/>
        <w:ind w:left="426" w:hanging="426"/>
        <w:rPr>
          <w:rFonts w:ascii="Arial" w:hAnsi="Arial" w:cs="Arial"/>
          <w:bCs/>
          <w:sz w:val="22"/>
          <w:szCs w:val="22"/>
        </w:rPr>
      </w:pPr>
      <w:r>
        <w:rPr>
          <w:rFonts w:ascii="Arial" w:hAnsi="Arial" w:cs="Arial"/>
          <w:bCs/>
          <w:sz w:val="22"/>
          <w:szCs w:val="22"/>
        </w:rPr>
        <w:t>Prodávající</w:t>
      </w:r>
      <w:r w:rsidRPr="00EC6E57">
        <w:rPr>
          <w:rFonts w:ascii="Arial" w:hAnsi="Arial" w:cs="Arial"/>
          <w:bCs/>
          <w:sz w:val="22"/>
          <w:szCs w:val="22"/>
        </w:rPr>
        <w:t xml:space="preserve"> odpovídá za škody, které svou činností, ale i nečinností způsobí </w:t>
      </w:r>
      <w:r>
        <w:rPr>
          <w:rFonts w:ascii="Arial" w:hAnsi="Arial" w:cs="Arial"/>
          <w:bCs/>
          <w:sz w:val="22"/>
          <w:szCs w:val="22"/>
        </w:rPr>
        <w:t xml:space="preserve">kupujícímu </w:t>
      </w:r>
      <w:r w:rsidRPr="00EC6E57">
        <w:rPr>
          <w:rFonts w:ascii="Arial" w:hAnsi="Arial" w:cs="Arial"/>
          <w:bCs/>
          <w:sz w:val="22"/>
          <w:szCs w:val="22"/>
        </w:rPr>
        <w:t xml:space="preserve">nebo třetím osobám, a to zejména v důsledku neplnění podmínek, vyplývajících z právních předpisů nebo z této smlouvy. Jakoukoliv škodu takto vzniklou je </w:t>
      </w:r>
      <w:r>
        <w:rPr>
          <w:rFonts w:ascii="Arial" w:hAnsi="Arial" w:cs="Arial"/>
          <w:bCs/>
          <w:sz w:val="22"/>
          <w:szCs w:val="22"/>
        </w:rPr>
        <w:t>prodávající</w:t>
      </w:r>
      <w:r w:rsidRPr="00EC6E57">
        <w:rPr>
          <w:rFonts w:ascii="Arial" w:hAnsi="Arial" w:cs="Arial"/>
          <w:bCs/>
          <w:sz w:val="22"/>
          <w:szCs w:val="22"/>
        </w:rPr>
        <w:t xml:space="preserve"> povinen bezodkladně odstranit a není-li to možné, pak finančně nahradit v plné výši.</w:t>
      </w:r>
    </w:p>
    <w:p w:rsidR="00C833C7" w:rsidRPr="007E7A3B" w:rsidRDefault="00C833C7" w:rsidP="00C833C7">
      <w:pPr>
        <w:spacing w:before="240"/>
        <w:jc w:val="center"/>
        <w:rPr>
          <w:rFonts w:ascii="Arial" w:hAnsi="Arial" w:cs="Arial"/>
          <w:b/>
          <w:sz w:val="22"/>
          <w:szCs w:val="22"/>
        </w:rPr>
      </w:pPr>
      <w:r w:rsidRPr="00ED7A52">
        <w:rPr>
          <w:rFonts w:ascii="Arial" w:hAnsi="Arial" w:cs="Arial"/>
          <w:b/>
          <w:bCs/>
          <w:sz w:val="22"/>
          <w:szCs w:val="22"/>
        </w:rPr>
        <w:t xml:space="preserve">Článek </w:t>
      </w:r>
      <w:r w:rsidRPr="007E7A3B">
        <w:rPr>
          <w:rFonts w:ascii="Arial" w:hAnsi="Arial" w:cs="Arial"/>
          <w:b/>
          <w:sz w:val="22"/>
          <w:szCs w:val="22"/>
        </w:rPr>
        <w:t>IV.</w:t>
      </w:r>
    </w:p>
    <w:p w:rsidR="00C833C7" w:rsidRPr="00ED7A52" w:rsidRDefault="00C833C7" w:rsidP="00C833C7">
      <w:pPr>
        <w:pStyle w:val="Nadpis2"/>
        <w:spacing w:before="0" w:after="240"/>
        <w:jc w:val="center"/>
        <w:rPr>
          <w:rFonts w:ascii="Arial" w:hAnsi="Arial" w:cs="Arial"/>
          <w:i w:val="0"/>
          <w:sz w:val="22"/>
          <w:szCs w:val="22"/>
        </w:rPr>
      </w:pPr>
      <w:r w:rsidRPr="00ED7A52">
        <w:rPr>
          <w:rFonts w:ascii="Arial" w:hAnsi="Arial" w:cs="Arial"/>
          <w:i w:val="0"/>
          <w:sz w:val="22"/>
          <w:szCs w:val="22"/>
        </w:rPr>
        <w:t>Cena a platební podmínky</w:t>
      </w:r>
    </w:p>
    <w:p w:rsidR="00C833C7" w:rsidRPr="00823688" w:rsidRDefault="00C833C7" w:rsidP="00C833C7">
      <w:pPr>
        <w:numPr>
          <w:ilvl w:val="0"/>
          <w:numId w:val="15"/>
        </w:numPr>
        <w:tabs>
          <w:tab w:val="num" w:pos="426"/>
        </w:tabs>
        <w:spacing w:after="120"/>
        <w:ind w:left="425" w:hanging="425"/>
        <w:rPr>
          <w:rFonts w:ascii="Arial" w:hAnsi="Arial" w:cs="Arial"/>
          <w:sz w:val="22"/>
          <w:szCs w:val="22"/>
        </w:rPr>
      </w:pPr>
      <w:r w:rsidRPr="00146DDB">
        <w:rPr>
          <w:rFonts w:ascii="Arial" w:hAnsi="Arial" w:cs="Arial"/>
          <w:sz w:val="22"/>
          <w:szCs w:val="22"/>
        </w:rPr>
        <w:t>Celková cena dle této smlouvy a její kalkulace jsou uvedeny</w:t>
      </w:r>
      <w:r w:rsidRPr="00823688">
        <w:rPr>
          <w:rFonts w:ascii="Arial" w:hAnsi="Arial" w:cs="Arial"/>
          <w:sz w:val="22"/>
          <w:szCs w:val="22"/>
        </w:rPr>
        <w:t xml:space="preserve"> v příloze č. 2 </w:t>
      </w:r>
      <w:proofErr w:type="gramStart"/>
      <w:r w:rsidRPr="00823688">
        <w:rPr>
          <w:rFonts w:ascii="Arial" w:hAnsi="Arial" w:cs="Arial"/>
          <w:sz w:val="22"/>
          <w:szCs w:val="22"/>
        </w:rPr>
        <w:t>této</w:t>
      </w:r>
      <w:proofErr w:type="gramEnd"/>
      <w:r w:rsidRPr="00823688">
        <w:rPr>
          <w:rFonts w:ascii="Arial" w:hAnsi="Arial" w:cs="Arial"/>
          <w:sz w:val="22"/>
          <w:szCs w:val="22"/>
        </w:rPr>
        <w:t xml:space="preserve"> smlouvy – Kalkulace ceny. </w:t>
      </w:r>
    </w:p>
    <w:p w:rsidR="00C833C7" w:rsidRPr="00146DDB" w:rsidRDefault="00C833C7" w:rsidP="00C833C7">
      <w:pPr>
        <w:numPr>
          <w:ilvl w:val="0"/>
          <w:numId w:val="15"/>
        </w:numPr>
        <w:tabs>
          <w:tab w:val="num" w:pos="426"/>
        </w:tabs>
        <w:spacing w:after="120"/>
        <w:ind w:left="425" w:hanging="425"/>
        <w:rPr>
          <w:rFonts w:ascii="Arial" w:hAnsi="Arial" w:cs="Arial"/>
          <w:sz w:val="22"/>
          <w:szCs w:val="22"/>
        </w:rPr>
      </w:pPr>
      <w:r w:rsidRPr="00146DDB">
        <w:rPr>
          <w:rFonts w:ascii="Arial" w:hAnsi="Arial" w:cs="Arial"/>
          <w:sz w:val="22"/>
          <w:szCs w:val="22"/>
        </w:rPr>
        <w:t>Cen</w:t>
      </w:r>
      <w:r>
        <w:rPr>
          <w:rFonts w:ascii="Arial" w:hAnsi="Arial" w:cs="Arial"/>
          <w:sz w:val="22"/>
          <w:szCs w:val="22"/>
        </w:rPr>
        <w:t xml:space="preserve">a </w:t>
      </w:r>
      <w:r w:rsidRPr="00146DDB">
        <w:rPr>
          <w:rFonts w:ascii="Arial" w:hAnsi="Arial" w:cs="Arial"/>
          <w:sz w:val="22"/>
          <w:szCs w:val="22"/>
        </w:rPr>
        <w:t xml:space="preserve">dle přílohy č. </w:t>
      </w:r>
      <w:r>
        <w:rPr>
          <w:rFonts w:ascii="Arial" w:hAnsi="Arial" w:cs="Arial"/>
          <w:sz w:val="22"/>
          <w:szCs w:val="22"/>
        </w:rPr>
        <w:t xml:space="preserve">2 této smlouvy – Kalkulace ceny </w:t>
      </w:r>
      <w:r w:rsidRPr="00146DDB">
        <w:rPr>
          <w:rFonts w:ascii="Arial" w:hAnsi="Arial" w:cs="Arial"/>
          <w:sz w:val="22"/>
          <w:szCs w:val="22"/>
        </w:rPr>
        <w:t>j</w:t>
      </w:r>
      <w:r>
        <w:rPr>
          <w:rFonts w:ascii="Arial" w:hAnsi="Arial" w:cs="Arial"/>
          <w:sz w:val="22"/>
          <w:szCs w:val="22"/>
        </w:rPr>
        <w:t>e</w:t>
      </w:r>
      <w:r w:rsidRPr="00146DDB">
        <w:rPr>
          <w:rFonts w:ascii="Arial" w:hAnsi="Arial" w:cs="Arial"/>
          <w:sz w:val="22"/>
          <w:szCs w:val="22"/>
        </w:rPr>
        <w:t xml:space="preserve"> stanoven</w:t>
      </w:r>
      <w:r>
        <w:rPr>
          <w:rFonts w:ascii="Arial" w:hAnsi="Arial" w:cs="Arial"/>
          <w:sz w:val="22"/>
          <w:szCs w:val="22"/>
        </w:rPr>
        <w:t>a</w:t>
      </w:r>
      <w:r w:rsidRPr="00146DDB">
        <w:rPr>
          <w:rFonts w:ascii="Arial" w:hAnsi="Arial" w:cs="Arial"/>
          <w:sz w:val="22"/>
          <w:szCs w:val="22"/>
        </w:rPr>
        <w:t xml:space="preserve"> jako nejvýše přípustn</w:t>
      </w:r>
      <w:r>
        <w:rPr>
          <w:rFonts w:ascii="Arial" w:hAnsi="Arial" w:cs="Arial"/>
          <w:sz w:val="22"/>
          <w:szCs w:val="22"/>
        </w:rPr>
        <w:t>á</w:t>
      </w:r>
      <w:r w:rsidRPr="00146DDB">
        <w:rPr>
          <w:rFonts w:ascii="Arial" w:hAnsi="Arial" w:cs="Arial"/>
          <w:sz w:val="22"/>
          <w:szCs w:val="22"/>
        </w:rPr>
        <w:t xml:space="preserve"> </w:t>
      </w:r>
      <w:r>
        <w:rPr>
          <w:rFonts w:ascii="Arial" w:hAnsi="Arial" w:cs="Arial"/>
          <w:sz w:val="22"/>
          <w:szCs w:val="22"/>
        </w:rPr>
        <w:br/>
      </w:r>
      <w:r w:rsidRPr="00146DDB">
        <w:rPr>
          <w:rFonts w:ascii="Arial" w:hAnsi="Arial" w:cs="Arial"/>
          <w:sz w:val="22"/>
          <w:szCs w:val="22"/>
        </w:rPr>
        <w:t>a nepřekročiteln</w:t>
      </w:r>
      <w:r>
        <w:rPr>
          <w:rFonts w:ascii="Arial" w:hAnsi="Arial" w:cs="Arial"/>
          <w:sz w:val="22"/>
          <w:szCs w:val="22"/>
        </w:rPr>
        <w:t>á</w:t>
      </w:r>
      <w:r w:rsidRPr="00146DDB">
        <w:rPr>
          <w:rFonts w:ascii="Arial" w:hAnsi="Arial" w:cs="Arial"/>
          <w:sz w:val="22"/>
          <w:szCs w:val="22"/>
        </w:rPr>
        <w:t xml:space="preserve"> a</w:t>
      </w:r>
      <w:r>
        <w:rPr>
          <w:rFonts w:ascii="Arial" w:hAnsi="Arial" w:cs="Arial"/>
          <w:sz w:val="22"/>
          <w:szCs w:val="22"/>
        </w:rPr>
        <w:t xml:space="preserve"> zahrnuje </w:t>
      </w:r>
      <w:r w:rsidRPr="00146DDB">
        <w:rPr>
          <w:rFonts w:ascii="Arial" w:hAnsi="Arial" w:cs="Arial"/>
          <w:sz w:val="22"/>
          <w:szCs w:val="22"/>
        </w:rPr>
        <w:t xml:space="preserve">zejména veškeré výlohy, výdaje a náklady prodávajícího spojené s plněním předmětu </w:t>
      </w:r>
      <w:r>
        <w:rPr>
          <w:rFonts w:ascii="Arial" w:hAnsi="Arial" w:cs="Arial"/>
          <w:sz w:val="22"/>
          <w:szCs w:val="22"/>
        </w:rPr>
        <w:t xml:space="preserve">této </w:t>
      </w:r>
      <w:r w:rsidRPr="00146DDB">
        <w:rPr>
          <w:rFonts w:ascii="Arial" w:hAnsi="Arial" w:cs="Arial"/>
          <w:sz w:val="22"/>
          <w:szCs w:val="22"/>
        </w:rPr>
        <w:t>smlouvy</w:t>
      </w:r>
      <w:r>
        <w:rPr>
          <w:rFonts w:ascii="Arial" w:hAnsi="Arial" w:cs="Arial"/>
          <w:sz w:val="22"/>
          <w:szCs w:val="22"/>
        </w:rPr>
        <w:t xml:space="preserve"> včetně záruky, záruční a technické podpory</w:t>
      </w:r>
      <w:r w:rsidRPr="00146DDB">
        <w:rPr>
          <w:rFonts w:ascii="Arial" w:hAnsi="Arial" w:cs="Arial"/>
          <w:sz w:val="22"/>
          <w:szCs w:val="22"/>
        </w:rPr>
        <w:t xml:space="preserve"> dle čl. III </w:t>
      </w:r>
      <w:proofErr w:type="gramStart"/>
      <w:r w:rsidRPr="00146DDB">
        <w:rPr>
          <w:rFonts w:ascii="Arial" w:hAnsi="Arial" w:cs="Arial"/>
          <w:sz w:val="22"/>
          <w:szCs w:val="22"/>
        </w:rPr>
        <w:t>této</w:t>
      </w:r>
      <w:proofErr w:type="gramEnd"/>
      <w:r w:rsidRPr="00146DDB">
        <w:rPr>
          <w:rFonts w:ascii="Arial" w:hAnsi="Arial" w:cs="Arial"/>
          <w:sz w:val="22"/>
          <w:szCs w:val="22"/>
        </w:rPr>
        <w:t xml:space="preserve"> smlouvy</w:t>
      </w:r>
      <w:r>
        <w:rPr>
          <w:rFonts w:ascii="Arial" w:hAnsi="Arial" w:cs="Arial"/>
          <w:sz w:val="22"/>
          <w:szCs w:val="22"/>
        </w:rPr>
        <w:t xml:space="preserve"> </w:t>
      </w:r>
      <w:r w:rsidRPr="00472121">
        <w:rPr>
          <w:rFonts w:ascii="Arial" w:hAnsi="Arial" w:cs="Arial"/>
          <w:sz w:val="22"/>
          <w:szCs w:val="22"/>
        </w:rPr>
        <w:t>(včetně mzdových nákladů, provozních nákladů, nákladů na administraci, náklady na dopravu do místa plnění</w:t>
      </w:r>
      <w:r>
        <w:rPr>
          <w:rFonts w:ascii="Arial" w:hAnsi="Arial" w:cs="Arial"/>
          <w:sz w:val="22"/>
          <w:szCs w:val="22"/>
        </w:rPr>
        <w:t xml:space="preserve"> </w:t>
      </w:r>
      <w:r w:rsidRPr="00472121">
        <w:rPr>
          <w:rFonts w:ascii="Arial" w:hAnsi="Arial" w:cs="Arial"/>
          <w:sz w:val="22"/>
          <w:szCs w:val="22"/>
        </w:rPr>
        <w:t>a další</w:t>
      </w:r>
      <w:r>
        <w:rPr>
          <w:rFonts w:ascii="Arial" w:hAnsi="Arial" w:cs="Arial"/>
          <w:sz w:val="22"/>
          <w:szCs w:val="22"/>
        </w:rPr>
        <w:t>ch</w:t>
      </w:r>
      <w:r w:rsidRPr="00472121">
        <w:rPr>
          <w:rFonts w:ascii="Arial" w:hAnsi="Arial" w:cs="Arial"/>
          <w:sz w:val="22"/>
          <w:szCs w:val="22"/>
        </w:rPr>
        <w:t xml:space="preserve"> možných nákladů)</w:t>
      </w:r>
      <w:r w:rsidRPr="00146DDB">
        <w:rPr>
          <w:rFonts w:ascii="Arial" w:hAnsi="Arial" w:cs="Arial"/>
          <w:sz w:val="22"/>
          <w:szCs w:val="22"/>
        </w:rPr>
        <w:t xml:space="preserve">. </w:t>
      </w:r>
      <w:r>
        <w:rPr>
          <w:rFonts w:ascii="Arial" w:hAnsi="Arial" w:cs="Arial"/>
          <w:sz w:val="22"/>
          <w:szCs w:val="22"/>
        </w:rPr>
        <w:t>Cenu</w:t>
      </w:r>
      <w:r w:rsidRPr="00146DDB">
        <w:rPr>
          <w:rFonts w:ascii="Arial" w:hAnsi="Arial" w:cs="Arial"/>
          <w:sz w:val="22"/>
          <w:szCs w:val="22"/>
        </w:rPr>
        <w:t xml:space="preserve"> je možné měnit pouze v případě změny sazby DPH; v takovém případě není třeba uzavírat dodatek k této smlouvě, ale bude aplikována sazba DPH vždy v aktuální výši dle platných právních předpisů.</w:t>
      </w:r>
    </w:p>
    <w:p w:rsidR="00C833C7" w:rsidRPr="00984477" w:rsidRDefault="00C833C7" w:rsidP="00C833C7">
      <w:pPr>
        <w:numPr>
          <w:ilvl w:val="0"/>
          <w:numId w:val="15"/>
        </w:numPr>
        <w:tabs>
          <w:tab w:val="num" w:pos="426"/>
        </w:tabs>
        <w:spacing w:after="120"/>
        <w:ind w:left="425" w:hanging="425"/>
        <w:rPr>
          <w:rFonts w:ascii="Arial" w:hAnsi="Arial" w:cs="Arial"/>
          <w:sz w:val="22"/>
          <w:szCs w:val="22"/>
        </w:rPr>
      </w:pPr>
      <w:r>
        <w:rPr>
          <w:rFonts w:ascii="Arial" w:hAnsi="Arial" w:cs="Arial"/>
          <w:sz w:val="22"/>
          <w:szCs w:val="22"/>
        </w:rPr>
        <w:t>Cena dle přílohy č. 2 této smlouvy - Kalkulace ceny</w:t>
      </w:r>
      <w:r w:rsidRPr="000C194D">
        <w:rPr>
          <w:rFonts w:ascii="Arial" w:hAnsi="Arial" w:cs="Arial"/>
          <w:sz w:val="22"/>
          <w:szCs w:val="22"/>
        </w:rPr>
        <w:t xml:space="preserve"> bude </w:t>
      </w:r>
      <w:r>
        <w:rPr>
          <w:rFonts w:ascii="Arial" w:hAnsi="Arial" w:cs="Arial"/>
          <w:sz w:val="22"/>
          <w:szCs w:val="22"/>
        </w:rPr>
        <w:t>kupujícím uhrazena prodávajícímu na základě</w:t>
      </w:r>
      <w:r w:rsidRPr="00984477">
        <w:rPr>
          <w:rFonts w:ascii="Arial" w:hAnsi="Arial" w:cs="Arial"/>
          <w:bCs/>
          <w:sz w:val="22"/>
          <w:szCs w:val="22"/>
        </w:rPr>
        <w:t xml:space="preserve"> </w:t>
      </w:r>
      <w:r>
        <w:rPr>
          <w:rFonts w:ascii="Arial" w:hAnsi="Arial" w:cs="Arial"/>
          <w:sz w:val="22"/>
          <w:szCs w:val="22"/>
        </w:rPr>
        <w:t xml:space="preserve">oběma smluvními stranami schváleného </w:t>
      </w:r>
      <w:r w:rsidRPr="00C83136">
        <w:rPr>
          <w:rFonts w:ascii="Arial" w:hAnsi="Arial" w:cs="Arial"/>
          <w:bCs/>
          <w:sz w:val="22"/>
          <w:szCs w:val="22"/>
        </w:rPr>
        <w:t>předávacího</w:t>
      </w:r>
      <w:r>
        <w:rPr>
          <w:rFonts w:ascii="Arial" w:hAnsi="Arial" w:cs="Arial"/>
          <w:sz w:val="22"/>
          <w:szCs w:val="22"/>
        </w:rPr>
        <w:t xml:space="preserve"> protokolu </w:t>
      </w:r>
      <w:r w:rsidRPr="00984477">
        <w:rPr>
          <w:rFonts w:ascii="Arial" w:hAnsi="Arial" w:cs="Arial"/>
          <w:bCs/>
          <w:sz w:val="22"/>
          <w:szCs w:val="22"/>
        </w:rPr>
        <w:t>dle čl. II odst</w:t>
      </w:r>
      <w:r w:rsidRPr="00C03204">
        <w:rPr>
          <w:rFonts w:ascii="Arial" w:hAnsi="Arial" w:cs="Arial"/>
          <w:bCs/>
          <w:sz w:val="22"/>
          <w:szCs w:val="22"/>
        </w:rPr>
        <w:t>. 2 této smlouvy</w:t>
      </w:r>
      <w:r w:rsidRPr="00C03204">
        <w:rPr>
          <w:rFonts w:ascii="Arial" w:hAnsi="Arial" w:cs="Arial"/>
          <w:sz w:val="22"/>
          <w:szCs w:val="22"/>
        </w:rPr>
        <w:t xml:space="preserve"> </w:t>
      </w:r>
      <w:r>
        <w:rPr>
          <w:rFonts w:ascii="Arial" w:hAnsi="Arial" w:cs="Arial"/>
          <w:sz w:val="22"/>
          <w:szCs w:val="22"/>
        </w:rPr>
        <w:t xml:space="preserve">a </w:t>
      </w:r>
      <w:r w:rsidRPr="00146DDB">
        <w:rPr>
          <w:rFonts w:ascii="Arial" w:hAnsi="Arial" w:cs="Arial"/>
          <w:sz w:val="22"/>
          <w:szCs w:val="22"/>
        </w:rPr>
        <w:t>prodávajícím řádně vystavené faktury za</w:t>
      </w:r>
      <w:r>
        <w:rPr>
          <w:rFonts w:ascii="Arial" w:hAnsi="Arial" w:cs="Arial"/>
          <w:sz w:val="22"/>
          <w:szCs w:val="22"/>
        </w:rPr>
        <w:t xml:space="preserve"> plnění dle této smlouvy,</w:t>
      </w:r>
      <w:r w:rsidRPr="00146DDB">
        <w:rPr>
          <w:rFonts w:ascii="Arial" w:hAnsi="Arial" w:cs="Arial"/>
          <w:sz w:val="22"/>
          <w:szCs w:val="22"/>
        </w:rPr>
        <w:t xml:space="preserve"> za něž je kupujícímu fakturováno</w:t>
      </w:r>
      <w:r w:rsidRPr="00C03204">
        <w:rPr>
          <w:rFonts w:ascii="Arial" w:hAnsi="Arial" w:cs="Arial"/>
          <w:bCs/>
          <w:sz w:val="22"/>
          <w:szCs w:val="22"/>
        </w:rPr>
        <w:t>.</w:t>
      </w:r>
    </w:p>
    <w:p w:rsidR="00C833C7" w:rsidRPr="000C194D" w:rsidRDefault="00C833C7" w:rsidP="00C833C7">
      <w:pPr>
        <w:numPr>
          <w:ilvl w:val="0"/>
          <w:numId w:val="15"/>
        </w:numPr>
        <w:tabs>
          <w:tab w:val="num" w:pos="426"/>
        </w:tabs>
        <w:spacing w:after="120"/>
        <w:ind w:left="425" w:hanging="425"/>
        <w:rPr>
          <w:rFonts w:ascii="Arial" w:hAnsi="Arial" w:cs="Arial"/>
          <w:sz w:val="22"/>
          <w:szCs w:val="22"/>
        </w:rPr>
      </w:pPr>
      <w:r>
        <w:rPr>
          <w:rFonts w:ascii="Arial" w:hAnsi="Arial" w:cs="Arial"/>
          <w:sz w:val="22"/>
          <w:szCs w:val="22"/>
        </w:rPr>
        <w:lastRenderedPageBreak/>
        <w:t xml:space="preserve">Kupující </w:t>
      </w:r>
      <w:r w:rsidRPr="000C194D">
        <w:rPr>
          <w:rFonts w:ascii="Arial" w:hAnsi="Arial" w:cs="Arial"/>
          <w:sz w:val="22"/>
          <w:szCs w:val="22"/>
        </w:rPr>
        <w:t>neposkytuje zálohové platby.</w:t>
      </w:r>
    </w:p>
    <w:p w:rsidR="00C833C7" w:rsidRPr="00C03204" w:rsidRDefault="00C833C7" w:rsidP="00C833C7">
      <w:pPr>
        <w:numPr>
          <w:ilvl w:val="0"/>
          <w:numId w:val="15"/>
        </w:numPr>
        <w:tabs>
          <w:tab w:val="num" w:pos="426"/>
        </w:tabs>
        <w:spacing w:after="120"/>
        <w:ind w:left="425" w:hanging="425"/>
        <w:rPr>
          <w:rFonts w:ascii="Arial" w:hAnsi="Arial" w:cs="Arial"/>
          <w:sz w:val="22"/>
          <w:szCs w:val="22"/>
        </w:rPr>
      </w:pPr>
      <w:r>
        <w:rPr>
          <w:rFonts w:ascii="Arial" w:hAnsi="Arial" w:cs="Arial"/>
          <w:sz w:val="22"/>
          <w:szCs w:val="22"/>
        </w:rPr>
        <w:t>Faktura prodávajícího</w:t>
      </w:r>
      <w:r w:rsidRPr="000C194D">
        <w:rPr>
          <w:rFonts w:ascii="Arial" w:hAnsi="Arial" w:cs="Arial"/>
          <w:sz w:val="22"/>
          <w:szCs w:val="22"/>
        </w:rPr>
        <w:t xml:space="preserve">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 Na faktuře musí být uvedeno evidenční číslo t</w:t>
      </w:r>
      <w:r>
        <w:rPr>
          <w:rFonts w:ascii="Arial" w:hAnsi="Arial" w:cs="Arial"/>
          <w:sz w:val="22"/>
          <w:szCs w:val="22"/>
        </w:rPr>
        <w:t>éto smlouvy uvedené kupujícím</w:t>
      </w:r>
      <w:r w:rsidRPr="000C194D">
        <w:rPr>
          <w:rFonts w:ascii="Arial" w:hAnsi="Arial" w:cs="Arial"/>
          <w:sz w:val="22"/>
          <w:szCs w:val="22"/>
        </w:rPr>
        <w:t xml:space="preserve"> v záhlaví této smlouvy a její přílohou bude kopie </w:t>
      </w:r>
      <w:r>
        <w:rPr>
          <w:rFonts w:ascii="Arial" w:hAnsi="Arial" w:cs="Arial"/>
          <w:sz w:val="22"/>
          <w:szCs w:val="22"/>
        </w:rPr>
        <w:t>předávacího protokolu dle čl. II</w:t>
      </w:r>
      <w:r w:rsidRPr="000C194D">
        <w:rPr>
          <w:rFonts w:ascii="Arial" w:hAnsi="Arial" w:cs="Arial"/>
          <w:sz w:val="22"/>
          <w:szCs w:val="22"/>
        </w:rPr>
        <w:t xml:space="preserve"> odst. </w:t>
      </w:r>
      <w:r>
        <w:rPr>
          <w:rFonts w:ascii="Arial" w:hAnsi="Arial" w:cs="Arial"/>
          <w:sz w:val="22"/>
          <w:szCs w:val="22"/>
        </w:rPr>
        <w:t>2</w:t>
      </w:r>
      <w:r w:rsidRPr="000C194D">
        <w:rPr>
          <w:rFonts w:ascii="Arial" w:hAnsi="Arial" w:cs="Arial"/>
          <w:sz w:val="22"/>
          <w:szCs w:val="22"/>
        </w:rPr>
        <w:t xml:space="preserve"> této smlouvy</w:t>
      </w:r>
      <w:r>
        <w:rPr>
          <w:rFonts w:ascii="Arial" w:hAnsi="Arial" w:cs="Arial"/>
          <w:sz w:val="22"/>
          <w:szCs w:val="22"/>
        </w:rPr>
        <w:t>.</w:t>
      </w:r>
    </w:p>
    <w:p w:rsidR="00C833C7" w:rsidRPr="000C194D" w:rsidRDefault="00C833C7" w:rsidP="00C833C7">
      <w:pPr>
        <w:numPr>
          <w:ilvl w:val="0"/>
          <w:numId w:val="15"/>
        </w:numPr>
        <w:tabs>
          <w:tab w:val="num" w:pos="426"/>
        </w:tabs>
        <w:spacing w:after="120"/>
        <w:ind w:left="425" w:hanging="425"/>
        <w:rPr>
          <w:rFonts w:ascii="Arial" w:hAnsi="Arial" w:cs="Arial"/>
          <w:sz w:val="22"/>
          <w:szCs w:val="22"/>
        </w:rPr>
      </w:pPr>
      <w:r w:rsidRPr="000C194D">
        <w:rPr>
          <w:rFonts w:ascii="Arial" w:hAnsi="Arial" w:cs="Arial"/>
          <w:sz w:val="22"/>
          <w:szCs w:val="22"/>
        </w:rPr>
        <w:t>V případě, že úhrada některé z částí smluvní ceny má být provedena zcela nebo zčásti bezhotovostním převodem na účet vedený poskytovatelem platebních služeb mimo tuzemsko ve smyslu § 109 odst. 2 písm. b) ZDPH, nebo číslo bankovního účtu zhotovitele uvedené v této smlouvě nebo na daňovém dokladu vystaveném zhotovitelem nebude uveřejněno způsobem umožňujícím dálkový přístup ve smyslu § 109 odst. 2 písm. c) ZDPH a nebo stane-li se zhotovitel nespolehlivým plátcem ve smyslu § 106a ZDPH, je objednatel oprávněn uhradit zhotoviteli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w:t>
      </w:r>
    </w:p>
    <w:p w:rsidR="00C833C7" w:rsidRPr="00D12F41" w:rsidRDefault="00C833C7" w:rsidP="00C833C7">
      <w:pPr>
        <w:numPr>
          <w:ilvl w:val="0"/>
          <w:numId w:val="15"/>
        </w:numPr>
        <w:tabs>
          <w:tab w:val="num" w:pos="426"/>
        </w:tabs>
        <w:spacing w:after="120"/>
        <w:ind w:left="425" w:hanging="425"/>
        <w:rPr>
          <w:rFonts w:ascii="Arial" w:hAnsi="Arial" w:cs="Arial"/>
          <w:sz w:val="22"/>
          <w:szCs w:val="22"/>
        </w:rPr>
      </w:pPr>
      <w:r w:rsidRPr="000C194D">
        <w:rPr>
          <w:rFonts w:ascii="Arial" w:hAnsi="Arial" w:cs="Arial"/>
          <w:sz w:val="22"/>
          <w:szCs w:val="22"/>
        </w:rPr>
        <w:t>V případě, že faktura nebude mít stanovené náležitosti nebo bude obsah</w:t>
      </w:r>
      <w:r>
        <w:rPr>
          <w:rFonts w:ascii="Arial" w:hAnsi="Arial" w:cs="Arial"/>
          <w:sz w:val="22"/>
          <w:szCs w:val="22"/>
        </w:rPr>
        <w:t>ovat chybné údaje,</w:t>
      </w:r>
      <w:r>
        <w:rPr>
          <w:rFonts w:ascii="Arial" w:hAnsi="Arial" w:cs="Arial"/>
          <w:sz w:val="22"/>
          <w:szCs w:val="22"/>
        </w:rPr>
        <w:br/>
        <w:t>je kupující</w:t>
      </w:r>
      <w:r w:rsidRPr="000C194D">
        <w:rPr>
          <w:rFonts w:ascii="Arial" w:hAnsi="Arial" w:cs="Arial"/>
          <w:sz w:val="22"/>
          <w:szCs w:val="22"/>
        </w:rPr>
        <w:t xml:space="preserve"> oprávněn tuto fakturu ve lhůtě j</w:t>
      </w:r>
      <w:r>
        <w:rPr>
          <w:rFonts w:ascii="Arial" w:hAnsi="Arial" w:cs="Arial"/>
          <w:sz w:val="22"/>
          <w:szCs w:val="22"/>
        </w:rPr>
        <w:t xml:space="preserve">ejí splatnosti vrátit prodávajícímu, aniž by se tím kupující </w:t>
      </w:r>
      <w:r w:rsidRPr="000C194D">
        <w:rPr>
          <w:rFonts w:ascii="Arial" w:hAnsi="Arial" w:cs="Arial"/>
          <w:sz w:val="22"/>
          <w:szCs w:val="22"/>
        </w:rPr>
        <w:t>dostal do prodlení s úhradou faktury. Nová lhůta splatnosti počíná běžet dnem obdržení opravené nebo nově vystavené faktury. Důvod případného vráce</w:t>
      </w:r>
      <w:r>
        <w:rPr>
          <w:rFonts w:ascii="Arial" w:hAnsi="Arial" w:cs="Arial"/>
          <w:sz w:val="22"/>
          <w:szCs w:val="22"/>
        </w:rPr>
        <w:t>ní faktury musí být kupujícím</w:t>
      </w:r>
      <w:r w:rsidRPr="000C194D">
        <w:rPr>
          <w:rFonts w:ascii="Arial" w:hAnsi="Arial" w:cs="Arial"/>
          <w:sz w:val="22"/>
          <w:szCs w:val="22"/>
        </w:rPr>
        <w:t xml:space="preserve"> </w:t>
      </w:r>
      <w:r w:rsidRPr="00D12F41">
        <w:rPr>
          <w:rFonts w:ascii="Arial" w:hAnsi="Arial" w:cs="Arial"/>
          <w:sz w:val="22"/>
          <w:szCs w:val="22"/>
        </w:rPr>
        <w:t>jednoznačně vymezen.</w:t>
      </w:r>
    </w:p>
    <w:p w:rsidR="00C833C7" w:rsidRPr="00D12F41" w:rsidRDefault="00C833C7" w:rsidP="00C833C7">
      <w:pPr>
        <w:numPr>
          <w:ilvl w:val="0"/>
          <w:numId w:val="15"/>
        </w:numPr>
        <w:shd w:val="clear" w:color="auto" w:fill="FFFFFF" w:themeFill="background1"/>
        <w:tabs>
          <w:tab w:val="num" w:pos="426"/>
        </w:tabs>
        <w:spacing w:after="120"/>
        <w:ind w:left="425" w:hanging="425"/>
        <w:rPr>
          <w:rFonts w:ascii="Arial" w:hAnsi="Arial" w:cs="Arial"/>
          <w:sz w:val="22"/>
          <w:szCs w:val="22"/>
        </w:rPr>
      </w:pPr>
      <w:r w:rsidRPr="00D12F41">
        <w:rPr>
          <w:rFonts w:ascii="Arial" w:hAnsi="Arial" w:cs="Arial"/>
          <w:sz w:val="22"/>
          <w:szCs w:val="22"/>
        </w:rPr>
        <w:t xml:space="preserve">Prodávající je oprávněn fakturu včetně všech jejích příloh vystavit v elektronické formě dle </w:t>
      </w:r>
      <w:r w:rsidRPr="00D12F41">
        <w:rPr>
          <w:rFonts w:ascii="Arial" w:hAnsi="Arial" w:cs="Arial"/>
          <w:sz w:val="22"/>
          <w:szCs w:val="22"/>
        </w:rPr>
        <w:br/>
        <w:t xml:space="preserve">§ 26 ZDPH, a to ve formátu ISDOC nebo ISDOCX verze 5.2 nebo vyšší. </w:t>
      </w:r>
      <w:r w:rsidRPr="00D12F41">
        <w:rPr>
          <w:rFonts w:ascii="Arial" w:hAnsi="Arial" w:cs="Arial"/>
          <w:color w:val="000000"/>
          <w:sz w:val="22"/>
          <w:szCs w:val="22"/>
        </w:rPr>
        <w:t>Prodávající je dále oprávněn vystavit fakturu ve formátu, který je v souladu s evropským standardem elektronické faktury dle technické normy ČSN EN 16931-1:2017.</w:t>
      </w:r>
      <w:r w:rsidRPr="00D12F41">
        <w:rPr>
          <w:rFonts w:ascii="Arial" w:hAnsi="Arial" w:cs="Arial"/>
          <w:sz w:val="22"/>
          <w:szCs w:val="22"/>
        </w:rPr>
        <w:t xml:space="preserve"> Elektronickou fakturu je možné zaslat datovou schránkou (identifikace: trfaa33) nebo elektronickou poštou na adresu </w:t>
      </w:r>
      <w:hyperlink r:id="rId7" w:history="1">
        <w:r w:rsidRPr="00D12F41">
          <w:rPr>
            <w:rFonts w:ascii="Arial" w:hAnsi="Arial" w:cs="Arial"/>
            <w:sz w:val="22"/>
            <w:szCs w:val="22"/>
          </w:rPr>
          <w:t>posta@vlada.cz</w:t>
        </w:r>
      </w:hyperlink>
      <w:r w:rsidRPr="00D12F41">
        <w:rPr>
          <w:rFonts w:ascii="Arial" w:hAnsi="Arial" w:cs="Arial"/>
          <w:sz w:val="22"/>
          <w:szCs w:val="22"/>
        </w:rPr>
        <w:t>.</w:t>
      </w:r>
    </w:p>
    <w:p w:rsidR="00C833C7" w:rsidRPr="00D12F41" w:rsidRDefault="00C833C7" w:rsidP="00C833C7">
      <w:pPr>
        <w:numPr>
          <w:ilvl w:val="0"/>
          <w:numId w:val="15"/>
        </w:numPr>
        <w:shd w:val="clear" w:color="auto" w:fill="FFFFFF" w:themeFill="background1"/>
        <w:tabs>
          <w:tab w:val="num" w:pos="426"/>
        </w:tabs>
        <w:spacing w:after="120"/>
        <w:ind w:left="425" w:hanging="425"/>
        <w:rPr>
          <w:rFonts w:ascii="Arial" w:hAnsi="Arial" w:cs="Arial"/>
          <w:sz w:val="22"/>
          <w:szCs w:val="22"/>
        </w:rPr>
      </w:pPr>
      <w:r w:rsidRPr="00D12F41">
        <w:rPr>
          <w:rFonts w:ascii="Arial" w:hAnsi="Arial" w:cs="Arial"/>
          <w:sz w:val="22"/>
          <w:szCs w:val="22"/>
        </w:rPr>
        <w:t>Cen</w:t>
      </w:r>
      <w:r>
        <w:rPr>
          <w:rFonts w:ascii="Arial" w:hAnsi="Arial" w:cs="Arial"/>
          <w:sz w:val="22"/>
          <w:szCs w:val="22"/>
        </w:rPr>
        <w:t xml:space="preserve">u </w:t>
      </w:r>
      <w:r w:rsidRPr="00D12F41">
        <w:rPr>
          <w:rFonts w:ascii="Arial" w:hAnsi="Arial" w:cs="Arial"/>
          <w:sz w:val="22"/>
          <w:szCs w:val="22"/>
        </w:rPr>
        <w:t>plnění uhradí kupující na základě faktur</w:t>
      </w:r>
      <w:r>
        <w:rPr>
          <w:rFonts w:ascii="Arial" w:hAnsi="Arial" w:cs="Arial"/>
          <w:sz w:val="22"/>
          <w:szCs w:val="22"/>
        </w:rPr>
        <w:t xml:space="preserve">y </w:t>
      </w:r>
      <w:r w:rsidRPr="00D12F41">
        <w:rPr>
          <w:rFonts w:ascii="Arial" w:hAnsi="Arial" w:cs="Arial"/>
          <w:sz w:val="22"/>
          <w:szCs w:val="22"/>
        </w:rPr>
        <w:t>prodávajícího bezhotovostním převodem, přičemž splatnost faktury je 21 dnů ode dne jejího doručení kupujícímu.</w:t>
      </w:r>
    </w:p>
    <w:p w:rsidR="00C833C7" w:rsidRPr="00D12F41" w:rsidRDefault="00C833C7" w:rsidP="00C833C7">
      <w:pPr>
        <w:numPr>
          <w:ilvl w:val="0"/>
          <w:numId w:val="15"/>
        </w:numPr>
        <w:shd w:val="clear" w:color="auto" w:fill="FFFFFF" w:themeFill="background1"/>
        <w:tabs>
          <w:tab w:val="num" w:pos="426"/>
        </w:tabs>
        <w:spacing w:after="120"/>
        <w:ind w:left="425" w:hanging="425"/>
        <w:rPr>
          <w:rFonts w:ascii="Arial" w:hAnsi="Arial" w:cs="Arial"/>
          <w:sz w:val="22"/>
          <w:szCs w:val="22"/>
        </w:rPr>
      </w:pPr>
      <w:r w:rsidRPr="00D12F41">
        <w:rPr>
          <w:rFonts w:ascii="Arial" w:eastAsiaTheme="minorHAnsi" w:hAnsi="Arial" w:cs="Arial"/>
          <w:sz w:val="22"/>
          <w:szCs w:val="22"/>
          <w:lang w:eastAsia="en-US"/>
        </w:rPr>
        <w:t>Povinnost kupujícího zaplatit fakturovanou částku dle této smlouvy je splněna odepsáním příslušné částky z účtu kupujícího ve prospěch účtu prodávajícího.</w:t>
      </w:r>
    </w:p>
    <w:p w:rsidR="00C833C7" w:rsidRPr="007E7A3B" w:rsidRDefault="00C833C7" w:rsidP="00C833C7">
      <w:pPr>
        <w:spacing w:before="240" w:after="120" w:line="20" w:lineRule="atLeast"/>
        <w:jc w:val="center"/>
        <w:outlineLvl w:val="3"/>
        <w:rPr>
          <w:rFonts w:ascii="Arial" w:eastAsiaTheme="minorHAnsi" w:hAnsi="Arial" w:cs="Arial"/>
          <w:b/>
          <w:sz w:val="22"/>
          <w:szCs w:val="22"/>
          <w:lang w:eastAsia="en-US"/>
        </w:rPr>
      </w:pPr>
      <w:r w:rsidRPr="007E7A3B">
        <w:rPr>
          <w:rFonts w:ascii="Arial" w:eastAsiaTheme="minorHAnsi" w:hAnsi="Arial" w:cs="Arial"/>
          <w:b/>
          <w:sz w:val="22"/>
          <w:szCs w:val="22"/>
          <w:lang w:eastAsia="en-US"/>
        </w:rPr>
        <w:t>Článek V.</w:t>
      </w:r>
      <w:r w:rsidRPr="007E7A3B">
        <w:rPr>
          <w:rFonts w:ascii="Arial" w:eastAsiaTheme="minorHAnsi" w:hAnsi="Arial" w:cs="Arial"/>
          <w:b/>
          <w:sz w:val="22"/>
          <w:szCs w:val="22"/>
          <w:lang w:eastAsia="en-US"/>
        </w:rPr>
        <w:br/>
        <w:t>Ochrana informací</w:t>
      </w:r>
    </w:p>
    <w:p w:rsidR="00C833C7" w:rsidRPr="007E7A3B" w:rsidRDefault="00C833C7" w:rsidP="00C833C7">
      <w:pPr>
        <w:numPr>
          <w:ilvl w:val="0"/>
          <w:numId w:val="12"/>
        </w:numPr>
        <w:tabs>
          <w:tab w:val="clear" w:pos="360"/>
          <w:tab w:val="num" w:pos="426"/>
          <w:tab w:val="left" w:pos="720"/>
        </w:tabs>
        <w:spacing w:after="120"/>
        <w:ind w:left="425" w:hanging="425"/>
        <w:rPr>
          <w:rFonts w:ascii="Arial" w:eastAsiaTheme="minorHAnsi" w:hAnsi="Arial" w:cs="Arial"/>
          <w:sz w:val="22"/>
          <w:szCs w:val="22"/>
          <w:lang w:eastAsia="en-US"/>
        </w:rPr>
      </w:pPr>
      <w:r w:rsidRPr="007E7A3B">
        <w:rPr>
          <w:rFonts w:ascii="Arial" w:eastAsiaTheme="minorHAnsi" w:hAnsi="Arial" w:cs="Arial"/>
          <w:sz w:val="22"/>
          <w:szCs w:val="22"/>
          <w:lang w:eastAsia="en-US"/>
        </w:rPr>
        <w:t>Smluvní strany jsou si vědomy toho, že v rámci plnění závazků z této smlouvy</w:t>
      </w:r>
    </w:p>
    <w:p w:rsidR="00C833C7" w:rsidRPr="007E7A3B" w:rsidRDefault="00C833C7" w:rsidP="00C833C7">
      <w:pPr>
        <w:numPr>
          <w:ilvl w:val="1"/>
          <w:numId w:val="13"/>
        </w:numPr>
        <w:tabs>
          <w:tab w:val="clear" w:pos="1080"/>
        </w:tabs>
        <w:spacing w:after="120"/>
        <w:ind w:left="850" w:hanging="425"/>
        <w:rPr>
          <w:rFonts w:ascii="Arial" w:eastAsiaTheme="minorHAnsi" w:hAnsi="Arial" w:cs="Arial"/>
          <w:sz w:val="22"/>
          <w:szCs w:val="22"/>
          <w:lang w:eastAsia="en-US"/>
        </w:rPr>
      </w:pPr>
      <w:proofErr w:type="gramStart"/>
      <w:r w:rsidRPr="007E7A3B">
        <w:rPr>
          <w:rFonts w:ascii="Arial" w:eastAsiaTheme="minorHAnsi" w:hAnsi="Arial" w:cs="Arial"/>
          <w:sz w:val="22"/>
          <w:szCs w:val="22"/>
          <w:lang w:eastAsia="en-US"/>
        </w:rPr>
        <w:t>si</w:t>
      </w:r>
      <w:proofErr w:type="gramEnd"/>
      <w:r w:rsidRPr="007E7A3B">
        <w:rPr>
          <w:rFonts w:ascii="Arial" w:eastAsiaTheme="minorHAnsi" w:hAnsi="Arial" w:cs="Arial"/>
          <w:sz w:val="22"/>
          <w:szCs w:val="22"/>
          <w:lang w:eastAsia="en-US"/>
        </w:rPr>
        <w:t xml:space="preserve"> mohou vzájemně vědomě nebo opomenutím poskytnout informace, které budou považovány za důvěrné (dále jen „důvěrné informace“),</w:t>
      </w:r>
    </w:p>
    <w:p w:rsidR="00C833C7" w:rsidRPr="007E7A3B" w:rsidRDefault="00C833C7" w:rsidP="00C833C7">
      <w:pPr>
        <w:numPr>
          <w:ilvl w:val="1"/>
          <w:numId w:val="13"/>
        </w:numPr>
        <w:tabs>
          <w:tab w:val="clear" w:pos="1080"/>
          <w:tab w:val="num" w:pos="426"/>
        </w:tabs>
        <w:spacing w:after="120"/>
        <w:ind w:left="851" w:hanging="425"/>
        <w:rPr>
          <w:rFonts w:ascii="Arial" w:eastAsiaTheme="minorHAnsi" w:hAnsi="Arial" w:cs="Arial"/>
          <w:sz w:val="22"/>
          <w:szCs w:val="22"/>
          <w:lang w:eastAsia="en-US"/>
        </w:rPr>
      </w:pPr>
      <w:r w:rsidRPr="007E7A3B">
        <w:rPr>
          <w:rFonts w:ascii="Arial" w:eastAsiaTheme="minorHAnsi" w:hAnsi="Arial" w:cs="Arial"/>
          <w:sz w:val="22"/>
          <w:szCs w:val="22"/>
          <w:lang w:eastAsia="en-US"/>
        </w:rPr>
        <w:t>mohou jejich zaměstnanci či osoby v obdobném postavení získat vědomou činností druhé smluvní strany nebo i jejím opomenutím přístup k důvěrným informacím druhé smluvní strany.</w:t>
      </w:r>
    </w:p>
    <w:p w:rsidR="00C833C7" w:rsidRPr="007E7A3B" w:rsidRDefault="00C833C7" w:rsidP="00C833C7">
      <w:pPr>
        <w:numPr>
          <w:ilvl w:val="0"/>
          <w:numId w:val="12"/>
        </w:numPr>
        <w:tabs>
          <w:tab w:val="clear" w:pos="360"/>
          <w:tab w:val="num" w:pos="426"/>
          <w:tab w:val="left" w:pos="720"/>
        </w:tabs>
        <w:spacing w:after="120"/>
        <w:ind w:left="426" w:hanging="426"/>
        <w:rPr>
          <w:rFonts w:ascii="Arial" w:eastAsiaTheme="minorHAnsi" w:hAnsi="Arial" w:cs="Arial"/>
          <w:sz w:val="22"/>
          <w:szCs w:val="22"/>
          <w:lang w:eastAsia="en-US"/>
        </w:rPr>
      </w:pPr>
      <w:r w:rsidRPr="007E7A3B">
        <w:rPr>
          <w:rFonts w:ascii="Arial" w:eastAsiaTheme="minorHAnsi" w:hAnsi="Arial" w:cs="Arial"/>
          <w:sz w:val="22"/>
          <w:szCs w:val="22"/>
          <w:lang w:eastAsia="en-US"/>
        </w:rPr>
        <w:t>Smluvní strany se zavazují, že žádná z nich nezpřístupní třetí osobě důvěrné informace</w:t>
      </w:r>
      <w:r w:rsidRPr="007E7A3B">
        <w:rPr>
          <w:rFonts w:ascii="Arial" w:eastAsiaTheme="minorHAnsi" w:hAnsi="Arial" w:cs="Arial"/>
          <w:sz w:val="22"/>
          <w:szCs w:val="22"/>
          <w:lang w:eastAsia="en-US"/>
        </w:rPr>
        <w:b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C833C7" w:rsidRPr="007E7A3B" w:rsidRDefault="00C833C7" w:rsidP="00C833C7">
      <w:pPr>
        <w:numPr>
          <w:ilvl w:val="0"/>
          <w:numId w:val="12"/>
        </w:numPr>
        <w:tabs>
          <w:tab w:val="clear" w:pos="360"/>
          <w:tab w:val="num" w:pos="426"/>
          <w:tab w:val="left" w:pos="720"/>
        </w:tabs>
        <w:spacing w:after="120"/>
        <w:ind w:left="426" w:hanging="426"/>
        <w:rPr>
          <w:rFonts w:ascii="Arial" w:eastAsiaTheme="minorHAnsi" w:hAnsi="Arial" w:cs="Arial"/>
          <w:sz w:val="22"/>
          <w:szCs w:val="22"/>
          <w:lang w:eastAsia="en-US"/>
        </w:rPr>
      </w:pPr>
      <w:r w:rsidRPr="007E7A3B">
        <w:rPr>
          <w:rFonts w:ascii="Arial" w:eastAsiaTheme="minorHAnsi" w:hAnsi="Arial" w:cs="Arial"/>
          <w:sz w:val="22"/>
          <w:szCs w:val="22"/>
          <w:lang w:eastAsia="en-US"/>
        </w:rPr>
        <w:t>Za třetí osoby dle odst. 2 tohoto článku se nepovažují:</w:t>
      </w:r>
    </w:p>
    <w:p w:rsidR="00C833C7" w:rsidRPr="007E7A3B" w:rsidRDefault="00C833C7" w:rsidP="00C833C7">
      <w:pPr>
        <w:numPr>
          <w:ilvl w:val="0"/>
          <w:numId w:val="14"/>
        </w:numPr>
        <w:spacing w:after="120"/>
        <w:ind w:left="850" w:hanging="425"/>
        <w:rPr>
          <w:rFonts w:ascii="Arial" w:eastAsiaTheme="minorHAnsi" w:hAnsi="Arial" w:cs="Arial"/>
          <w:sz w:val="22"/>
          <w:szCs w:val="22"/>
          <w:lang w:eastAsia="en-US"/>
        </w:rPr>
      </w:pPr>
      <w:r w:rsidRPr="007E7A3B">
        <w:rPr>
          <w:rFonts w:ascii="Arial" w:eastAsiaTheme="minorHAnsi" w:hAnsi="Arial" w:cs="Arial"/>
          <w:sz w:val="22"/>
          <w:szCs w:val="22"/>
          <w:lang w:eastAsia="en-US"/>
        </w:rPr>
        <w:t>zaměstnanci smluvních stran a osoby v obdobném postavení,</w:t>
      </w:r>
    </w:p>
    <w:p w:rsidR="00C833C7" w:rsidRPr="007E7A3B" w:rsidRDefault="00C833C7" w:rsidP="00C833C7">
      <w:pPr>
        <w:numPr>
          <w:ilvl w:val="0"/>
          <w:numId w:val="14"/>
        </w:numPr>
        <w:spacing w:after="120"/>
        <w:ind w:left="851" w:hanging="425"/>
        <w:rPr>
          <w:rFonts w:ascii="Arial" w:eastAsiaTheme="minorHAnsi" w:hAnsi="Arial" w:cs="Arial"/>
          <w:sz w:val="22"/>
          <w:szCs w:val="22"/>
          <w:lang w:eastAsia="en-US"/>
        </w:rPr>
      </w:pPr>
      <w:r w:rsidRPr="007E7A3B">
        <w:rPr>
          <w:rFonts w:ascii="Arial" w:eastAsiaTheme="minorHAnsi" w:hAnsi="Arial" w:cs="Arial"/>
          <w:sz w:val="22"/>
          <w:szCs w:val="22"/>
          <w:lang w:eastAsia="en-US"/>
        </w:rPr>
        <w:t>orgány smluvních stran a jejich členové,</w:t>
      </w:r>
    </w:p>
    <w:p w:rsidR="00C833C7" w:rsidRPr="007E7A3B" w:rsidRDefault="00C833C7" w:rsidP="00C833C7">
      <w:pPr>
        <w:numPr>
          <w:ilvl w:val="0"/>
          <w:numId w:val="14"/>
        </w:numPr>
        <w:spacing w:after="120"/>
        <w:ind w:left="851" w:hanging="425"/>
        <w:rPr>
          <w:rFonts w:ascii="Arial" w:eastAsiaTheme="minorHAnsi" w:hAnsi="Arial" w:cs="Arial"/>
          <w:sz w:val="22"/>
          <w:szCs w:val="22"/>
          <w:lang w:eastAsia="en-US"/>
        </w:rPr>
      </w:pPr>
      <w:r w:rsidRPr="007E7A3B">
        <w:rPr>
          <w:rFonts w:ascii="Arial" w:eastAsiaTheme="minorHAnsi" w:hAnsi="Arial" w:cs="Arial"/>
          <w:sz w:val="22"/>
          <w:szCs w:val="22"/>
          <w:lang w:eastAsia="en-US"/>
        </w:rPr>
        <w:lastRenderedPageBreak/>
        <w:t>ve vztahu k důvěrným informacím kupujícího subdodavatelé prodávajícího,</w:t>
      </w:r>
    </w:p>
    <w:p w:rsidR="00C833C7" w:rsidRPr="007E7A3B" w:rsidRDefault="00C833C7" w:rsidP="00C833C7">
      <w:pPr>
        <w:numPr>
          <w:ilvl w:val="0"/>
          <w:numId w:val="14"/>
        </w:numPr>
        <w:spacing w:after="120"/>
        <w:ind w:left="851" w:hanging="425"/>
        <w:rPr>
          <w:rFonts w:ascii="Arial" w:eastAsiaTheme="minorHAnsi" w:hAnsi="Arial" w:cs="Arial"/>
          <w:sz w:val="22"/>
          <w:szCs w:val="22"/>
          <w:lang w:eastAsia="en-US"/>
        </w:rPr>
      </w:pPr>
      <w:r w:rsidRPr="007E7A3B">
        <w:rPr>
          <w:rFonts w:ascii="Arial" w:eastAsiaTheme="minorHAnsi" w:hAnsi="Arial" w:cs="Arial"/>
          <w:sz w:val="22"/>
          <w:szCs w:val="22"/>
          <w:lang w:eastAsia="en-US"/>
        </w:rPr>
        <w:t>ve vztahu k důvěrným informacím prodávajícího externí dodavatelé kupujícího,</w:t>
      </w:r>
      <w:r w:rsidRPr="007E7A3B">
        <w:rPr>
          <w:rFonts w:ascii="Arial" w:eastAsiaTheme="minorHAnsi" w:hAnsi="Arial" w:cs="Arial"/>
          <w:sz w:val="22"/>
          <w:szCs w:val="22"/>
          <w:lang w:eastAsia="en-US"/>
        </w:rPr>
        <w:br/>
        <w:t>a to i potenciální,</w:t>
      </w:r>
    </w:p>
    <w:p w:rsidR="00C833C7" w:rsidRPr="007E7A3B" w:rsidRDefault="00C833C7" w:rsidP="00C833C7">
      <w:pPr>
        <w:tabs>
          <w:tab w:val="left" w:pos="720"/>
        </w:tabs>
        <w:spacing w:after="120"/>
        <w:ind w:left="425"/>
        <w:rPr>
          <w:rFonts w:ascii="Arial" w:eastAsiaTheme="minorHAnsi" w:hAnsi="Arial" w:cs="Arial"/>
          <w:sz w:val="22"/>
          <w:szCs w:val="22"/>
          <w:lang w:eastAsia="en-US"/>
        </w:rPr>
      </w:pPr>
      <w:r w:rsidRPr="007E7A3B">
        <w:rPr>
          <w:rFonts w:ascii="Arial" w:eastAsiaTheme="minorHAnsi" w:hAnsi="Arial" w:cs="Arial"/>
          <w:sz w:val="22"/>
          <w:szCs w:val="22"/>
          <w:lang w:eastAsia="en-US"/>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rsidR="00C833C7" w:rsidRPr="007E7A3B" w:rsidRDefault="00C833C7" w:rsidP="00C833C7">
      <w:pPr>
        <w:numPr>
          <w:ilvl w:val="0"/>
          <w:numId w:val="12"/>
        </w:numPr>
        <w:tabs>
          <w:tab w:val="clear" w:pos="360"/>
          <w:tab w:val="num" w:pos="426"/>
          <w:tab w:val="left" w:pos="720"/>
        </w:tabs>
        <w:spacing w:after="120"/>
        <w:ind w:left="425" w:hanging="426"/>
        <w:rPr>
          <w:rFonts w:ascii="Arial" w:eastAsiaTheme="minorHAnsi" w:hAnsi="Arial" w:cs="Arial"/>
          <w:sz w:val="22"/>
          <w:szCs w:val="22"/>
          <w:lang w:eastAsia="en-US"/>
        </w:rPr>
      </w:pPr>
      <w:r w:rsidRPr="007E7A3B">
        <w:rPr>
          <w:rFonts w:ascii="Arial" w:eastAsiaTheme="minorHAnsi" w:hAnsi="Arial" w:cs="Arial"/>
          <w:sz w:val="22"/>
          <w:szCs w:val="22"/>
          <w:lang w:eastAsia="en-US"/>
        </w:rPr>
        <w:t xml:space="preserve">Smluvní strany se zavazují v plném rozsahu zachovávat povinnost mlčenlivosti a povinnost chránit důvěrné informace vyplývající z této smlouvy a z příslušných právním předpisů, zejména povinnosti vyplývající z Nařízení Evropského parlamentu a Rady (EU) 2016/679 ze dne </w:t>
      </w:r>
      <w:r>
        <w:rPr>
          <w:rFonts w:ascii="Arial" w:eastAsiaTheme="minorHAnsi" w:hAnsi="Arial" w:cs="Arial"/>
          <w:sz w:val="22"/>
          <w:szCs w:val="22"/>
          <w:lang w:eastAsia="en-US"/>
        </w:rPr>
        <w:br/>
      </w:r>
      <w:r w:rsidRPr="007E7A3B">
        <w:rPr>
          <w:rFonts w:ascii="Arial" w:eastAsiaTheme="minorHAnsi" w:hAnsi="Arial" w:cs="Arial"/>
          <w:sz w:val="22"/>
          <w:szCs w:val="22"/>
          <w:lang w:eastAsia="en-US"/>
        </w:rPr>
        <w:t xml:space="preserve">27. dubna 2016 o ochraně fyzických osob v souvislosti se zpracováním osobních údajů </w:t>
      </w:r>
      <w:r>
        <w:rPr>
          <w:rFonts w:ascii="Arial" w:eastAsiaTheme="minorHAnsi" w:hAnsi="Arial" w:cs="Arial"/>
          <w:sz w:val="22"/>
          <w:szCs w:val="22"/>
          <w:lang w:eastAsia="en-US"/>
        </w:rPr>
        <w:br/>
      </w:r>
      <w:r w:rsidRPr="007E7A3B">
        <w:rPr>
          <w:rFonts w:ascii="Arial" w:eastAsiaTheme="minorHAnsi" w:hAnsi="Arial" w:cs="Arial"/>
          <w:sz w:val="22"/>
          <w:szCs w:val="22"/>
          <w:lang w:eastAsia="en-US"/>
        </w:rPr>
        <w:t>a o volném pohybu těchto údajů a o zrušení směrnice 95/46/ES (dále jen „obecné nařízení“).</w:t>
      </w:r>
    </w:p>
    <w:p w:rsidR="00C833C7" w:rsidRPr="007E7A3B" w:rsidRDefault="00C833C7" w:rsidP="00C833C7">
      <w:pPr>
        <w:numPr>
          <w:ilvl w:val="0"/>
          <w:numId w:val="12"/>
        </w:numPr>
        <w:tabs>
          <w:tab w:val="clear" w:pos="360"/>
          <w:tab w:val="num" w:pos="426"/>
          <w:tab w:val="left" w:pos="720"/>
        </w:tabs>
        <w:spacing w:after="120"/>
        <w:ind w:left="425" w:hanging="426"/>
        <w:rPr>
          <w:rFonts w:ascii="Arial" w:eastAsiaTheme="minorHAnsi" w:hAnsi="Arial" w:cs="Arial"/>
          <w:sz w:val="22"/>
          <w:szCs w:val="22"/>
          <w:lang w:eastAsia="en-US"/>
        </w:rPr>
      </w:pPr>
      <w:r w:rsidRPr="007E7A3B">
        <w:rPr>
          <w:rFonts w:ascii="Arial" w:eastAsiaTheme="minorHAnsi" w:hAnsi="Arial" w:cs="Arial"/>
          <w:sz w:val="22"/>
          <w:szCs w:val="22"/>
          <w:lang w:eastAsia="en-US"/>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C833C7" w:rsidRPr="007E7A3B" w:rsidRDefault="00C833C7" w:rsidP="00C833C7">
      <w:pPr>
        <w:numPr>
          <w:ilvl w:val="0"/>
          <w:numId w:val="12"/>
        </w:numPr>
        <w:tabs>
          <w:tab w:val="clear" w:pos="360"/>
          <w:tab w:val="num" w:pos="426"/>
          <w:tab w:val="left" w:pos="720"/>
        </w:tabs>
        <w:spacing w:after="120"/>
        <w:ind w:left="425" w:hanging="426"/>
        <w:rPr>
          <w:rFonts w:ascii="Arial" w:eastAsiaTheme="minorHAnsi" w:hAnsi="Arial" w:cs="Arial"/>
          <w:sz w:val="22"/>
          <w:szCs w:val="22"/>
          <w:lang w:eastAsia="en-US"/>
        </w:rPr>
      </w:pPr>
      <w:r w:rsidRPr="007E7A3B">
        <w:rPr>
          <w:rFonts w:ascii="Arial" w:eastAsiaTheme="minorHAnsi" w:hAnsi="Arial" w:cs="Arial"/>
          <w:sz w:val="22"/>
          <w:szCs w:val="22"/>
          <w:lang w:eastAsia="en-US"/>
        </w:rPr>
        <w:t>Budou-li informace poskytnuté kupujícím, prodávajícím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C833C7" w:rsidRPr="007E7A3B" w:rsidRDefault="00C833C7" w:rsidP="00C833C7">
      <w:pPr>
        <w:numPr>
          <w:ilvl w:val="0"/>
          <w:numId w:val="12"/>
        </w:numPr>
        <w:tabs>
          <w:tab w:val="clear" w:pos="360"/>
          <w:tab w:val="num" w:pos="426"/>
          <w:tab w:val="left" w:pos="720"/>
        </w:tabs>
        <w:spacing w:after="120"/>
        <w:ind w:left="425" w:hanging="426"/>
        <w:rPr>
          <w:rFonts w:ascii="Arial" w:eastAsiaTheme="minorHAnsi" w:hAnsi="Arial" w:cs="Arial"/>
          <w:sz w:val="22"/>
          <w:szCs w:val="22"/>
          <w:lang w:eastAsia="en-US"/>
        </w:rPr>
      </w:pPr>
      <w:r w:rsidRPr="007E7A3B">
        <w:rPr>
          <w:rFonts w:ascii="Arial" w:eastAsiaTheme="minorHAnsi" w:hAnsi="Arial" w:cs="Arial"/>
          <w:sz w:val="22"/>
          <w:szCs w:val="22"/>
          <w:lang w:eastAsia="en-US"/>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rsidR="00C833C7" w:rsidRPr="007E7A3B" w:rsidRDefault="00C833C7" w:rsidP="00C833C7">
      <w:pPr>
        <w:numPr>
          <w:ilvl w:val="0"/>
          <w:numId w:val="12"/>
        </w:numPr>
        <w:tabs>
          <w:tab w:val="clear" w:pos="360"/>
          <w:tab w:val="num" w:pos="426"/>
          <w:tab w:val="left" w:pos="720"/>
        </w:tabs>
        <w:spacing w:after="120"/>
        <w:ind w:left="425" w:hanging="426"/>
        <w:rPr>
          <w:rFonts w:ascii="Arial" w:eastAsiaTheme="minorHAnsi" w:hAnsi="Arial" w:cs="Arial"/>
          <w:sz w:val="22"/>
          <w:szCs w:val="22"/>
          <w:lang w:eastAsia="en-US"/>
        </w:rPr>
      </w:pPr>
      <w:r w:rsidRPr="007E7A3B">
        <w:rPr>
          <w:rFonts w:ascii="Arial" w:eastAsiaTheme="minorHAnsi" w:hAnsi="Arial" w:cs="Arial"/>
          <w:sz w:val="22"/>
          <w:szCs w:val="22"/>
          <w:lang w:eastAsia="en-US"/>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rsidR="00C833C7" w:rsidRPr="007E7A3B" w:rsidRDefault="00C833C7" w:rsidP="00C833C7">
      <w:pPr>
        <w:numPr>
          <w:ilvl w:val="0"/>
          <w:numId w:val="12"/>
        </w:numPr>
        <w:tabs>
          <w:tab w:val="clear" w:pos="360"/>
          <w:tab w:val="num" w:pos="426"/>
          <w:tab w:val="left" w:pos="720"/>
        </w:tabs>
        <w:spacing w:after="120"/>
        <w:ind w:left="425" w:hanging="426"/>
        <w:rPr>
          <w:rFonts w:ascii="Arial" w:eastAsiaTheme="minorHAnsi" w:hAnsi="Arial" w:cs="Arial"/>
          <w:sz w:val="22"/>
          <w:szCs w:val="22"/>
          <w:lang w:eastAsia="en-US"/>
        </w:rPr>
      </w:pPr>
      <w:r w:rsidRPr="007E7A3B">
        <w:rPr>
          <w:rFonts w:ascii="Arial" w:eastAsiaTheme="minorHAnsi" w:hAnsi="Arial" w:cs="Arial"/>
          <w:sz w:val="22"/>
          <w:szCs w:val="22"/>
          <w:lang w:eastAsia="en-US"/>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C833C7" w:rsidRPr="007E7A3B" w:rsidRDefault="00C833C7" w:rsidP="00C833C7">
      <w:pPr>
        <w:numPr>
          <w:ilvl w:val="0"/>
          <w:numId w:val="12"/>
        </w:numPr>
        <w:tabs>
          <w:tab w:val="clear" w:pos="360"/>
          <w:tab w:val="num" w:pos="426"/>
          <w:tab w:val="left" w:pos="720"/>
        </w:tabs>
        <w:spacing w:after="120"/>
        <w:ind w:left="425" w:hanging="426"/>
        <w:rPr>
          <w:rFonts w:ascii="Arial" w:eastAsiaTheme="minorHAnsi" w:hAnsi="Arial" w:cs="Arial"/>
          <w:sz w:val="22"/>
          <w:szCs w:val="22"/>
          <w:lang w:eastAsia="en-US"/>
        </w:rPr>
      </w:pPr>
      <w:r w:rsidRPr="007E7A3B">
        <w:rPr>
          <w:rFonts w:ascii="Arial" w:eastAsiaTheme="minorHAnsi" w:hAnsi="Arial" w:cs="Arial"/>
          <w:sz w:val="22"/>
          <w:szCs w:val="22"/>
          <w:lang w:eastAsia="en-US"/>
        </w:rPr>
        <w:t>Bez ohledu na výše uvedená ustanovení se za důvěrné nepovažují informace, které:</w:t>
      </w:r>
    </w:p>
    <w:p w:rsidR="00C833C7" w:rsidRPr="007E7A3B" w:rsidRDefault="00C833C7" w:rsidP="00C833C7">
      <w:pPr>
        <w:numPr>
          <w:ilvl w:val="0"/>
          <w:numId w:val="9"/>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proofErr w:type="gramStart"/>
      <w:r w:rsidRPr="007E7A3B">
        <w:rPr>
          <w:rFonts w:ascii="Arial" w:eastAsia="@Arial Unicode MS" w:hAnsi="Arial" w:cs="Arial"/>
          <w:color w:val="000000"/>
          <w:sz w:val="22"/>
          <w:szCs w:val="22"/>
        </w:rPr>
        <w:t>se staly</w:t>
      </w:r>
      <w:proofErr w:type="gramEnd"/>
      <w:r w:rsidRPr="007E7A3B">
        <w:rPr>
          <w:rFonts w:ascii="Arial" w:eastAsia="@Arial Unicode MS" w:hAnsi="Arial" w:cs="Arial"/>
          <w:color w:val="000000"/>
          <w:sz w:val="22"/>
          <w:szCs w:val="22"/>
        </w:rPr>
        <w:t xml:space="preserve"> veřejně známými, aniž by jejich zveřejněním došlo k porušení závazků přijímající smluvní strany či právních předpisů,</w:t>
      </w:r>
    </w:p>
    <w:p w:rsidR="00C833C7" w:rsidRPr="007E7A3B" w:rsidRDefault="00C833C7" w:rsidP="00C833C7">
      <w:pPr>
        <w:numPr>
          <w:ilvl w:val="0"/>
          <w:numId w:val="9"/>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7E7A3B">
        <w:rPr>
          <w:rFonts w:ascii="Arial" w:eastAsia="@Arial Unicode MS" w:hAnsi="Arial" w:cs="Arial"/>
          <w:color w:val="000000"/>
          <w:sz w:val="22"/>
          <w:szCs w:val="22"/>
        </w:rPr>
        <w:t>měla přijímající strana prokazatelně legálně k dispozici před uzavřením této smlouvy, pokud takové informace nebyly předmětem jiné, dříve mezi smluvními stranami uzavřené smlouvy o ochraně informací,</w:t>
      </w:r>
    </w:p>
    <w:p w:rsidR="00C833C7" w:rsidRPr="007E7A3B" w:rsidRDefault="00C833C7" w:rsidP="00C833C7">
      <w:pPr>
        <w:numPr>
          <w:ilvl w:val="0"/>
          <w:numId w:val="9"/>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7E7A3B">
        <w:rPr>
          <w:rFonts w:ascii="Arial" w:eastAsia="@Arial Unicode MS" w:hAnsi="Arial" w:cs="Arial"/>
          <w:color w:val="000000"/>
          <w:sz w:val="22"/>
          <w:szCs w:val="22"/>
        </w:rPr>
        <w:lastRenderedPageBreak/>
        <w:t>jsou výsledkem postupu, při kterém k nim přijímající strana dospěje nezávisle a to je schopna doložit svými záznamy nebo informacemi, včetně důvěrných, třetí strany,</w:t>
      </w:r>
    </w:p>
    <w:p w:rsidR="00C833C7" w:rsidRPr="007E7A3B" w:rsidRDefault="00C833C7" w:rsidP="00C833C7">
      <w:pPr>
        <w:numPr>
          <w:ilvl w:val="0"/>
          <w:numId w:val="9"/>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7E7A3B">
        <w:rPr>
          <w:rFonts w:ascii="Arial" w:eastAsia="@Arial Unicode MS" w:hAnsi="Arial" w:cs="Arial"/>
          <w:color w:val="000000"/>
          <w:sz w:val="22"/>
          <w:szCs w:val="22"/>
        </w:rPr>
        <w:t>po podpisu této smlouvy poskytne přijímající straně třetí osoba, jež není omezena v takovém nakládání s informacemi,</w:t>
      </w:r>
    </w:p>
    <w:p w:rsidR="00C833C7" w:rsidRPr="007E7A3B" w:rsidRDefault="00C833C7" w:rsidP="00C833C7">
      <w:pPr>
        <w:numPr>
          <w:ilvl w:val="0"/>
          <w:numId w:val="9"/>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7E7A3B">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rsidR="00C833C7" w:rsidRPr="007E7A3B" w:rsidRDefault="00C833C7" w:rsidP="00C833C7">
      <w:pPr>
        <w:numPr>
          <w:ilvl w:val="0"/>
          <w:numId w:val="9"/>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7E7A3B">
        <w:rPr>
          <w:rFonts w:ascii="Arial" w:eastAsia="@Arial Unicode MS" w:hAnsi="Arial" w:cs="Arial"/>
          <w:color w:val="000000"/>
          <w:sz w:val="22"/>
          <w:szCs w:val="22"/>
        </w:rPr>
        <w:t xml:space="preserve">jsou obsažené v této smlouvě a jsou zveřejněné dle § 219 </w:t>
      </w:r>
      <w:r>
        <w:rPr>
          <w:rFonts w:ascii="Arial" w:eastAsia="@Arial Unicode MS" w:hAnsi="Arial" w:cs="Arial"/>
          <w:color w:val="000000"/>
          <w:sz w:val="22"/>
          <w:szCs w:val="22"/>
        </w:rPr>
        <w:t xml:space="preserve">zákona č. 134/2016 Sb., </w:t>
      </w:r>
      <w:r>
        <w:rPr>
          <w:rFonts w:ascii="Arial" w:eastAsia="@Arial Unicode MS" w:hAnsi="Arial" w:cs="Arial"/>
          <w:color w:val="000000"/>
          <w:sz w:val="22"/>
          <w:szCs w:val="22"/>
        </w:rPr>
        <w:br/>
        <w:t>o zadávání veřejných zakázek, ve znění pozdějších předpisů (dále jen „</w:t>
      </w:r>
      <w:r w:rsidRPr="007E7A3B">
        <w:rPr>
          <w:rFonts w:ascii="Arial" w:eastAsia="@Arial Unicode MS" w:hAnsi="Arial" w:cs="Arial"/>
          <w:color w:val="000000"/>
          <w:sz w:val="22"/>
          <w:szCs w:val="22"/>
        </w:rPr>
        <w:t>ZZVZ</w:t>
      </w:r>
      <w:r>
        <w:rPr>
          <w:rFonts w:ascii="Arial" w:eastAsia="@Arial Unicode MS" w:hAnsi="Arial" w:cs="Arial"/>
          <w:color w:val="000000"/>
          <w:sz w:val="22"/>
          <w:szCs w:val="22"/>
        </w:rPr>
        <w:t xml:space="preserve">“) </w:t>
      </w:r>
      <w:r w:rsidRPr="007E7A3B">
        <w:rPr>
          <w:rFonts w:ascii="Arial" w:eastAsia="@Arial Unicode MS" w:hAnsi="Arial" w:cs="Arial"/>
          <w:color w:val="000000"/>
          <w:sz w:val="22"/>
          <w:szCs w:val="22"/>
        </w:rPr>
        <w:t>nebo dle zákona č. 340/2015 Sb., o zvláštních podmínkách účinnosti některých smluv, uveřejňování těchto smluv a o registru smluv, ve znění pozdějších předpisů</w:t>
      </w:r>
      <w:r>
        <w:rPr>
          <w:rFonts w:ascii="Arial" w:eastAsia="@Arial Unicode MS" w:hAnsi="Arial" w:cs="Arial"/>
          <w:color w:val="000000"/>
          <w:sz w:val="22"/>
          <w:szCs w:val="22"/>
        </w:rPr>
        <w:t xml:space="preserve"> </w:t>
      </w:r>
      <w:r w:rsidRPr="007E7A3B">
        <w:rPr>
          <w:rFonts w:ascii="Arial" w:eastAsia="@Arial Unicode MS" w:hAnsi="Arial" w:cs="Arial"/>
          <w:color w:val="000000"/>
          <w:sz w:val="22"/>
          <w:szCs w:val="22"/>
        </w:rPr>
        <w:t>(dále jen „zákon o registru smluv“).</w:t>
      </w:r>
    </w:p>
    <w:p w:rsidR="00C833C7" w:rsidRPr="007E7A3B" w:rsidRDefault="00C833C7" w:rsidP="00C833C7">
      <w:pPr>
        <w:numPr>
          <w:ilvl w:val="0"/>
          <w:numId w:val="12"/>
        </w:numPr>
        <w:tabs>
          <w:tab w:val="clear" w:pos="360"/>
          <w:tab w:val="num" w:pos="426"/>
          <w:tab w:val="left" w:pos="720"/>
        </w:tabs>
        <w:spacing w:after="120"/>
        <w:ind w:left="425" w:hanging="425"/>
        <w:rPr>
          <w:rFonts w:ascii="Arial" w:eastAsiaTheme="minorHAnsi" w:hAnsi="Arial" w:cs="Arial"/>
          <w:sz w:val="22"/>
          <w:szCs w:val="22"/>
          <w:lang w:eastAsia="en-US"/>
        </w:rPr>
      </w:pPr>
      <w:r w:rsidRPr="007E7A3B">
        <w:rPr>
          <w:rFonts w:ascii="Arial" w:eastAsiaTheme="minorHAnsi" w:hAnsi="Arial" w:cs="Arial"/>
          <w:sz w:val="22"/>
          <w:szCs w:val="22"/>
          <w:lang w:eastAsia="en-US"/>
        </w:rPr>
        <w:t>Každá smluvní strana se zavazuje přijmout technická a organizační vnitřní opatření nezbytná k ochraně důvěrných informací. Prodávající je povinen poučit své zaměstnance a členy svých orgánů o povinnosti zachovávat mlčenlivost podle této smlouvy a je povinen zachování mlčenlivosti z jejich strany řádně kontrolovat. Zaměstnanci prodávajícího nesmí důvěrné skutečnosti, které se dozvěděli v souvislosti s touto smlouvou, sdělovat ani jiným zaměstnancům prodávajícího nebo členům orgánů prodávajícího, není-li to nezbytné k plnění jejich pracovních úkolů nebo z hlediska funkčního zařazení.</w:t>
      </w:r>
    </w:p>
    <w:p w:rsidR="00C833C7" w:rsidRPr="007E7A3B" w:rsidRDefault="00C833C7" w:rsidP="00C833C7">
      <w:pPr>
        <w:numPr>
          <w:ilvl w:val="0"/>
          <w:numId w:val="12"/>
        </w:numPr>
        <w:tabs>
          <w:tab w:val="clear" w:pos="360"/>
          <w:tab w:val="num" w:pos="426"/>
          <w:tab w:val="left" w:pos="720"/>
        </w:tabs>
        <w:spacing w:after="120"/>
        <w:ind w:left="425" w:hanging="425"/>
        <w:rPr>
          <w:rFonts w:ascii="Arial" w:eastAsiaTheme="minorHAnsi" w:hAnsi="Arial" w:cs="Arial"/>
          <w:sz w:val="22"/>
          <w:szCs w:val="22"/>
          <w:lang w:eastAsia="en-US"/>
        </w:rPr>
      </w:pPr>
      <w:r w:rsidRPr="007E7A3B">
        <w:rPr>
          <w:rFonts w:ascii="Arial" w:eastAsiaTheme="minorHAnsi" w:hAnsi="Arial" w:cs="Arial"/>
          <w:sz w:val="22"/>
          <w:szCs w:val="22"/>
          <w:lang w:eastAsia="en-US"/>
        </w:rPr>
        <w:t xml:space="preserve">Prodávající je povinen zavázat povinností mlčenlivosti a ochrany důvěrných informací dle tohoto článku rovněž všechny poddodavatele, kteří se budou podílet na plnění předmětu veřejné zakázky dle této smlouvy. </w:t>
      </w:r>
    </w:p>
    <w:p w:rsidR="00C833C7" w:rsidRPr="007E7A3B" w:rsidRDefault="00C833C7" w:rsidP="00C833C7">
      <w:pPr>
        <w:numPr>
          <w:ilvl w:val="0"/>
          <w:numId w:val="12"/>
        </w:numPr>
        <w:tabs>
          <w:tab w:val="clear" w:pos="360"/>
          <w:tab w:val="num" w:pos="426"/>
          <w:tab w:val="left" w:pos="720"/>
        </w:tabs>
        <w:spacing w:after="120"/>
        <w:ind w:left="425" w:hanging="425"/>
        <w:rPr>
          <w:rFonts w:ascii="Arial" w:eastAsiaTheme="minorHAnsi" w:hAnsi="Arial" w:cs="Arial"/>
          <w:sz w:val="22"/>
          <w:szCs w:val="22"/>
          <w:lang w:eastAsia="en-US"/>
        </w:rPr>
      </w:pPr>
      <w:r w:rsidRPr="007E7A3B">
        <w:rPr>
          <w:rFonts w:ascii="Arial" w:eastAsiaTheme="minorHAnsi" w:hAnsi="Arial" w:cs="Arial"/>
          <w:sz w:val="22"/>
          <w:szCs w:val="22"/>
          <w:lang w:eastAsia="en-US"/>
        </w:rPr>
        <w:t>Za porušení povinnosti mlčenlivosti osobami, které se budou podílet na plnění předmětu smlouvy, odpovídá prodávající, jako by povinnost porušil sám.</w:t>
      </w:r>
    </w:p>
    <w:p w:rsidR="00C833C7" w:rsidRPr="007E7A3B" w:rsidRDefault="00C833C7" w:rsidP="00C833C7">
      <w:pPr>
        <w:numPr>
          <w:ilvl w:val="0"/>
          <w:numId w:val="12"/>
        </w:numPr>
        <w:tabs>
          <w:tab w:val="clear" w:pos="360"/>
          <w:tab w:val="num" w:pos="426"/>
          <w:tab w:val="left" w:pos="720"/>
        </w:tabs>
        <w:spacing w:after="120"/>
        <w:ind w:left="425" w:hanging="425"/>
        <w:rPr>
          <w:rFonts w:ascii="Arial" w:eastAsiaTheme="minorHAnsi" w:hAnsi="Arial" w:cs="Arial"/>
          <w:sz w:val="22"/>
          <w:szCs w:val="22"/>
          <w:lang w:eastAsia="en-US"/>
        </w:rPr>
      </w:pPr>
      <w:r w:rsidRPr="007E7A3B">
        <w:rPr>
          <w:rFonts w:ascii="Arial" w:eastAsiaTheme="minorHAnsi" w:hAnsi="Arial" w:cs="Arial"/>
          <w:sz w:val="22"/>
          <w:szCs w:val="22"/>
          <w:lang w:eastAsia="en-US"/>
        </w:rPr>
        <w:t>Ukončení účinnosti této smlouvy z jakéhokoliv důvodu se nedotkne ustanovení tohoto článku a jeho účinnost přetrvá i po ukončení účinnosti této smlouvy.</w:t>
      </w:r>
    </w:p>
    <w:p w:rsidR="00C833C7" w:rsidRPr="007E7A3B" w:rsidRDefault="00C833C7" w:rsidP="00C833C7">
      <w:pPr>
        <w:spacing w:before="240" w:after="120"/>
        <w:jc w:val="center"/>
        <w:outlineLvl w:val="3"/>
        <w:rPr>
          <w:rFonts w:ascii="Arial" w:eastAsiaTheme="minorHAnsi" w:hAnsi="Arial" w:cs="Arial"/>
          <w:b/>
          <w:sz w:val="22"/>
          <w:szCs w:val="22"/>
          <w:lang w:eastAsia="en-US"/>
        </w:rPr>
      </w:pPr>
      <w:r w:rsidRPr="007E7A3B">
        <w:rPr>
          <w:rFonts w:ascii="Arial" w:eastAsiaTheme="minorHAnsi" w:hAnsi="Arial" w:cs="Arial"/>
          <w:b/>
          <w:sz w:val="22"/>
          <w:szCs w:val="22"/>
          <w:lang w:eastAsia="en-US"/>
        </w:rPr>
        <w:t>Článek VI.</w:t>
      </w:r>
      <w:r w:rsidRPr="007E7A3B">
        <w:rPr>
          <w:rFonts w:ascii="Arial" w:eastAsiaTheme="minorHAnsi" w:hAnsi="Arial" w:cs="Arial"/>
          <w:b/>
          <w:sz w:val="22"/>
          <w:szCs w:val="22"/>
          <w:lang w:eastAsia="en-US"/>
        </w:rPr>
        <w:br/>
        <w:t>Práva duševního vlastnictví</w:t>
      </w:r>
    </w:p>
    <w:p w:rsidR="00C833C7" w:rsidRPr="007E7A3B" w:rsidRDefault="00C833C7" w:rsidP="00C833C7">
      <w:pPr>
        <w:numPr>
          <w:ilvl w:val="0"/>
          <w:numId w:val="11"/>
        </w:numPr>
        <w:tabs>
          <w:tab w:val="left" w:pos="426"/>
        </w:tabs>
        <w:autoSpaceDE w:val="0"/>
        <w:autoSpaceDN w:val="0"/>
        <w:spacing w:after="120"/>
        <w:ind w:left="425" w:hanging="425"/>
        <w:rPr>
          <w:rFonts w:ascii="Arial" w:hAnsi="Arial" w:cs="Arial"/>
          <w:sz w:val="22"/>
          <w:szCs w:val="22"/>
        </w:rPr>
      </w:pPr>
      <w:r w:rsidRPr="007E7A3B">
        <w:rPr>
          <w:rFonts w:ascii="Arial" w:hAnsi="Arial" w:cs="Arial"/>
          <w:sz w:val="22"/>
          <w:szCs w:val="22"/>
        </w:rPr>
        <w:t xml:space="preserve">Prodávající se zavazuje, že při poskytování plnění dle této smlouvy neporuší práva třetích osob, která těmto osobám mohou plynout z práv k duševnímu vlastnictví, zejména z autorských práv a práv průmyslového vlastnictví, že je plně oprávněn disponovat s právy, které touto smlouvou postupuje na kupujícího, nebo k jejichž užití poskytuje kupujícímu dle této smlouvy licenci </w:t>
      </w:r>
      <w:r>
        <w:rPr>
          <w:rFonts w:ascii="Arial" w:hAnsi="Arial" w:cs="Arial"/>
          <w:sz w:val="22"/>
          <w:szCs w:val="22"/>
        </w:rPr>
        <w:br/>
      </w:r>
      <w:r w:rsidRPr="007E7A3B">
        <w:rPr>
          <w:rFonts w:ascii="Arial" w:hAnsi="Arial" w:cs="Arial"/>
          <w:sz w:val="22"/>
          <w:szCs w:val="22"/>
        </w:rPr>
        <w:t>a zavazuje se za tímto účelem zajistit řádné a nerušené užívání výstupů poskytovaného plnění (dále pro účely tohoto článku jen „dílo“) kupujícím, včetně případného zajištění dalších souhlasů a licencí od autorů děl v souladu se autorským zákonem, popř. od</w:t>
      </w:r>
      <w:r>
        <w:rPr>
          <w:rFonts w:ascii="Arial" w:hAnsi="Arial" w:cs="Arial"/>
          <w:sz w:val="22"/>
          <w:szCs w:val="22"/>
        </w:rPr>
        <w:t> </w:t>
      </w:r>
      <w:r w:rsidRPr="007E7A3B">
        <w:rPr>
          <w:rFonts w:ascii="Arial" w:hAnsi="Arial" w:cs="Arial"/>
          <w:sz w:val="22"/>
          <w:szCs w:val="22"/>
        </w:rPr>
        <w:t>nositelů jiných práv duševního vlastnictví v souladu s právními předpisy. Prodávající se</w:t>
      </w:r>
      <w:r>
        <w:rPr>
          <w:rFonts w:ascii="Arial" w:hAnsi="Arial" w:cs="Arial"/>
          <w:sz w:val="22"/>
          <w:szCs w:val="22"/>
        </w:rPr>
        <w:t> </w:t>
      </w:r>
      <w:r w:rsidRPr="007E7A3B">
        <w:rPr>
          <w:rFonts w:ascii="Arial" w:hAnsi="Arial" w:cs="Arial"/>
          <w:sz w:val="22"/>
          <w:szCs w:val="22"/>
        </w:rPr>
        <w:t>zavazuje, že kupujícímu uhradí veškeré náklady, výdaje, škody a majetkovou i nemajetkovou újmu, které kupujícímu vzniknou v důsledku porušení povinností dle předchozí věty.</w:t>
      </w:r>
    </w:p>
    <w:p w:rsidR="00C833C7" w:rsidRPr="007E7A3B" w:rsidRDefault="00C833C7" w:rsidP="00C833C7">
      <w:pPr>
        <w:numPr>
          <w:ilvl w:val="0"/>
          <w:numId w:val="11"/>
        </w:numPr>
        <w:tabs>
          <w:tab w:val="left" w:pos="426"/>
        </w:tabs>
        <w:autoSpaceDE w:val="0"/>
        <w:autoSpaceDN w:val="0"/>
        <w:spacing w:after="120"/>
        <w:ind w:left="425" w:hanging="425"/>
        <w:rPr>
          <w:rFonts w:ascii="Arial" w:hAnsi="Arial" w:cs="Arial"/>
          <w:sz w:val="22"/>
          <w:szCs w:val="22"/>
        </w:rPr>
      </w:pPr>
      <w:r w:rsidRPr="007E7A3B">
        <w:rPr>
          <w:rFonts w:ascii="Arial" w:hAnsi="Arial" w:cs="Arial"/>
          <w:sz w:val="22"/>
          <w:szCs w:val="22"/>
        </w:rPr>
        <w:t xml:space="preserve">Je-li výsledkem činnosti prodávajícího dle této smlouvy anebo součástí předaného díla výtvor, který je předmětem práv autorských, práv souvisejících či předmětem práv pořizovatele k jím pořízené databázi, a nejde přitom ve smyslu odst. 6 tohoto článku o dílo anebo jeho části vytvořené jako zaměstnanecké dílo (dále pro účely tohoto článku souhrnně jen „Předměty ochrany podle autorského zákona“), náleží od okamžiku předání díla dle této smlouvy kupujícímu pro území celého světa včetně České republiky výhradní neomezené právo k užití těchto Předmětů ochrany podle autorského zákona, a to na dobu trvání práva k Předmětům ochrany podle autorského zákona, resp. na zákonnou dobu ochrany. Prodávající touto smlouvou poskytuje kupujícímu oprávnění k výkonu uvedeného výhradního práva k užití předmětů ochrany podle autorského zákona (licence) bez časového, územního a množstevního omezení a pro všechny způsoby užití. Kupující je oprávněn Předměty ochrany podle autorského zákona užít v původní nebo jiným zpracované či jinak změněné podobě, samostatně nebo v souboru anebo ve spojení s jiným dílem či prvky. Oprávnění k užití Předmětů ochrany </w:t>
      </w:r>
      <w:r w:rsidRPr="007E7A3B">
        <w:rPr>
          <w:rFonts w:ascii="Arial" w:hAnsi="Arial" w:cs="Arial"/>
          <w:sz w:val="22"/>
          <w:szCs w:val="22"/>
        </w:rPr>
        <w:lastRenderedPageBreak/>
        <w:t xml:space="preserve">podle autorského zákona získává kupující jako převoditelná s právem podlicence a dále postupitelná. Postoupení licence nebo její části na třetí osobu nevyžaduje souhlas prodávajícího a kupující není povinen postoupení licence nebo její části na třetí osobu prodávajícímu oznamovat. Toto právo kupujícího k Předmětům ochrany podle autorského zákona se automaticky vztahuje i na všechny nové verze, úpravy a překlady Předmětů ochrany podle autorského zákona dodané prodávajícím. Kupující není povinen výše uvedenou licenci využít. Dohodou smluvních stran se stanoví, že cena za užití Předmětů ochrany podle autorského zákona dle tohoto odstavce je součástí ceny dle </w:t>
      </w:r>
      <w:r w:rsidRPr="007E7A3B">
        <w:rPr>
          <w:rFonts w:ascii="Arial" w:eastAsiaTheme="minorHAnsi" w:hAnsi="Arial" w:cs="Arial"/>
          <w:sz w:val="22"/>
          <w:szCs w:val="22"/>
          <w:lang w:eastAsia="en-US"/>
        </w:rPr>
        <w:t>čl. IV odst. 1</w:t>
      </w:r>
      <w:r w:rsidRPr="007E7A3B">
        <w:rPr>
          <w:rFonts w:ascii="Arial" w:hAnsi="Arial" w:cs="Arial"/>
          <w:sz w:val="22"/>
          <w:szCs w:val="22"/>
        </w:rPr>
        <w:t xml:space="preserve"> </w:t>
      </w:r>
      <w:r>
        <w:rPr>
          <w:rFonts w:ascii="Arial" w:hAnsi="Arial" w:cs="Arial"/>
          <w:sz w:val="22"/>
          <w:szCs w:val="22"/>
        </w:rPr>
        <w:t xml:space="preserve">a přílohy č. 2 </w:t>
      </w:r>
      <w:proofErr w:type="gramStart"/>
      <w:r w:rsidRPr="007E7A3B">
        <w:rPr>
          <w:rFonts w:ascii="Arial" w:hAnsi="Arial" w:cs="Arial"/>
          <w:sz w:val="22"/>
          <w:szCs w:val="22"/>
        </w:rPr>
        <w:t>této</w:t>
      </w:r>
      <w:proofErr w:type="gramEnd"/>
      <w:r w:rsidRPr="007E7A3B">
        <w:rPr>
          <w:rFonts w:ascii="Arial" w:hAnsi="Arial" w:cs="Arial"/>
          <w:sz w:val="22"/>
          <w:szCs w:val="22"/>
        </w:rPr>
        <w:t xml:space="preserve"> smlouvy. </w:t>
      </w:r>
    </w:p>
    <w:p w:rsidR="00C833C7" w:rsidRPr="007E7A3B" w:rsidRDefault="00C833C7" w:rsidP="00C833C7">
      <w:pPr>
        <w:numPr>
          <w:ilvl w:val="0"/>
          <w:numId w:val="11"/>
        </w:numPr>
        <w:tabs>
          <w:tab w:val="left" w:pos="426"/>
        </w:tabs>
        <w:autoSpaceDE w:val="0"/>
        <w:autoSpaceDN w:val="0"/>
        <w:spacing w:after="120"/>
        <w:ind w:left="425" w:hanging="425"/>
        <w:rPr>
          <w:rFonts w:ascii="Arial" w:hAnsi="Arial" w:cs="Arial"/>
          <w:sz w:val="22"/>
          <w:szCs w:val="22"/>
        </w:rPr>
      </w:pPr>
      <w:r w:rsidRPr="007E7A3B">
        <w:rPr>
          <w:rFonts w:ascii="Arial" w:hAnsi="Arial" w:cs="Arial"/>
          <w:sz w:val="22"/>
          <w:szCs w:val="22"/>
        </w:rPr>
        <w:t>Je-li výsledkem činnosti prodávajícího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prodávající na kupujícího od okamžiku předání díla</w:t>
      </w:r>
      <w:r w:rsidRPr="007E7A3B">
        <w:rPr>
          <w:rFonts w:ascii="Arial" w:hAnsi="Arial" w:cs="Arial"/>
          <w:sz w:val="22"/>
          <w:szCs w:val="22"/>
        </w:rPr>
        <w:br/>
        <w:t>dle této smlouvy veškerá práva na Nezapsané předměty průmyslových práv, zejména pak právo na patent, právo na užitný vzor a právo na průmyslový vzor. Kupující je oprávněn zejména Nezapsané předměty průmyslových práv přihlásit k ochraně na území České republiky a jiných teritoriích a neomezeně je i po jejich zápisu využívat na území celého světa včetně České republiky. Toto právo kupujícího k Nezapsaným předmětům průmyslových práv se automaticky vztahuje i na všechny nové verze a úpravy Nezapsaných předmětů průmyslových práv dodaných prodávajícím na základě této smlouvy. Prodávající je o takovémto výtvoru povinen kupujícího neprodleně informovat. Dohodou smluvních stran se stanoví, že cena za převod práv k Nezapsaným předmětům průmyslových práv je součástí ceny dle </w:t>
      </w:r>
      <w:r w:rsidRPr="007E7A3B">
        <w:rPr>
          <w:rFonts w:ascii="Arial" w:eastAsiaTheme="minorHAnsi" w:hAnsi="Arial" w:cs="Arial"/>
          <w:sz w:val="22"/>
          <w:szCs w:val="22"/>
          <w:lang w:eastAsia="en-US"/>
        </w:rPr>
        <w:t xml:space="preserve">čl. IV odst. 1 </w:t>
      </w:r>
      <w:r>
        <w:rPr>
          <w:rFonts w:ascii="Arial" w:eastAsiaTheme="minorHAnsi" w:hAnsi="Arial" w:cs="Arial"/>
          <w:sz w:val="22"/>
          <w:szCs w:val="22"/>
          <w:lang w:eastAsia="en-US"/>
        </w:rPr>
        <w:t xml:space="preserve">a přílohy č. 2 </w:t>
      </w:r>
      <w:proofErr w:type="gramStart"/>
      <w:r w:rsidRPr="007E7A3B">
        <w:rPr>
          <w:rFonts w:ascii="Arial" w:eastAsiaTheme="minorHAnsi" w:hAnsi="Arial" w:cs="Arial"/>
          <w:sz w:val="22"/>
          <w:szCs w:val="22"/>
          <w:lang w:eastAsia="en-US"/>
        </w:rPr>
        <w:t>této</w:t>
      </w:r>
      <w:proofErr w:type="gramEnd"/>
      <w:r w:rsidRPr="007E7A3B">
        <w:rPr>
          <w:rFonts w:ascii="Arial" w:eastAsiaTheme="minorHAnsi" w:hAnsi="Arial" w:cs="Arial"/>
          <w:sz w:val="22"/>
          <w:szCs w:val="22"/>
          <w:lang w:eastAsia="en-US"/>
        </w:rPr>
        <w:t xml:space="preserve"> smlouvy</w:t>
      </w:r>
      <w:r w:rsidRPr="007E7A3B">
        <w:rPr>
          <w:rFonts w:ascii="Arial" w:hAnsi="Arial" w:cs="Arial"/>
          <w:sz w:val="22"/>
          <w:szCs w:val="22"/>
        </w:rPr>
        <w:t>.</w:t>
      </w:r>
    </w:p>
    <w:p w:rsidR="00C833C7" w:rsidRPr="007E7A3B" w:rsidRDefault="00C833C7" w:rsidP="00C833C7">
      <w:pPr>
        <w:numPr>
          <w:ilvl w:val="0"/>
          <w:numId w:val="11"/>
        </w:numPr>
        <w:tabs>
          <w:tab w:val="left" w:pos="426"/>
        </w:tabs>
        <w:autoSpaceDE w:val="0"/>
        <w:autoSpaceDN w:val="0"/>
        <w:spacing w:after="120"/>
        <w:ind w:left="425" w:hanging="425"/>
        <w:rPr>
          <w:rFonts w:ascii="Arial" w:hAnsi="Arial" w:cs="Arial"/>
          <w:sz w:val="22"/>
          <w:szCs w:val="22"/>
        </w:rPr>
      </w:pPr>
      <w:r w:rsidRPr="007E7A3B">
        <w:rPr>
          <w:rFonts w:ascii="Arial" w:hAnsi="Arial" w:cs="Arial"/>
          <w:sz w:val="22"/>
          <w:szCs w:val="22"/>
        </w:rPr>
        <w:t xml:space="preserve">Je-li výsledkem činnosti prodávajícího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kupujícímu od okamžiku předání díla podle této smlouvy k Zapsaným předmětům průmyslových práv výhradní neomezené právo k užití těchto Zapsaných předmětů průmyslových práv, a to pro území celého světa včetně České republiky. Prodávající touto smlouvou opravňuje kupujícího k výkonu uvedených výhradních práv k Zapsaným předmětům průmyslových práv, a to bez časového, územního a množstevního omezení a pro všechny způsoby užití. Oprávnění k užití Zapsaných předmětů průmyslových práv získává kupující jako převoditelná s právem podlicence a dále postupitelná. Toto právo kupujícího k Zapsaným předmětům průmyslových práv se automaticky vztahuje i na všechny nové verze a úpravy Zapsaných předmětů průmyslových práv dodaných prodávajícím, ať již budou přihlášeny k ochraně či nikoliv. Prodávající je o takovémto výtvoru povinen kupujícího neprodleně informovat. Prodávající je dále povinen učinit veškeré nezbytné úkony a poskytnout kupujícímu veškerou nezbytnou součinnost směřující k zápisu uvedené licence k Zapsaným předmětům průmyslových práv do příslušných rejstříků. Prodávající rovněž poskytuje kupujícímu právo upravovat a modifikovat Zapsané předměty průmyslových práv, včetně práva kupujícího zadat vývoj a provedení těchto úprav a modifikací třetím osobám. Dohodou smluvních stran se stanoví, že cena za převod práv k Zapsaným předmětům průmyslových práv je součástí ceny </w:t>
      </w:r>
      <w:r w:rsidRPr="007E7A3B">
        <w:rPr>
          <w:rFonts w:ascii="Arial" w:eastAsiaTheme="minorHAnsi" w:hAnsi="Arial" w:cs="Arial"/>
          <w:sz w:val="22"/>
          <w:szCs w:val="22"/>
          <w:lang w:eastAsia="en-US"/>
        </w:rPr>
        <w:t xml:space="preserve">dle čl. IV odst. 1 </w:t>
      </w:r>
      <w:r>
        <w:rPr>
          <w:rFonts w:ascii="Arial" w:eastAsiaTheme="minorHAnsi" w:hAnsi="Arial" w:cs="Arial"/>
          <w:sz w:val="22"/>
          <w:szCs w:val="22"/>
          <w:lang w:eastAsia="en-US"/>
        </w:rPr>
        <w:t xml:space="preserve">a přílohy č. 2 </w:t>
      </w:r>
      <w:proofErr w:type="gramStart"/>
      <w:r w:rsidRPr="007E7A3B">
        <w:rPr>
          <w:rFonts w:ascii="Arial" w:eastAsiaTheme="minorHAnsi" w:hAnsi="Arial" w:cs="Arial"/>
          <w:sz w:val="22"/>
          <w:szCs w:val="22"/>
          <w:lang w:eastAsia="en-US"/>
        </w:rPr>
        <w:t>této</w:t>
      </w:r>
      <w:proofErr w:type="gramEnd"/>
      <w:r w:rsidRPr="007E7A3B">
        <w:rPr>
          <w:rFonts w:ascii="Arial" w:eastAsiaTheme="minorHAnsi" w:hAnsi="Arial" w:cs="Arial"/>
          <w:sz w:val="22"/>
          <w:szCs w:val="22"/>
          <w:lang w:eastAsia="en-US"/>
        </w:rPr>
        <w:t xml:space="preserve"> smlouvy</w:t>
      </w:r>
      <w:r w:rsidRPr="007E7A3B">
        <w:rPr>
          <w:rFonts w:ascii="Arial" w:hAnsi="Arial" w:cs="Arial"/>
          <w:sz w:val="22"/>
          <w:szCs w:val="22"/>
        </w:rPr>
        <w:t>.</w:t>
      </w:r>
    </w:p>
    <w:p w:rsidR="00C833C7" w:rsidRPr="007E7A3B" w:rsidRDefault="00C833C7" w:rsidP="00C833C7">
      <w:pPr>
        <w:numPr>
          <w:ilvl w:val="0"/>
          <w:numId w:val="11"/>
        </w:numPr>
        <w:tabs>
          <w:tab w:val="left" w:pos="426"/>
        </w:tabs>
        <w:autoSpaceDE w:val="0"/>
        <w:autoSpaceDN w:val="0"/>
        <w:spacing w:after="120"/>
        <w:ind w:left="425" w:hanging="425"/>
        <w:rPr>
          <w:rFonts w:ascii="Arial" w:hAnsi="Arial" w:cs="Arial"/>
          <w:sz w:val="22"/>
          <w:szCs w:val="22"/>
        </w:rPr>
      </w:pPr>
      <w:r w:rsidRPr="007E7A3B">
        <w:rPr>
          <w:rFonts w:ascii="Arial" w:hAnsi="Arial" w:cs="Arial"/>
          <w:sz w:val="22"/>
          <w:szCs w:val="22"/>
        </w:rPr>
        <w:t xml:space="preserve">Je-li výsledkem činnosti prodávajícího dle této smlouvy anebo součástí předaného díla výtvor, který může být předmětem majetkových práv, vyjma v předchozích odstavcích tohoto článku a odst. 6 tohoto článku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prodávající na kupujícího od okamžiku předání díla veškerá práva k Ostatním předmětům duševního vlastnictví. Kupující je oprávněn zejména Ostatní předměty duševního vlastnictví neomezeně využívat na území celého světa včetně České republiky. Toto právo kupujícího k Ostatním předmětům duševního vlastnictví se automaticky vztahuje i na všechny nové verze a úpravy Ostatních předmětů duševního vlastnictví dodaných </w:t>
      </w:r>
      <w:r w:rsidRPr="007E7A3B">
        <w:rPr>
          <w:rFonts w:ascii="Arial" w:hAnsi="Arial" w:cs="Arial"/>
          <w:sz w:val="22"/>
          <w:szCs w:val="22"/>
        </w:rPr>
        <w:lastRenderedPageBreak/>
        <w:t xml:space="preserve">prodávajícím. Prodávající je o takovémto výtvoru povinen kupujícího neprodleně informovat. Dohodou smluvních stran se stanoví, že cena za užití Ostatních předmětů duševního vlastnictví dle tohoto odstavce je součástí ceny dle </w:t>
      </w:r>
      <w:r w:rsidRPr="007E7A3B">
        <w:rPr>
          <w:rFonts w:ascii="Arial" w:eastAsiaTheme="minorHAnsi" w:hAnsi="Arial" w:cs="Arial"/>
          <w:sz w:val="22"/>
          <w:szCs w:val="22"/>
          <w:lang w:eastAsia="en-US"/>
        </w:rPr>
        <w:t>čl. IV odst. 1</w:t>
      </w:r>
      <w:r w:rsidRPr="007E7A3B">
        <w:rPr>
          <w:rFonts w:ascii="Arial" w:hAnsi="Arial" w:cs="Arial"/>
          <w:sz w:val="22"/>
          <w:szCs w:val="22"/>
        </w:rPr>
        <w:t xml:space="preserve"> </w:t>
      </w:r>
      <w:r>
        <w:rPr>
          <w:rFonts w:ascii="Arial" w:hAnsi="Arial" w:cs="Arial"/>
          <w:sz w:val="22"/>
          <w:szCs w:val="22"/>
        </w:rPr>
        <w:t xml:space="preserve">a přílohy č. 2 </w:t>
      </w:r>
      <w:proofErr w:type="gramStart"/>
      <w:r w:rsidRPr="007E7A3B">
        <w:rPr>
          <w:rFonts w:ascii="Arial" w:hAnsi="Arial" w:cs="Arial"/>
          <w:sz w:val="22"/>
          <w:szCs w:val="22"/>
        </w:rPr>
        <w:t>této</w:t>
      </w:r>
      <w:proofErr w:type="gramEnd"/>
      <w:r w:rsidRPr="007E7A3B">
        <w:rPr>
          <w:rFonts w:ascii="Arial" w:hAnsi="Arial" w:cs="Arial"/>
          <w:sz w:val="22"/>
          <w:szCs w:val="22"/>
        </w:rPr>
        <w:t xml:space="preserve"> smlouvy.</w:t>
      </w:r>
    </w:p>
    <w:p w:rsidR="00C833C7" w:rsidRDefault="00C833C7" w:rsidP="00C833C7">
      <w:pPr>
        <w:numPr>
          <w:ilvl w:val="0"/>
          <w:numId w:val="11"/>
        </w:numPr>
        <w:tabs>
          <w:tab w:val="left" w:pos="426"/>
        </w:tabs>
        <w:autoSpaceDE w:val="0"/>
        <w:autoSpaceDN w:val="0"/>
        <w:spacing w:after="120"/>
        <w:ind w:left="425" w:hanging="425"/>
        <w:rPr>
          <w:rFonts w:ascii="Arial" w:hAnsi="Arial" w:cs="Arial"/>
          <w:sz w:val="22"/>
          <w:szCs w:val="22"/>
        </w:rPr>
      </w:pPr>
      <w:r w:rsidRPr="007E7A3B">
        <w:rPr>
          <w:rFonts w:ascii="Arial" w:hAnsi="Arial" w:cs="Arial"/>
          <w:sz w:val="22"/>
          <w:szCs w:val="22"/>
        </w:rPr>
        <w:t xml:space="preserve">Je-li výsledkem nebo součástí díla i zaměstnanecké či kolektivní dílo, které je předmětem autorských práv, práv souvisejících s právem autorským či práv pořizovatele k jím pořízené databázi, prodávající jako zaměstnavatel či osoba, z jejíhož podnětu a pod jejímž vedením je dílo vytvářeno a pod jejímž jménem je dílo uváděno na veřejnost, ke dni předání díla dle této smlouvy postupuje právo výkonu majetkových práv k dílu na kupujícího, přičemž výše odměny za postoupení je již zahrnuta v ceně </w:t>
      </w:r>
      <w:r w:rsidRPr="007E7A3B">
        <w:rPr>
          <w:rFonts w:ascii="Arial" w:eastAsiaTheme="minorHAnsi" w:hAnsi="Arial" w:cs="Arial"/>
          <w:sz w:val="22"/>
          <w:szCs w:val="22"/>
          <w:lang w:eastAsia="en-US"/>
        </w:rPr>
        <w:t xml:space="preserve">dle čl. IV odst. 1 </w:t>
      </w:r>
      <w:r>
        <w:rPr>
          <w:rFonts w:ascii="Arial" w:eastAsiaTheme="minorHAnsi" w:hAnsi="Arial" w:cs="Arial"/>
          <w:sz w:val="22"/>
          <w:szCs w:val="22"/>
          <w:lang w:eastAsia="en-US"/>
        </w:rPr>
        <w:t xml:space="preserve">a přílohy č. 2 </w:t>
      </w:r>
      <w:proofErr w:type="gramStart"/>
      <w:r w:rsidRPr="007E7A3B">
        <w:rPr>
          <w:rFonts w:ascii="Arial" w:eastAsiaTheme="minorHAnsi" w:hAnsi="Arial" w:cs="Arial"/>
          <w:sz w:val="22"/>
          <w:szCs w:val="22"/>
          <w:lang w:eastAsia="en-US"/>
        </w:rPr>
        <w:t>této</w:t>
      </w:r>
      <w:proofErr w:type="gramEnd"/>
      <w:r w:rsidRPr="007E7A3B">
        <w:rPr>
          <w:rFonts w:ascii="Arial" w:eastAsiaTheme="minorHAnsi" w:hAnsi="Arial" w:cs="Arial"/>
          <w:sz w:val="22"/>
          <w:szCs w:val="22"/>
          <w:lang w:eastAsia="en-US"/>
        </w:rPr>
        <w:t xml:space="preserve"> smlouvy</w:t>
      </w:r>
      <w:r w:rsidRPr="007E7A3B">
        <w:rPr>
          <w:rFonts w:ascii="Arial" w:hAnsi="Arial" w:cs="Arial"/>
          <w:sz w:val="22"/>
          <w:szCs w:val="22"/>
        </w:rPr>
        <w:t>. Kupující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kupující jako dále postupitelné. Kupující je tak především oprávněn dílo i jeho části bez dalšího sám jakýmkoli způsobem užít v původní, zpracované či jinak změněné podobě a udělit třetím osobám oprávnění (licenci) k výkonu práva dílo a jeho části užít. Kupující je dále oprávněn nehotové anebo nedostatečně podrobné části díla dokončit, a to bez ohledu na podmínky podle ustanovení § 58 odst. 5 autorského zákona. Prodávajícímu ani původním autorům nenáleží nárok na přiměřenou dodatečnou odměnu podle ustanovení § 58 odst. 6 autorského zákona. Kupující je oprávněn dílo anebo jeho části zveřejnit, upravovat, zpracovávat včetně překladu, spojit s jiným dílem, zařadit do díla souborného a uvádět je na veřejnost pod vlastním jménem.</w:t>
      </w:r>
    </w:p>
    <w:p w:rsidR="00C833C7" w:rsidRPr="00ED7A52" w:rsidRDefault="00C833C7" w:rsidP="00C833C7">
      <w:pPr>
        <w:numPr>
          <w:ilvl w:val="0"/>
          <w:numId w:val="11"/>
        </w:numPr>
        <w:tabs>
          <w:tab w:val="left" w:pos="426"/>
        </w:tabs>
        <w:autoSpaceDE w:val="0"/>
        <w:autoSpaceDN w:val="0"/>
        <w:spacing w:after="120"/>
        <w:ind w:left="425" w:hanging="425"/>
        <w:rPr>
          <w:rFonts w:ascii="Arial" w:hAnsi="Arial" w:cs="Arial"/>
          <w:sz w:val="22"/>
          <w:szCs w:val="22"/>
        </w:rPr>
      </w:pPr>
      <w:r w:rsidRPr="00AA2365">
        <w:rPr>
          <w:rFonts w:ascii="Arial" w:hAnsi="Arial" w:cs="Arial"/>
          <w:sz w:val="22"/>
          <w:szCs w:val="22"/>
        </w:rPr>
        <w:t>Prodávající je povinen předat kupujícímu bezodkla</w:t>
      </w:r>
      <w:r>
        <w:rPr>
          <w:rFonts w:ascii="Arial" w:hAnsi="Arial" w:cs="Arial"/>
          <w:sz w:val="22"/>
          <w:szCs w:val="22"/>
        </w:rPr>
        <w:t xml:space="preserve">dně veškeré informace, doklady </w:t>
      </w:r>
      <w:r>
        <w:rPr>
          <w:rFonts w:ascii="Arial" w:hAnsi="Arial" w:cs="Arial"/>
          <w:sz w:val="22"/>
          <w:szCs w:val="22"/>
        </w:rPr>
        <w:br/>
      </w:r>
      <w:r w:rsidRPr="00AA2365">
        <w:rPr>
          <w:rFonts w:ascii="Arial" w:hAnsi="Arial" w:cs="Arial"/>
          <w:sz w:val="22"/>
          <w:szCs w:val="22"/>
        </w:rPr>
        <w:t>a dokumentaci potřebné pro výkon práv dle tohoto článku</w:t>
      </w:r>
      <w:r>
        <w:rPr>
          <w:rFonts w:ascii="Arial" w:hAnsi="Arial" w:cs="Arial"/>
          <w:sz w:val="22"/>
          <w:szCs w:val="22"/>
        </w:rPr>
        <w:t>.</w:t>
      </w:r>
    </w:p>
    <w:p w:rsidR="00C833C7" w:rsidRPr="00D35B8D" w:rsidRDefault="00C833C7" w:rsidP="00C833C7">
      <w:pPr>
        <w:pStyle w:val="Odstavecseseznamem"/>
        <w:spacing w:before="240"/>
        <w:ind w:left="0"/>
        <w:contextualSpacing w:val="0"/>
        <w:jc w:val="center"/>
        <w:rPr>
          <w:rFonts w:ascii="Arial" w:hAnsi="Arial" w:cs="Arial"/>
          <w:b/>
          <w:bCs/>
          <w:sz w:val="22"/>
          <w:szCs w:val="22"/>
        </w:rPr>
      </w:pPr>
      <w:r w:rsidRPr="00D35B8D">
        <w:rPr>
          <w:rFonts w:ascii="Arial" w:hAnsi="Arial" w:cs="Arial"/>
          <w:b/>
          <w:bCs/>
          <w:sz w:val="22"/>
          <w:szCs w:val="22"/>
        </w:rPr>
        <w:t>Článek V</w:t>
      </w:r>
      <w:r>
        <w:rPr>
          <w:rFonts w:ascii="Arial" w:hAnsi="Arial" w:cs="Arial"/>
          <w:b/>
          <w:bCs/>
          <w:sz w:val="22"/>
          <w:szCs w:val="22"/>
        </w:rPr>
        <w:t>II</w:t>
      </w:r>
      <w:r w:rsidRPr="00D35B8D">
        <w:rPr>
          <w:rFonts w:ascii="Arial" w:hAnsi="Arial" w:cs="Arial"/>
          <w:b/>
          <w:bCs/>
          <w:sz w:val="22"/>
          <w:szCs w:val="22"/>
        </w:rPr>
        <w:t>.</w:t>
      </w:r>
    </w:p>
    <w:p w:rsidR="00C833C7" w:rsidRPr="00D35B8D" w:rsidRDefault="00C833C7" w:rsidP="00C833C7">
      <w:pPr>
        <w:pStyle w:val="Nadpis2"/>
        <w:spacing w:before="0" w:after="240"/>
        <w:jc w:val="center"/>
        <w:rPr>
          <w:rFonts w:ascii="Arial" w:hAnsi="Arial" w:cs="Arial"/>
          <w:i w:val="0"/>
          <w:sz w:val="22"/>
          <w:szCs w:val="22"/>
        </w:rPr>
      </w:pPr>
      <w:r>
        <w:rPr>
          <w:rFonts w:ascii="Arial" w:hAnsi="Arial" w:cs="Arial"/>
          <w:i w:val="0"/>
          <w:sz w:val="22"/>
          <w:szCs w:val="22"/>
        </w:rPr>
        <w:t>Sleva z plnění, s</w:t>
      </w:r>
      <w:r w:rsidRPr="00D35B8D">
        <w:rPr>
          <w:rFonts w:ascii="Arial" w:hAnsi="Arial" w:cs="Arial"/>
          <w:i w:val="0"/>
          <w:sz w:val="22"/>
          <w:szCs w:val="22"/>
        </w:rPr>
        <w:t>mluvní pokuta, úrok z prodlení</w:t>
      </w:r>
    </w:p>
    <w:p w:rsidR="00C833C7" w:rsidRPr="007E7A3B" w:rsidRDefault="00C833C7" w:rsidP="00C833C7">
      <w:pPr>
        <w:numPr>
          <w:ilvl w:val="0"/>
          <w:numId w:val="3"/>
        </w:numPr>
        <w:tabs>
          <w:tab w:val="clear" w:pos="720"/>
          <w:tab w:val="num" w:pos="567"/>
        </w:tabs>
        <w:spacing w:after="120"/>
        <w:ind w:left="567" w:hanging="567"/>
        <w:rPr>
          <w:rFonts w:ascii="Arial" w:eastAsiaTheme="minorHAnsi" w:hAnsi="Arial" w:cs="Arial"/>
          <w:sz w:val="22"/>
          <w:szCs w:val="22"/>
          <w:lang w:eastAsia="en-US"/>
        </w:rPr>
      </w:pPr>
      <w:r w:rsidRPr="007E7A3B">
        <w:rPr>
          <w:rFonts w:ascii="Arial" w:eastAsiaTheme="minorHAnsi" w:hAnsi="Arial" w:cs="Arial"/>
          <w:sz w:val="22"/>
          <w:szCs w:val="22"/>
          <w:lang w:eastAsia="en-US"/>
        </w:rPr>
        <w:t>V případě prodlení prodávajícího s předáním zboží</w:t>
      </w:r>
      <w:r w:rsidRPr="00D44B8B">
        <w:rPr>
          <w:rFonts w:ascii="Arial" w:hAnsi="Arial" w:cs="Arial"/>
          <w:sz w:val="22"/>
          <w:szCs w:val="22"/>
        </w:rPr>
        <w:t xml:space="preserve"> </w:t>
      </w:r>
      <w:r>
        <w:rPr>
          <w:rFonts w:ascii="Arial" w:hAnsi="Arial" w:cs="Arial"/>
          <w:sz w:val="22"/>
          <w:szCs w:val="22"/>
        </w:rPr>
        <w:t xml:space="preserve">dle čl. II odst. 1 této smlouvy, </w:t>
      </w:r>
      <w:r w:rsidRPr="007E7A3B">
        <w:rPr>
          <w:rFonts w:ascii="Arial" w:eastAsiaTheme="minorHAnsi" w:hAnsi="Arial" w:cs="Arial"/>
          <w:sz w:val="22"/>
          <w:szCs w:val="22"/>
          <w:lang w:eastAsia="en-US"/>
        </w:rPr>
        <w:t xml:space="preserve">a to i </w:t>
      </w:r>
      <w:r>
        <w:rPr>
          <w:rFonts w:ascii="Arial" w:eastAsiaTheme="minorHAnsi" w:hAnsi="Arial" w:cs="Arial"/>
          <w:sz w:val="22"/>
          <w:szCs w:val="22"/>
          <w:lang w:eastAsia="en-US"/>
        </w:rPr>
        <w:br/>
      </w:r>
      <w:r w:rsidRPr="007E7A3B">
        <w:rPr>
          <w:rFonts w:ascii="Arial" w:eastAsiaTheme="minorHAnsi" w:hAnsi="Arial" w:cs="Arial"/>
          <w:sz w:val="22"/>
          <w:szCs w:val="22"/>
          <w:lang w:eastAsia="en-US"/>
        </w:rPr>
        <w:t>v případě jeho nepřevzetí kupujícím z titulu jeho vad je prodávající povinen poskytnout kupujícímu slevu z plnění ve výši 0,05 % z</w:t>
      </w:r>
      <w:r>
        <w:rPr>
          <w:rFonts w:ascii="Arial" w:eastAsiaTheme="minorHAnsi" w:hAnsi="Arial" w:cs="Arial"/>
          <w:sz w:val="22"/>
          <w:szCs w:val="22"/>
          <w:lang w:eastAsia="en-US"/>
        </w:rPr>
        <w:t> </w:t>
      </w:r>
      <w:r w:rsidRPr="007E7A3B">
        <w:rPr>
          <w:rFonts w:ascii="Arial" w:eastAsiaTheme="minorHAnsi" w:hAnsi="Arial" w:cs="Arial"/>
          <w:sz w:val="22"/>
          <w:szCs w:val="22"/>
          <w:lang w:eastAsia="en-US"/>
        </w:rPr>
        <w:t xml:space="preserve">ceny vč. DPH </w:t>
      </w:r>
      <w:r>
        <w:rPr>
          <w:rFonts w:ascii="Arial" w:eastAsiaTheme="minorHAnsi" w:hAnsi="Arial" w:cs="Arial"/>
          <w:sz w:val="22"/>
          <w:szCs w:val="22"/>
          <w:lang w:eastAsia="en-US"/>
        </w:rPr>
        <w:t xml:space="preserve">za plnění </w:t>
      </w:r>
      <w:r w:rsidRPr="007E7A3B">
        <w:rPr>
          <w:rFonts w:ascii="Arial" w:eastAsiaTheme="minorHAnsi" w:hAnsi="Arial" w:cs="Arial"/>
          <w:sz w:val="22"/>
          <w:szCs w:val="22"/>
          <w:lang w:eastAsia="en-US"/>
        </w:rPr>
        <w:t xml:space="preserve">dle čl. IV odst. </w:t>
      </w:r>
      <w:r>
        <w:rPr>
          <w:rFonts w:ascii="Arial" w:eastAsiaTheme="minorHAnsi" w:hAnsi="Arial" w:cs="Arial"/>
          <w:sz w:val="22"/>
          <w:szCs w:val="22"/>
          <w:lang w:eastAsia="en-US"/>
        </w:rPr>
        <w:t xml:space="preserve">3 </w:t>
      </w:r>
      <w:proofErr w:type="gramStart"/>
      <w:r w:rsidRPr="007E7A3B">
        <w:rPr>
          <w:rFonts w:ascii="Arial" w:eastAsiaTheme="minorHAnsi" w:hAnsi="Arial" w:cs="Arial"/>
          <w:sz w:val="22"/>
          <w:szCs w:val="22"/>
          <w:lang w:eastAsia="en-US"/>
        </w:rPr>
        <w:t>této</w:t>
      </w:r>
      <w:proofErr w:type="gramEnd"/>
      <w:r w:rsidRPr="007E7A3B">
        <w:rPr>
          <w:rFonts w:ascii="Arial" w:eastAsiaTheme="minorHAnsi" w:hAnsi="Arial" w:cs="Arial"/>
          <w:sz w:val="22"/>
          <w:szCs w:val="22"/>
          <w:lang w:eastAsia="en-US"/>
        </w:rPr>
        <w:t xml:space="preserve"> smlouvy za každý započatý den prodlení.</w:t>
      </w:r>
    </w:p>
    <w:p w:rsidR="00C833C7" w:rsidRDefault="00C833C7" w:rsidP="00C833C7">
      <w:pPr>
        <w:numPr>
          <w:ilvl w:val="0"/>
          <w:numId w:val="3"/>
        </w:numPr>
        <w:tabs>
          <w:tab w:val="clear" w:pos="720"/>
          <w:tab w:val="num" w:pos="567"/>
        </w:tabs>
        <w:spacing w:after="120"/>
        <w:ind w:left="567" w:hanging="567"/>
        <w:rPr>
          <w:rFonts w:ascii="Arial" w:hAnsi="Arial" w:cs="Arial"/>
          <w:sz w:val="22"/>
          <w:szCs w:val="22"/>
        </w:rPr>
      </w:pPr>
      <w:r w:rsidRPr="00D35B8D">
        <w:rPr>
          <w:rFonts w:ascii="Arial" w:hAnsi="Arial" w:cs="Arial"/>
          <w:sz w:val="22"/>
          <w:szCs w:val="22"/>
        </w:rPr>
        <w:t xml:space="preserve">V případě, že prodávající nedodrží lhůtu pro odstranění vad zboží </w:t>
      </w:r>
      <w:r>
        <w:rPr>
          <w:rFonts w:ascii="Arial" w:hAnsi="Arial" w:cs="Arial"/>
          <w:sz w:val="22"/>
          <w:szCs w:val="22"/>
        </w:rPr>
        <w:t>dle</w:t>
      </w:r>
      <w:r w:rsidRPr="00D35B8D">
        <w:rPr>
          <w:rFonts w:ascii="Arial" w:hAnsi="Arial" w:cs="Arial"/>
          <w:sz w:val="22"/>
          <w:szCs w:val="22"/>
        </w:rPr>
        <w:t xml:space="preserve"> čl. II odst. </w:t>
      </w:r>
      <w:r>
        <w:rPr>
          <w:rFonts w:ascii="Arial" w:hAnsi="Arial" w:cs="Arial"/>
          <w:sz w:val="22"/>
          <w:szCs w:val="22"/>
        </w:rPr>
        <w:t>6</w:t>
      </w:r>
      <w:r w:rsidRPr="00D35B8D">
        <w:rPr>
          <w:rFonts w:ascii="Arial" w:hAnsi="Arial" w:cs="Arial"/>
          <w:sz w:val="22"/>
          <w:szCs w:val="22"/>
        </w:rPr>
        <w:t xml:space="preserve"> </w:t>
      </w:r>
      <w:r>
        <w:rPr>
          <w:rFonts w:ascii="Arial" w:hAnsi="Arial" w:cs="Arial"/>
          <w:sz w:val="22"/>
          <w:szCs w:val="22"/>
        </w:rPr>
        <w:t xml:space="preserve">této smlouvy </w:t>
      </w:r>
      <w:r w:rsidRPr="00D35B8D">
        <w:rPr>
          <w:rFonts w:ascii="Arial" w:hAnsi="Arial" w:cs="Arial"/>
          <w:sz w:val="22"/>
          <w:szCs w:val="22"/>
        </w:rPr>
        <w:t xml:space="preserve">nebo </w:t>
      </w:r>
      <w:r>
        <w:rPr>
          <w:rFonts w:ascii="Arial" w:hAnsi="Arial" w:cs="Arial"/>
          <w:sz w:val="22"/>
          <w:szCs w:val="22"/>
        </w:rPr>
        <w:t xml:space="preserve">lhůtu pro </w:t>
      </w:r>
      <w:r w:rsidRPr="00DF385B">
        <w:rPr>
          <w:rFonts w:ascii="Arial" w:hAnsi="Arial" w:cs="Arial"/>
          <w:sz w:val="22"/>
          <w:szCs w:val="22"/>
        </w:rPr>
        <w:t xml:space="preserve">odstranění závady HW </w:t>
      </w:r>
      <w:r>
        <w:rPr>
          <w:rFonts w:ascii="Arial" w:hAnsi="Arial" w:cs="Arial"/>
          <w:sz w:val="22"/>
          <w:szCs w:val="22"/>
        </w:rPr>
        <w:t xml:space="preserve">dle </w:t>
      </w:r>
      <w:r w:rsidRPr="00D35B8D">
        <w:rPr>
          <w:rFonts w:ascii="Arial" w:hAnsi="Arial" w:cs="Arial"/>
          <w:sz w:val="22"/>
          <w:szCs w:val="22"/>
        </w:rPr>
        <w:t xml:space="preserve">čl. III odst. 2 </w:t>
      </w:r>
      <w:r>
        <w:rPr>
          <w:rFonts w:ascii="Arial" w:hAnsi="Arial" w:cs="Arial"/>
          <w:sz w:val="22"/>
          <w:szCs w:val="22"/>
        </w:rPr>
        <w:t>písm. a) této smlouvy</w:t>
      </w:r>
      <w:r w:rsidRPr="00D35B8D">
        <w:rPr>
          <w:rFonts w:ascii="Arial" w:hAnsi="Arial" w:cs="Arial"/>
          <w:sz w:val="22"/>
          <w:szCs w:val="22"/>
        </w:rPr>
        <w:t xml:space="preserve">, je povinen zaplatit kupujícímu </w:t>
      </w:r>
      <w:r w:rsidRPr="002B48C4">
        <w:rPr>
          <w:rFonts w:ascii="Arial" w:hAnsi="Arial" w:cs="Arial"/>
          <w:sz w:val="22"/>
          <w:szCs w:val="22"/>
        </w:rPr>
        <w:t xml:space="preserve">smluvní pokutu ve výši 0,05 % z ceny vč. DPH </w:t>
      </w:r>
      <w:r>
        <w:rPr>
          <w:rFonts w:ascii="Arial" w:hAnsi="Arial" w:cs="Arial"/>
          <w:sz w:val="22"/>
          <w:szCs w:val="22"/>
        </w:rPr>
        <w:t xml:space="preserve">za plnění </w:t>
      </w:r>
      <w:r w:rsidRPr="002B48C4">
        <w:rPr>
          <w:rFonts w:ascii="Arial" w:hAnsi="Arial" w:cs="Arial"/>
          <w:sz w:val="22"/>
          <w:szCs w:val="22"/>
        </w:rPr>
        <w:t xml:space="preserve">dle čl. IV odst. </w:t>
      </w:r>
      <w:r>
        <w:rPr>
          <w:rFonts w:ascii="Arial" w:hAnsi="Arial" w:cs="Arial"/>
          <w:sz w:val="22"/>
          <w:szCs w:val="22"/>
        </w:rPr>
        <w:t xml:space="preserve">3 </w:t>
      </w:r>
      <w:proofErr w:type="gramStart"/>
      <w:r>
        <w:rPr>
          <w:rFonts w:ascii="Arial" w:hAnsi="Arial" w:cs="Arial"/>
          <w:sz w:val="22"/>
          <w:szCs w:val="22"/>
        </w:rPr>
        <w:t>této</w:t>
      </w:r>
      <w:proofErr w:type="gramEnd"/>
      <w:r>
        <w:rPr>
          <w:rFonts w:ascii="Arial" w:hAnsi="Arial" w:cs="Arial"/>
          <w:sz w:val="22"/>
          <w:szCs w:val="22"/>
        </w:rPr>
        <w:t xml:space="preserve"> smlouvy</w:t>
      </w:r>
      <w:r w:rsidRPr="002B48C4">
        <w:rPr>
          <w:rFonts w:ascii="Arial" w:hAnsi="Arial" w:cs="Arial"/>
          <w:sz w:val="22"/>
          <w:szCs w:val="22"/>
        </w:rPr>
        <w:t xml:space="preserve"> za každý započatý den prodlení.</w:t>
      </w:r>
    </w:p>
    <w:p w:rsidR="00C833C7" w:rsidRPr="007E7A3B" w:rsidRDefault="00C833C7" w:rsidP="00C833C7">
      <w:pPr>
        <w:numPr>
          <w:ilvl w:val="0"/>
          <w:numId w:val="3"/>
        </w:numPr>
        <w:tabs>
          <w:tab w:val="clear" w:pos="720"/>
          <w:tab w:val="num" w:pos="567"/>
        </w:tabs>
        <w:spacing w:after="120"/>
        <w:ind w:left="567" w:hanging="567"/>
        <w:rPr>
          <w:rFonts w:ascii="Arial" w:eastAsiaTheme="minorHAnsi" w:hAnsi="Arial" w:cs="Arial"/>
          <w:sz w:val="22"/>
          <w:szCs w:val="22"/>
          <w:lang w:eastAsia="en-US"/>
        </w:rPr>
      </w:pPr>
      <w:r w:rsidRPr="007E7A3B">
        <w:rPr>
          <w:rFonts w:ascii="Arial" w:eastAsiaTheme="minorHAnsi" w:hAnsi="Arial" w:cs="Arial"/>
          <w:sz w:val="22"/>
          <w:szCs w:val="22"/>
          <w:lang w:eastAsia="en-US"/>
        </w:rPr>
        <w:t xml:space="preserve">V případě, že prodávající poruší jakoukoliv povinnost uvedenou v čl. V této smlouvy, je povinen zaplatit kupujícímu smluvní pokutu ve výši </w:t>
      </w:r>
      <w:r>
        <w:rPr>
          <w:rFonts w:ascii="Arial" w:eastAsiaTheme="minorHAnsi" w:hAnsi="Arial" w:cs="Arial"/>
          <w:sz w:val="22"/>
          <w:szCs w:val="22"/>
          <w:lang w:eastAsia="en-US"/>
        </w:rPr>
        <w:t>50</w:t>
      </w:r>
      <w:r w:rsidRPr="007E7A3B">
        <w:rPr>
          <w:rFonts w:ascii="Arial" w:eastAsiaTheme="minorHAnsi" w:hAnsi="Arial" w:cs="Arial"/>
          <w:sz w:val="22"/>
          <w:szCs w:val="22"/>
          <w:lang w:eastAsia="en-US"/>
        </w:rPr>
        <w:t>.000 Kč za každý jednotlivý případ.</w:t>
      </w:r>
    </w:p>
    <w:p w:rsidR="00C833C7" w:rsidRPr="002B48C4" w:rsidRDefault="00C833C7" w:rsidP="00C833C7">
      <w:pPr>
        <w:numPr>
          <w:ilvl w:val="0"/>
          <w:numId w:val="3"/>
        </w:numPr>
        <w:tabs>
          <w:tab w:val="clear" w:pos="720"/>
          <w:tab w:val="num" w:pos="567"/>
        </w:tabs>
        <w:spacing w:after="120"/>
        <w:ind w:left="567" w:hanging="567"/>
        <w:rPr>
          <w:rFonts w:ascii="Arial" w:eastAsiaTheme="minorHAnsi" w:hAnsi="Arial" w:cs="Arial"/>
          <w:sz w:val="22"/>
          <w:szCs w:val="22"/>
          <w:lang w:eastAsia="en-US"/>
        </w:rPr>
      </w:pPr>
      <w:r w:rsidRPr="007E7A3B">
        <w:rPr>
          <w:rFonts w:ascii="Arial" w:eastAsiaTheme="minorHAnsi" w:hAnsi="Arial" w:cs="Arial"/>
          <w:sz w:val="22"/>
          <w:szCs w:val="22"/>
          <w:lang w:eastAsia="en-US"/>
        </w:rPr>
        <w:t xml:space="preserve">V případě, že prodávající poruší jakoukoliv povinnost uvedenou v čl. VI této smlouvy, je povinen zaplatit kupujícímu smluvní pokutu ve výši </w:t>
      </w:r>
      <w:r>
        <w:rPr>
          <w:rFonts w:ascii="Arial" w:eastAsiaTheme="minorHAnsi" w:hAnsi="Arial" w:cs="Arial"/>
          <w:sz w:val="22"/>
          <w:szCs w:val="22"/>
          <w:lang w:eastAsia="en-US"/>
        </w:rPr>
        <w:t>2</w:t>
      </w:r>
      <w:r w:rsidRPr="007E7A3B">
        <w:rPr>
          <w:rFonts w:ascii="Arial" w:eastAsiaTheme="minorHAnsi" w:hAnsi="Arial" w:cs="Arial"/>
          <w:sz w:val="22"/>
          <w:szCs w:val="22"/>
          <w:lang w:eastAsia="en-US"/>
        </w:rPr>
        <w:t>.500 Kč za každý jednotlivý případ.</w:t>
      </w:r>
    </w:p>
    <w:p w:rsidR="00C833C7" w:rsidRPr="007E7A3B" w:rsidRDefault="00C833C7" w:rsidP="00C833C7">
      <w:pPr>
        <w:numPr>
          <w:ilvl w:val="0"/>
          <w:numId w:val="3"/>
        </w:numPr>
        <w:tabs>
          <w:tab w:val="clear" w:pos="720"/>
          <w:tab w:val="num" w:pos="567"/>
        </w:tabs>
        <w:spacing w:after="120"/>
        <w:ind w:left="567" w:hanging="567"/>
        <w:rPr>
          <w:rFonts w:ascii="Arial" w:eastAsiaTheme="minorHAnsi" w:hAnsi="Arial" w:cs="Arial"/>
          <w:sz w:val="22"/>
          <w:szCs w:val="22"/>
          <w:lang w:eastAsia="en-US"/>
        </w:rPr>
      </w:pPr>
      <w:r w:rsidRPr="007E7A3B">
        <w:rPr>
          <w:rFonts w:ascii="Arial" w:eastAsiaTheme="minorHAnsi" w:hAnsi="Arial" w:cs="Arial"/>
          <w:sz w:val="22"/>
          <w:szCs w:val="22"/>
          <w:lang w:eastAsia="en-US"/>
        </w:rPr>
        <w:t>V případě prodlení kupujícího se zaplacením faktury prodávajícího je prodávající oprávněn účtovat mu úroky z prodlení v zákonné výši z dlužné částky za každý započatý den prodlení.</w:t>
      </w:r>
    </w:p>
    <w:p w:rsidR="00C833C7" w:rsidRPr="007E7A3B" w:rsidRDefault="00C833C7" w:rsidP="00C833C7">
      <w:pPr>
        <w:numPr>
          <w:ilvl w:val="0"/>
          <w:numId w:val="3"/>
        </w:numPr>
        <w:tabs>
          <w:tab w:val="clear" w:pos="720"/>
          <w:tab w:val="num" w:pos="567"/>
        </w:tabs>
        <w:spacing w:after="120"/>
        <w:ind w:left="567" w:hanging="567"/>
        <w:rPr>
          <w:rFonts w:ascii="Arial" w:eastAsiaTheme="minorHAnsi" w:hAnsi="Arial" w:cs="Arial"/>
          <w:sz w:val="22"/>
          <w:szCs w:val="22"/>
          <w:lang w:eastAsia="en-US"/>
        </w:rPr>
      </w:pPr>
      <w:r w:rsidRPr="007E7A3B">
        <w:rPr>
          <w:rFonts w:ascii="Arial" w:eastAsiaTheme="minorHAnsi" w:hAnsi="Arial" w:cs="Arial"/>
          <w:sz w:val="22"/>
          <w:szCs w:val="22"/>
          <w:lang w:eastAsia="en-US"/>
        </w:rPr>
        <w:t>Prodávající se zavazuje řádně a včas plnit své povinnosti vztahující se ke správě DPH po dobu trvání této smlouvy, zejména tuto daň řádně a včas zaplatit. Pokud v důsledku porušení tohoto závazku příslušný finanční úřad vyzve kupujícího k zaplacení DPH z důvodu jeho ručení, zavazuje se prodávající zaplatit kupujícímu jednorázovou smluvní pokutu ve výši DPH vztahující se k porušení závazku prodávajícího řádně a včas zaplatit DPH (včetně příslušenství), s níž je spojeno ručení kupujícího.</w:t>
      </w:r>
    </w:p>
    <w:p w:rsidR="00C833C7" w:rsidRPr="007E7A3B" w:rsidRDefault="00C833C7" w:rsidP="00C833C7">
      <w:pPr>
        <w:numPr>
          <w:ilvl w:val="0"/>
          <w:numId w:val="3"/>
        </w:numPr>
        <w:tabs>
          <w:tab w:val="clear" w:pos="720"/>
          <w:tab w:val="num" w:pos="567"/>
        </w:tabs>
        <w:spacing w:after="120"/>
        <w:ind w:left="567" w:hanging="567"/>
        <w:rPr>
          <w:rFonts w:ascii="Arial" w:eastAsiaTheme="minorHAnsi" w:hAnsi="Arial" w:cs="Arial"/>
          <w:sz w:val="22"/>
          <w:szCs w:val="22"/>
          <w:lang w:eastAsia="en-US"/>
        </w:rPr>
      </w:pPr>
      <w:r w:rsidRPr="007E7A3B">
        <w:rPr>
          <w:rFonts w:ascii="Arial" w:eastAsiaTheme="minorHAnsi" w:hAnsi="Arial" w:cs="Arial"/>
          <w:sz w:val="22"/>
          <w:szCs w:val="22"/>
          <w:lang w:eastAsia="en-US"/>
        </w:rPr>
        <w:t xml:space="preserve">Smluvní pokuta nebo úroky z prodlení jsou splatné do 21 dnů ode dne doručení oznámení o uložení smluvní pokuty kupujícím prodávajícímu nebo oznámení o započetí s účtováním úroků z prodlení prodávajícím kupujícímu. Pro případ pochybností o doručení oznámení o uložení smluvní pokuty nebo oznámení o započetí s účtováním úroků z prodlení </w:t>
      </w:r>
      <w:r w:rsidRPr="007E7A3B">
        <w:rPr>
          <w:rFonts w:ascii="Arial" w:eastAsiaTheme="minorHAnsi" w:hAnsi="Arial" w:cs="Arial"/>
          <w:sz w:val="22"/>
          <w:szCs w:val="22"/>
          <w:lang w:eastAsia="en-US"/>
        </w:rPr>
        <w:lastRenderedPageBreak/>
        <w:t>se sjednává, že se oznámení považuje za doručené druhé straně třetím dnem od podání zásilky k poštovní přepravě.</w:t>
      </w:r>
    </w:p>
    <w:p w:rsidR="00C833C7" w:rsidRPr="007E7A3B" w:rsidRDefault="00C833C7" w:rsidP="00C833C7">
      <w:pPr>
        <w:numPr>
          <w:ilvl w:val="0"/>
          <w:numId w:val="3"/>
        </w:numPr>
        <w:tabs>
          <w:tab w:val="clear" w:pos="720"/>
          <w:tab w:val="num" w:pos="567"/>
        </w:tabs>
        <w:spacing w:after="120"/>
        <w:ind w:left="567" w:hanging="567"/>
        <w:rPr>
          <w:rFonts w:ascii="Arial" w:eastAsiaTheme="minorHAnsi" w:hAnsi="Arial" w:cs="Arial"/>
          <w:sz w:val="22"/>
          <w:szCs w:val="22"/>
          <w:lang w:eastAsia="en-US"/>
        </w:rPr>
      </w:pPr>
      <w:r w:rsidRPr="007E7A3B">
        <w:rPr>
          <w:rFonts w:ascii="Arial" w:eastAsiaTheme="minorHAnsi" w:hAnsi="Arial" w:cs="Arial"/>
          <w:sz w:val="22"/>
          <w:szCs w:val="22"/>
          <w:lang w:eastAsia="en-US"/>
        </w:rPr>
        <w:t xml:space="preserve">Celková výše smluvních pokut není omezena jakýmkoliv limitem a smluvní pokuty mohou být kombinovány (tzn., že uplatnění jedné smluvní pokuty nevylučuje souběžné uplatnění jakékoliv jiné smluvní pokuty). </w:t>
      </w:r>
    </w:p>
    <w:p w:rsidR="00C833C7" w:rsidRPr="007E7A3B" w:rsidRDefault="00C833C7" w:rsidP="00C833C7">
      <w:pPr>
        <w:numPr>
          <w:ilvl w:val="0"/>
          <w:numId w:val="3"/>
        </w:numPr>
        <w:tabs>
          <w:tab w:val="clear" w:pos="720"/>
          <w:tab w:val="num" w:pos="567"/>
        </w:tabs>
        <w:spacing w:after="120"/>
        <w:ind w:left="567" w:hanging="567"/>
        <w:rPr>
          <w:rFonts w:ascii="Arial" w:eastAsiaTheme="minorHAnsi" w:hAnsi="Arial" w:cs="Arial"/>
          <w:sz w:val="22"/>
          <w:szCs w:val="22"/>
          <w:lang w:eastAsia="en-US"/>
        </w:rPr>
      </w:pPr>
      <w:r w:rsidRPr="007E7A3B">
        <w:rPr>
          <w:rFonts w:ascii="Arial" w:eastAsiaTheme="minorHAnsi" w:hAnsi="Arial" w:cs="Arial"/>
          <w:sz w:val="22"/>
          <w:szCs w:val="22"/>
          <w:lang w:eastAsia="en-US"/>
        </w:rPr>
        <w:t>Zaplacením smluvní pokuty není dotčen nárok kupujícího na náhradu škody a na řádné dokončení plnění předmětu smlouvy.</w:t>
      </w:r>
    </w:p>
    <w:p w:rsidR="00C833C7" w:rsidRPr="00E8629E" w:rsidRDefault="00C833C7" w:rsidP="00C833C7">
      <w:pPr>
        <w:spacing w:before="240"/>
        <w:jc w:val="center"/>
        <w:rPr>
          <w:rFonts w:ascii="Arial" w:hAnsi="Arial" w:cs="Arial"/>
          <w:b/>
          <w:bCs/>
          <w:sz w:val="22"/>
          <w:szCs w:val="22"/>
        </w:rPr>
      </w:pPr>
      <w:r w:rsidRPr="00E8629E">
        <w:rPr>
          <w:rFonts w:ascii="Arial" w:hAnsi="Arial" w:cs="Arial"/>
          <w:b/>
          <w:bCs/>
          <w:sz w:val="22"/>
          <w:szCs w:val="22"/>
        </w:rPr>
        <w:t xml:space="preserve">Článek </w:t>
      </w:r>
      <w:r>
        <w:rPr>
          <w:rFonts w:ascii="Arial" w:hAnsi="Arial" w:cs="Arial"/>
          <w:b/>
          <w:bCs/>
          <w:sz w:val="22"/>
          <w:szCs w:val="22"/>
        </w:rPr>
        <w:t>IX</w:t>
      </w:r>
      <w:r w:rsidRPr="00E8629E">
        <w:rPr>
          <w:rFonts w:ascii="Arial" w:hAnsi="Arial" w:cs="Arial"/>
          <w:b/>
          <w:bCs/>
          <w:sz w:val="22"/>
          <w:szCs w:val="22"/>
        </w:rPr>
        <w:t>.</w:t>
      </w:r>
    </w:p>
    <w:p w:rsidR="00C833C7" w:rsidRPr="00E8629E" w:rsidRDefault="00C833C7" w:rsidP="00C833C7">
      <w:pPr>
        <w:pStyle w:val="Nadpis2"/>
        <w:spacing w:before="0" w:after="240"/>
        <w:jc w:val="center"/>
        <w:rPr>
          <w:rFonts w:ascii="Arial" w:hAnsi="Arial" w:cs="Arial"/>
          <w:i w:val="0"/>
          <w:sz w:val="22"/>
          <w:szCs w:val="22"/>
        </w:rPr>
      </w:pPr>
      <w:r w:rsidRPr="00E8629E">
        <w:rPr>
          <w:rFonts w:ascii="Arial" w:hAnsi="Arial" w:cs="Arial"/>
          <w:i w:val="0"/>
          <w:sz w:val="22"/>
          <w:szCs w:val="22"/>
        </w:rPr>
        <w:t>Ukončení smluvního vztahu</w:t>
      </w:r>
    </w:p>
    <w:p w:rsidR="00C833C7" w:rsidRPr="00A25F36" w:rsidRDefault="00C833C7" w:rsidP="00C833C7">
      <w:pPr>
        <w:pStyle w:val="Odstavecseseznamem"/>
        <w:numPr>
          <w:ilvl w:val="0"/>
          <w:numId w:val="6"/>
        </w:numPr>
        <w:spacing w:after="120"/>
        <w:ind w:left="567" w:hanging="567"/>
        <w:rPr>
          <w:rFonts w:ascii="Arial" w:hAnsi="Arial" w:cs="Arial"/>
          <w:sz w:val="22"/>
          <w:szCs w:val="22"/>
        </w:rPr>
      </w:pPr>
      <w:r w:rsidRPr="00A25F36">
        <w:rPr>
          <w:rFonts w:ascii="Arial" w:hAnsi="Arial" w:cs="Arial"/>
          <w:sz w:val="22"/>
          <w:szCs w:val="22"/>
        </w:rPr>
        <w:t>Smluvní vztah vzniklý na základě této smlouvy lze ukončit těmito způsoby:</w:t>
      </w:r>
    </w:p>
    <w:p w:rsidR="00C833C7" w:rsidRPr="00A25F36" w:rsidRDefault="00C833C7" w:rsidP="00C833C7">
      <w:pPr>
        <w:pStyle w:val="Normodsaz"/>
        <w:numPr>
          <w:ilvl w:val="0"/>
          <w:numId w:val="5"/>
        </w:numPr>
        <w:tabs>
          <w:tab w:val="clear" w:pos="720"/>
          <w:tab w:val="num" w:pos="993"/>
        </w:tabs>
        <w:autoSpaceDE/>
        <w:autoSpaceDN/>
        <w:spacing w:before="0"/>
        <w:ind w:left="992" w:hanging="425"/>
        <w:contextualSpacing/>
        <w:rPr>
          <w:rFonts w:ascii="Arial" w:hAnsi="Arial" w:cs="Arial"/>
          <w:sz w:val="22"/>
          <w:szCs w:val="22"/>
        </w:rPr>
      </w:pPr>
      <w:r w:rsidRPr="00A25F36">
        <w:rPr>
          <w:rFonts w:ascii="Arial" w:hAnsi="Arial" w:cs="Arial"/>
          <w:sz w:val="22"/>
          <w:szCs w:val="22"/>
        </w:rPr>
        <w:t>odstoupením od smlouvy:</w:t>
      </w:r>
    </w:p>
    <w:p w:rsidR="00C833C7" w:rsidRDefault="00C833C7" w:rsidP="00C833C7">
      <w:pPr>
        <w:numPr>
          <w:ilvl w:val="2"/>
          <w:numId w:val="4"/>
        </w:numPr>
        <w:tabs>
          <w:tab w:val="clear" w:pos="2160"/>
        </w:tabs>
        <w:spacing w:after="60"/>
        <w:ind w:left="1276" w:hanging="284"/>
        <w:rPr>
          <w:rFonts w:ascii="Arial" w:hAnsi="Arial" w:cs="Arial"/>
          <w:sz w:val="22"/>
          <w:szCs w:val="22"/>
        </w:rPr>
      </w:pPr>
      <w:r w:rsidRPr="00A25F36">
        <w:rPr>
          <w:rFonts w:ascii="Arial" w:hAnsi="Arial" w:cs="Arial"/>
          <w:sz w:val="22"/>
          <w:szCs w:val="22"/>
        </w:rPr>
        <w:t>za podmínek uvedených</w:t>
      </w:r>
      <w:r w:rsidRPr="002575AA">
        <w:rPr>
          <w:rFonts w:ascii="Arial" w:hAnsi="Arial" w:cs="Arial"/>
          <w:sz w:val="22"/>
          <w:szCs w:val="22"/>
        </w:rPr>
        <w:t xml:space="preserve"> </w:t>
      </w:r>
      <w:r>
        <w:rPr>
          <w:rFonts w:ascii="Arial" w:hAnsi="Arial" w:cs="Arial"/>
          <w:sz w:val="22"/>
          <w:szCs w:val="22"/>
        </w:rPr>
        <w:t>v § 2002 a násl. občanského zákoníku v případě porušení smlouvy druhou smluvní stranou podstatným způsobem</w:t>
      </w:r>
      <w:r w:rsidRPr="00A25F36">
        <w:rPr>
          <w:rFonts w:ascii="Arial" w:hAnsi="Arial" w:cs="Arial"/>
          <w:sz w:val="22"/>
          <w:szCs w:val="22"/>
        </w:rPr>
        <w:t>,</w:t>
      </w:r>
    </w:p>
    <w:p w:rsidR="00C833C7" w:rsidRPr="002575AA" w:rsidRDefault="00C833C7" w:rsidP="00C833C7">
      <w:pPr>
        <w:numPr>
          <w:ilvl w:val="2"/>
          <w:numId w:val="4"/>
        </w:numPr>
        <w:tabs>
          <w:tab w:val="clear" w:pos="2160"/>
        </w:tabs>
        <w:spacing w:after="60"/>
        <w:ind w:left="1276" w:hanging="284"/>
        <w:rPr>
          <w:rFonts w:ascii="Arial" w:hAnsi="Arial" w:cs="Arial"/>
          <w:sz w:val="22"/>
          <w:szCs w:val="22"/>
        </w:rPr>
      </w:pPr>
      <w:r w:rsidRPr="002575AA">
        <w:rPr>
          <w:rFonts w:ascii="Arial" w:hAnsi="Arial" w:cs="Arial"/>
          <w:sz w:val="22"/>
          <w:szCs w:val="22"/>
        </w:rPr>
        <w:t xml:space="preserve">za podmínek stanovených </w:t>
      </w:r>
      <w:r>
        <w:rPr>
          <w:rFonts w:ascii="Arial" w:hAnsi="Arial" w:cs="Arial"/>
          <w:sz w:val="22"/>
          <w:szCs w:val="22"/>
        </w:rPr>
        <w:t xml:space="preserve">v </w:t>
      </w:r>
      <w:r w:rsidRPr="002575AA">
        <w:rPr>
          <w:rFonts w:ascii="Arial" w:hAnsi="Arial" w:cs="Arial"/>
          <w:sz w:val="22"/>
          <w:szCs w:val="22"/>
        </w:rPr>
        <w:t>ZZVZ,</w:t>
      </w:r>
    </w:p>
    <w:p w:rsidR="00C833C7" w:rsidRPr="00A25F36" w:rsidRDefault="00C833C7" w:rsidP="00C833C7">
      <w:pPr>
        <w:numPr>
          <w:ilvl w:val="2"/>
          <w:numId w:val="4"/>
        </w:numPr>
        <w:tabs>
          <w:tab w:val="clear" w:pos="2160"/>
        </w:tabs>
        <w:spacing w:after="60"/>
        <w:ind w:left="1276" w:hanging="284"/>
        <w:rPr>
          <w:rFonts w:ascii="Arial" w:hAnsi="Arial" w:cs="Arial"/>
          <w:sz w:val="22"/>
          <w:szCs w:val="22"/>
        </w:rPr>
      </w:pPr>
      <w:r w:rsidRPr="00A25F36">
        <w:rPr>
          <w:rFonts w:ascii="Arial" w:hAnsi="Arial" w:cs="Arial"/>
          <w:sz w:val="22"/>
          <w:szCs w:val="22"/>
        </w:rPr>
        <w:t>v případech, které si smluvní strany ujednaly dále v tomto článku smlouvy</w:t>
      </w:r>
      <w:r>
        <w:rPr>
          <w:rFonts w:ascii="Arial" w:hAnsi="Arial" w:cs="Arial"/>
          <w:sz w:val="22"/>
          <w:szCs w:val="22"/>
        </w:rPr>
        <w:t>,</w:t>
      </w:r>
    </w:p>
    <w:p w:rsidR="00C833C7" w:rsidRPr="00A25F36" w:rsidRDefault="00C833C7" w:rsidP="00C833C7">
      <w:pPr>
        <w:pStyle w:val="Normodsaz"/>
        <w:numPr>
          <w:ilvl w:val="0"/>
          <w:numId w:val="5"/>
        </w:numPr>
        <w:autoSpaceDE/>
        <w:autoSpaceDN/>
        <w:spacing w:before="0"/>
        <w:ind w:left="993" w:hanging="425"/>
        <w:rPr>
          <w:rFonts w:ascii="Arial" w:hAnsi="Arial" w:cs="Arial"/>
          <w:sz w:val="22"/>
          <w:szCs w:val="22"/>
        </w:rPr>
      </w:pPr>
      <w:r w:rsidRPr="00A25F36">
        <w:rPr>
          <w:rFonts w:ascii="Arial" w:hAnsi="Arial" w:cs="Arial"/>
          <w:sz w:val="22"/>
          <w:szCs w:val="22"/>
        </w:rPr>
        <w:t>dohodou smluvních stran.</w:t>
      </w:r>
    </w:p>
    <w:p w:rsidR="00C833C7" w:rsidRPr="00A25F36" w:rsidRDefault="00C833C7" w:rsidP="00C833C7">
      <w:pPr>
        <w:pStyle w:val="Odstavecseseznamem"/>
        <w:numPr>
          <w:ilvl w:val="0"/>
          <w:numId w:val="6"/>
        </w:numPr>
        <w:spacing w:after="120"/>
        <w:ind w:left="567" w:hanging="567"/>
        <w:rPr>
          <w:rFonts w:ascii="Arial" w:hAnsi="Arial" w:cs="Arial"/>
          <w:sz w:val="22"/>
          <w:szCs w:val="22"/>
        </w:rPr>
      </w:pPr>
      <w:r>
        <w:rPr>
          <w:rFonts w:ascii="Arial" w:hAnsi="Arial" w:cs="Arial"/>
          <w:sz w:val="22"/>
          <w:szCs w:val="22"/>
        </w:rPr>
        <w:t>Kupující</w:t>
      </w:r>
      <w:r w:rsidRPr="00A25F36">
        <w:rPr>
          <w:rFonts w:ascii="Arial" w:hAnsi="Arial" w:cs="Arial"/>
          <w:sz w:val="22"/>
          <w:szCs w:val="22"/>
        </w:rPr>
        <w:t xml:space="preserve"> je oprávněn odstoupit od smlouvy v případě:</w:t>
      </w:r>
    </w:p>
    <w:p w:rsidR="00C833C7" w:rsidRPr="00A25F36" w:rsidRDefault="00C833C7" w:rsidP="00C833C7">
      <w:pPr>
        <w:numPr>
          <w:ilvl w:val="0"/>
          <w:numId w:val="7"/>
        </w:numPr>
        <w:spacing w:after="60"/>
        <w:ind w:left="992" w:hanging="425"/>
        <w:rPr>
          <w:rFonts w:ascii="Arial" w:hAnsi="Arial" w:cs="Arial"/>
          <w:sz w:val="22"/>
          <w:szCs w:val="22"/>
        </w:rPr>
      </w:pPr>
      <w:r w:rsidRPr="00A25F36">
        <w:rPr>
          <w:rFonts w:ascii="Arial" w:hAnsi="Arial" w:cs="Arial"/>
          <w:sz w:val="22"/>
          <w:szCs w:val="22"/>
        </w:rPr>
        <w:t>prodlení prodávajícího s předáním zboží delší</w:t>
      </w:r>
      <w:r>
        <w:rPr>
          <w:rFonts w:ascii="Arial" w:hAnsi="Arial" w:cs="Arial"/>
          <w:sz w:val="22"/>
          <w:szCs w:val="22"/>
        </w:rPr>
        <w:t>ho</w:t>
      </w:r>
      <w:r w:rsidRPr="00A25F36">
        <w:rPr>
          <w:rFonts w:ascii="Arial" w:hAnsi="Arial" w:cs="Arial"/>
          <w:sz w:val="22"/>
          <w:szCs w:val="22"/>
        </w:rPr>
        <w:t xml:space="preserve"> než 15 dnů, a to i v případě nepřevzetí zboží kupujícím z titulu jeho vad, </w:t>
      </w:r>
    </w:p>
    <w:p w:rsidR="00C833C7" w:rsidRPr="00A25F36" w:rsidRDefault="00C833C7" w:rsidP="00C833C7">
      <w:pPr>
        <w:numPr>
          <w:ilvl w:val="0"/>
          <w:numId w:val="7"/>
        </w:numPr>
        <w:spacing w:after="60"/>
        <w:ind w:left="993" w:hanging="426"/>
        <w:rPr>
          <w:rFonts w:ascii="Arial" w:hAnsi="Arial" w:cs="Arial"/>
          <w:sz w:val="22"/>
          <w:szCs w:val="22"/>
        </w:rPr>
      </w:pPr>
      <w:r w:rsidRPr="00A25F36">
        <w:rPr>
          <w:rFonts w:ascii="Arial" w:hAnsi="Arial" w:cs="Arial"/>
          <w:sz w:val="22"/>
          <w:szCs w:val="22"/>
        </w:rPr>
        <w:t xml:space="preserve">prodlení prodávajícího s odstraněním vad zboží podle čl. </w:t>
      </w:r>
      <w:r>
        <w:rPr>
          <w:rFonts w:ascii="Arial" w:hAnsi="Arial" w:cs="Arial"/>
          <w:sz w:val="22"/>
          <w:szCs w:val="22"/>
        </w:rPr>
        <w:t xml:space="preserve">II odst. 6 této smlouvy nebo </w:t>
      </w:r>
      <w:r>
        <w:rPr>
          <w:rFonts w:ascii="Arial" w:hAnsi="Arial" w:cs="Arial"/>
          <w:sz w:val="22"/>
          <w:szCs w:val="22"/>
        </w:rPr>
        <w:br/>
        <w:t>s</w:t>
      </w:r>
      <w:r w:rsidRPr="00DF385B">
        <w:rPr>
          <w:rFonts w:ascii="Arial" w:hAnsi="Arial" w:cs="Arial"/>
          <w:sz w:val="22"/>
          <w:szCs w:val="22"/>
        </w:rPr>
        <w:t xml:space="preserve"> odstranění</w:t>
      </w:r>
      <w:r>
        <w:rPr>
          <w:rFonts w:ascii="Arial" w:hAnsi="Arial" w:cs="Arial"/>
          <w:sz w:val="22"/>
          <w:szCs w:val="22"/>
        </w:rPr>
        <w:t>m</w:t>
      </w:r>
      <w:r w:rsidRPr="00DF385B">
        <w:rPr>
          <w:rFonts w:ascii="Arial" w:hAnsi="Arial" w:cs="Arial"/>
          <w:sz w:val="22"/>
          <w:szCs w:val="22"/>
        </w:rPr>
        <w:t xml:space="preserve"> závady HW dle</w:t>
      </w:r>
      <w:r>
        <w:rPr>
          <w:rFonts w:ascii="Arial" w:hAnsi="Arial" w:cs="Arial"/>
          <w:sz w:val="22"/>
          <w:szCs w:val="22"/>
        </w:rPr>
        <w:t xml:space="preserve"> čl. III odst. 2 </w:t>
      </w:r>
      <w:proofErr w:type="gramStart"/>
      <w:r>
        <w:rPr>
          <w:rFonts w:ascii="Arial" w:hAnsi="Arial" w:cs="Arial"/>
          <w:sz w:val="22"/>
          <w:szCs w:val="22"/>
        </w:rPr>
        <w:t>této</w:t>
      </w:r>
      <w:proofErr w:type="gramEnd"/>
      <w:r>
        <w:rPr>
          <w:rFonts w:ascii="Arial" w:hAnsi="Arial" w:cs="Arial"/>
          <w:sz w:val="22"/>
          <w:szCs w:val="22"/>
        </w:rPr>
        <w:t xml:space="preserve"> smlouvy </w:t>
      </w:r>
      <w:r w:rsidRPr="00A25F36">
        <w:rPr>
          <w:rFonts w:ascii="Arial" w:hAnsi="Arial" w:cs="Arial"/>
          <w:sz w:val="22"/>
          <w:szCs w:val="22"/>
        </w:rPr>
        <w:t>delší</w:t>
      </w:r>
      <w:r>
        <w:rPr>
          <w:rFonts w:ascii="Arial" w:hAnsi="Arial" w:cs="Arial"/>
          <w:sz w:val="22"/>
          <w:szCs w:val="22"/>
        </w:rPr>
        <w:t>ho</w:t>
      </w:r>
      <w:r w:rsidRPr="00A25F36">
        <w:rPr>
          <w:rFonts w:ascii="Arial" w:hAnsi="Arial" w:cs="Arial"/>
          <w:sz w:val="22"/>
          <w:szCs w:val="22"/>
        </w:rPr>
        <w:t xml:space="preserve"> než 15 dnů,</w:t>
      </w:r>
    </w:p>
    <w:p w:rsidR="00C833C7" w:rsidRDefault="00C833C7" w:rsidP="00C833C7">
      <w:pPr>
        <w:numPr>
          <w:ilvl w:val="0"/>
          <w:numId w:val="7"/>
        </w:numPr>
        <w:spacing w:after="60"/>
        <w:ind w:left="992" w:hanging="425"/>
        <w:rPr>
          <w:rFonts w:ascii="Arial" w:hAnsi="Arial" w:cs="Arial"/>
          <w:sz w:val="22"/>
          <w:szCs w:val="22"/>
        </w:rPr>
      </w:pPr>
      <w:r w:rsidRPr="00A25F36">
        <w:rPr>
          <w:rFonts w:ascii="Arial" w:hAnsi="Arial" w:cs="Arial"/>
          <w:sz w:val="22"/>
          <w:szCs w:val="22"/>
        </w:rPr>
        <w:t>pokud řádně uplatní u prodávajícího své požadavky nebo připomínky v průběhu plnění předmětu smlouvy a prodávající je bez vážného důvodu neakceptuje nebo podle nich nepostupuje</w:t>
      </w:r>
      <w:r>
        <w:rPr>
          <w:rFonts w:ascii="Arial" w:hAnsi="Arial" w:cs="Arial"/>
          <w:sz w:val="22"/>
          <w:szCs w:val="22"/>
        </w:rPr>
        <w:t>,</w:t>
      </w:r>
    </w:p>
    <w:p w:rsidR="00C833C7" w:rsidRPr="00411C9D" w:rsidRDefault="00C833C7" w:rsidP="00C833C7">
      <w:pPr>
        <w:numPr>
          <w:ilvl w:val="0"/>
          <w:numId w:val="7"/>
        </w:numPr>
        <w:spacing w:after="120"/>
        <w:ind w:left="992" w:hanging="425"/>
        <w:rPr>
          <w:rFonts w:ascii="Arial" w:hAnsi="Arial" w:cs="Arial"/>
          <w:sz w:val="22"/>
          <w:szCs w:val="22"/>
        </w:rPr>
      </w:pPr>
      <w:r w:rsidRPr="00411C9D">
        <w:rPr>
          <w:rFonts w:ascii="Arial" w:hAnsi="Arial" w:cs="Arial"/>
          <w:sz w:val="22"/>
          <w:szCs w:val="22"/>
        </w:rPr>
        <w:t>stane-li se prodávající nespolehlivým plátcem ve smyslu § 106a ZDPH.</w:t>
      </w:r>
    </w:p>
    <w:p w:rsidR="00C833C7" w:rsidRPr="00A25F36" w:rsidRDefault="00C833C7" w:rsidP="00C833C7">
      <w:pPr>
        <w:pStyle w:val="Odstavecseseznamem"/>
        <w:numPr>
          <w:ilvl w:val="0"/>
          <w:numId w:val="6"/>
        </w:numPr>
        <w:spacing w:after="120"/>
        <w:ind w:left="567" w:hanging="567"/>
        <w:contextualSpacing w:val="0"/>
        <w:rPr>
          <w:rFonts w:ascii="Arial" w:hAnsi="Arial" w:cs="Arial"/>
          <w:sz w:val="22"/>
          <w:szCs w:val="22"/>
        </w:rPr>
      </w:pPr>
      <w:r>
        <w:rPr>
          <w:rFonts w:ascii="Arial" w:hAnsi="Arial" w:cs="Arial"/>
          <w:sz w:val="22"/>
          <w:szCs w:val="22"/>
        </w:rPr>
        <w:t>Prodávající</w:t>
      </w:r>
      <w:r w:rsidRPr="00A25F36">
        <w:rPr>
          <w:rFonts w:ascii="Arial" w:hAnsi="Arial" w:cs="Arial"/>
          <w:sz w:val="22"/>
          <w:szCs w:val="22"/>
        </w:rPr>
        <w:t xml:space="preserve"> je oprávněn odstoupit od smlouvy v případě prodlení </w:t>
      </w:r>
      <w:r>
        <w:rPr>
          <w:rFonts w:ascii="Arial" w:hAnsi="Arial" w:cs="Arial"/>
          <w:sz w:val="22"/>
          <w:szCs w:val="22"/>
        </w:rPr>
        <w:t>kupujícího</w:t>
      </w:r>
      <w:r w:rsidRPr="00A25F36">
        <w:rPr>
          <w:rFonts w:ascii="Arial" w:hAnsi="Arial" w:cs="Arial"/>
          <w:sz w:val="22"/>
          <w:szCs w:val="22"/>
        </w:rPr>
        <w:t xml:space="preserve"> se zaplacením ceny delším než 15 dní.</w:t>
      </w:r>
    </w:p>
    <w:p w:rsidR="00C833C7" w:rsidRPr="00511591" w:rsidRDefault="00C833C7" w:rsidP="00C833C7">
      <w:pPr>
        <w:pStyle w:val="Odstavecseseznamem"/>
        <w:numPr>
          <w:ilvl w:val="0"/>
          <w:numId w:val="6"/>
        </w:numPr>
        <w:spacing w:after="120"/>
        <w:ind w:left="567" w:hanging="567"/>
        <w:contextualSpacing w:val="0"/>
        <w:rPr>
          <w:rFonts w:ascii="Arial" w:hAnsi="Arial" w:cs="Arial"/>
          <w:sz w:val="22"/>
          <w:szCs w:val="22"/>
        </w:rPr>
      </w:pPr>
      <w:r w:rsidRPr="00A25F36">
        <w:rPr>
          <w:rFonts w:ascii="Arial" w:hAnsi="Arial" w:cs="Arial"/>
          <w:sz w:val="22"/>
          <w:szCs w:val="22"/>
        </w:rPr>
        <w:t>Odstoupením od smlouvy není dotčen případný nárok na náhradu škody.</w:t>
      </w:r>
    </w:p>
    <w:p w:rsidR="00C833C7" w:rsidRPr="00833530" w:rsidRDefault="00C833C7" w:rsidP="00C833C7">
      <w:pPr>
        <w:tabs>
          <w:tab w:val="left" w:pos="0"/>
          <w:tab w:val="left" w:pos="284"/>
          <w:tab w:val="left" w:pos="567"/>
          <w:tab w:val="left" w:pos="4820"/>
        </w:tabs>
        <w:spacing w:before="240"/>
        <w:jc w:val="center"/>
        <w:rPr>
          <w:rFonts w:ascii="Arial" w:hAnsi="Arial" w:cs="Arial"/>
          <w:b/>
          <w:bCs/>
          <w:sz w:val="22"/>
          <w:szCs w:val="22"/>
        </w:rPr>
      </w:pPr>
      <w:r w:rsidRPr="00833530">
        <w:rPr>
          <w:rFonts w:ascii="Arial" w:hAnsi="Arial" w:cs="Arial"/>
          <w:b/>
          <w:bCs/>
          <w:sz w:val="22"/>
          <w:szCs w:val="22"/>
        </w:rPr>
        <w:t xml:space="preserve">Článek </w:t>
      </w:r>
      <w:r>
        <w:rPr>
          <w:rFonts w:ascii="Arial" w:hAnsi="Arial" w:cs="Arial"/>
          <w:b/>
          <w:bCs/>
          <w:sz w:val="22"/>
          <w:szCs w:val="22"/>
        </w:rPr>
        <w:t>X</w:t>
      </w:r>
      <w:r w:rsidRPr="00833530">
        <w:rPr>
          <w:rFonts w:ascii="Arial" w:hAnsi="Arial" w:cs="Arial"/>
          <w:b/>
          <w:bCs/>
          <w:sz w:val="22"/>
          <w:szCs w:val="22"/>
        </w:rPr>
        <w:t>.</w:t>
      </w:r>
    </w:p>
    <w:p w:rsidR="00C833C7" w:rsidRPr="00833530" w:rsidRDefault="00C833C7" w:rsidP="00C833C7">
      <w:pPr>
        <w:pStyle w:val="Nadpis4"/>
        <w:spacing w:before="0"/>
        <w:jc w:val="center"/>
        <w:rPr>
          <w:rFonts w:ascii="Arial" w:eastAsiaTheme="minorHAnsi" w:hAnsi="Arial" w:cs="Arial"/>
          <w:bCs w:val="0"/>
          <w:i w:val="0"/>
          <w:iCs w:val="0"/>
          <w:color w:val="auto"/>
          <w:sz w:val="22"/>
          <w:szCs w:val="22"/>
          <w:lang w:eastAsia="en-US"/>
        </w:rPr>
      </w:pPr>
      <w:r w:rsidRPr="00833530">
        <w:rPr>
          <w:rFonts w:ascii="Arial" w:eastAsiaTheme="minorHAnsi" w:hAnsi="Arial" w:cs="Arial"/>
          <w:bCs w:val="0"/>
          <w:i w:val="0"/>
          <w:iCs w:val="0"/>
          <w:color w:val="auto"/>
          <w:sz w:val="22"/>
          <w:szCs w:val="22"/>
          <w:lang w:eastAsia="en-US"/>
        </w:rPr>
        <w:t>Vyšší moc</w:t>
      </w:r>
    </w:p>
    <w:p w:rsidR="00C833C7" w:rsidRPr="00833530" w:rsidRDefault="00C833C7" w:rsidP="00C833C7"/>
    <w:p w:rsidR="00C833C7" w:rsidRPr="00EF6516" w:rsidRDefault="00C833C7" w:rsidP="00C833C7">
      <w:pPr>
        <w:pStyle w:val="Odstavecseseznamem"/>
        <w:numPr>
          <w:ilvl w:val="1"/>
          <w:numId w:val="18"/>
        </w:numPr>
        <w:spacing w:after="120"/>
        <w:ind w:left="426" w:hanging="426"/>
        <w:contextualSpacing w:val="0"/>
        <w:rPr>
          <w:rFonts w:ascii="Arial" w:hAnsi="Arial" w:cs="Arial"/>
          <w:sz w:val="22"/>
          <w:szCs w:val="22"/>
        </w:rPr>
      </w:pPr>
      <w:r w:rsidRPr="00EF6516">
        <w:rPr>
          <w:rFonts w:ascii="Arial" w:eastAsiaTheme="minorHAnsi" w:hAnsi="Arial" w:cs="Arial"/>
          <w:sz w:val="22"/>
          <w:szCs w:val="22"/>
        </w:rPr>
        <w:t>Smluvní strany jsou zproštěny odpovědnosti za částečné nebo úplné neplnění smluvních závazků, jestliže k němu došlo v důsledku vyšší moci. Za vyšší moc se pro účely této považují mimořádné události nebo okolnosti, které nemohla žádná ze smluvních stran před uzavřením této smlouvy předvídat ani jí předejít přijetím preventivního opatření, která je mimo</w:t>
      </w:r>
      <w:r w:rsidRPr="00EF6516">
        <w:rPr>
          <w:rFonts w:ascii="Arial" w:hAnsi="Arial" w:cs="Arial"/>
          <w:sz w:val="22"/>
          <w:szCs w:val="22"/>
        </w:rPr>
        <w:t xml:space="preserve"> jakoukoliv kontrolu kterékoliv smluvní strany a která podstatným způsobem ztěžuje nebo znemožňuje plnění povinností dle této smlouvy kteroukoliv ze smluvních stran.</w:t>
      </w:r>
    </w:p>
    <w:p w:rsidR="00C833C7" w:rsidRPr="00EF6516" w:rsidRDefault="00C833C7" w:rsidP="00C833C7">
      <w:pPr>
        <w:pStyle w:val="Odstavecseseznamem"/>
        <w:numPr>
          <w:ilvl w:val="1"/>
          <w:numId w:val="18"/>
        </w:numPr>
        <w:spacing w:after="120"/>
        <w:ind w:left="426" w:hanging="426"/>
        <w:contextualSpacing w:val="0"/>
        <w:rPr>
          <w:rFonts w:ascii="Arial" w:hAnsi="Arial" w:cs="Arial"/>
          <w:sz w:val="22"/>
          <w:szCs w:val="22"/>
        </w:rPr>
      </w:pPr>
      <w:r w:rsidRPr="00EF6516">
        <w:rPr>
          <w:rFonts w:ascii="Arial" w:eastAsiaTheme="minorHAnsi" w:hAnsi="Arial" w:cs="Arial"/>
          <w:sz w:val="22"/>
          <w:szCs w:val="22"/>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rsidR="00C833C7" w:rsidRPr="00EF6516" w:rsidRDefault="00C833C7" w:rsidP="00C833C7">
      <w:pPr>
        <w:pStyle w:val="Odstavecseseznamem"/>
        <w:numPr>
          <w:ilvl w:val="1"/>
          <w:numId w:val="18"/>
        </w:numPr>
        <w:spacing w:after="120"/>
        <w:ind w:left="426" w:hanging="426"/>
        <w:contextualSpacing w:val="0"/>
        <w:rPr>
          <w:rFonts w:ascii="Arial" w:eastAsiaTheme="minorHAnsi" w:hAnsi="Arial" w:cs="Arial"/>
          <w:sz w:val="22"/>
          <w:szCs w:val="22"/>
        </w:rPr>
      </w:pPr>
      <w:r w:rsidRPr="00EF6516">
        <w:rPr>
          <w:rFonts w:ascii="Arial" w:eastAsiaTheme="minorHAnsi" w:hAnsi="Arial" w:cs="Arial"/>
          <w:sz w:val="22"/>
          <w:szCs w:val="22"/>
        </w:rPr>
        <w:t xml:space="preserve">Výslovně se stanovuje, že vyšší mocí není </w:t>
      </w:r>
      <w:r>
        <w:rPr>
          <w:rFonts w:ascii="Arial" w:eastAsiaTheme="minorHAnsi" w:hAnsi="Arial" w:cs="Arial"/>
          <w:sz w:val="22"/>
          <w:szCs w:val="22"/>
        </w:rPr>
        <w:t>stávka zaměstnanců prodávajícího</w:t>
      </w:r>
      <w:r w:rsidRPr="00EF6516">
        <w:rPr>
          <w:rFonts w:ascii="Arial" w:eastAsiaTheme="minorHAnsi" w:hAnsi="Arial" w:cs="Arial"/>
          <w:sz w:val="22"/>
          <w:szCs w:val="22"/>
        </w:rPr>
        <w:t xml:space="preserve"> nebo jeho poddodavate</w:t>
      </w:r>
      <w:r>
        <w:rPr>
          <w:rFonts w:ascii="Arial" w:eastAsiaTheme="minorHAnsi" w:hAnsi="Arial" w:cs="Arial"/>
          <w:sz w:val="22"/>
          <w:szCs w:val="22"/>
        </w:rPr>
        <w:t>lů, nebo zaměstnanců kupujícího</w:t>
      </w:r>
      <w:r w:rsidRPr="00EF6516">
        <w:rPr>
          <w:rFonts w:ascii="Arial" w:eastAsiaTheme="minorHAnsi" w:hAnsi="Arial" w:cs="Arial"/>
          <w:sz w:val="22"/>
          <w:szCs w:val="22"/>
        </w:rPr>
        <w:t xml:space="preserve"> ani hospodářské poměry smluvních stran.  </w:t>
      </w:r>
    </w:p>
    <w:p w:rsidR="00C833C7" w:rsidRPr="00EF6516" w:rsidRDefault="00C833C7" w:rsidP="00C833C7">
      <w:pPr>
        <w:pStyle w:val="Odstavecseseznamem"/>
        <w:numPr>
          <w:ilvl w:val="1"/>
          <w:numId w:val="18"/>
        </w:numPr>
        <w:spacing w:after="120"/>
        <w:ind w:left="426" w:hanging="426"/>
        <w:contextualSpacing w:val="0"/>
        <w:rPr>
          <w:rFonts w:ascii="Arial" w:eastAsiaTheme="minorHAnsi" w:hAnsi="Arial" w:cs="Arial"/>
          <w:sz w:val="22"/>
          <w:szCs w:val="22"/>
        </w:rPr>
      </w:pPr>
      <w:r w:rsidRPr="00EF6516">
        <w:rPr>
          <w:rFonts w:ascii="Arial" w:eastAsiaTheme="minorHAnsi" w:hAnsi="Arial" w:cs="Arial"/>
          <w:sz w:val="22"/>
          <w:szCs w:val="22"/>
        </w:rPr>
        <w:t>V</w:t>
      </w:r>
      <w:r w:rsidRPr="00EF6516">
        <w:rPr>
          <w:rFonts w:ascii="Arial" w:hAnsi="Arial" w:cs="Arial"/>
          <w:sz w:val="22"/>
          <w:szCs w:val="22"/>
        </w:rPr>
        <w:t xml:space="preserve"> případě, že nastane vyšší moc, neuplatní se sankce dle čl. </w:t>
      </w:r>
      <w:r>
        <w:rPr>
          <w:rFonts w:ascii="Arial" w:hAnsi="Arial" w:cs="Arial"/>
          <w:sz w:val="22"/>
          <w:szCs w:val="22"/>
        </w:rPr>
        <w:t xml:space="preserve">VII </w:t>
      </w:r>
      <w:r w:rsidRPr="00EF6516">
        <w:rPr>
          <w:rFonts w:ascii="Arial" w:hAnsi="Arial" w:cs="Arial"/>
          <w:sz w:val="22"/>
          <w:szCs w:val="22"/>
        </w:rPr>
        <w:t xml:space="preserve">této smlouvy. </w:t>
      </w:r>
    </w:p>
    <w:p w:rsidR="00C833C7" w:rsidRPr="00EF6516" w:rsidRDefault="00C833C7" w:rsidP="00C833C7">
      <w:pPr>
        <w:pStyle w:val="Odstavecseseznamem"/>
        <w:numPr>
          <w:ilvl w:val="1"/>
          <w:numId w:val="18"/>
        </w:numPr>
        <w:spacing w:after="120"/>
        <w:ind w:left="426" w:hanging="426"/>
        <w:contextualSpacing w:val="0"/>
        <w:rPr>
          <w:rFonts w:ascii="Arial" w:eastAsiaTheme="minorHAnsi" w:hAnsi="Arial" w:cs="Arial"/>
          <w:sz w:val="22"/>
          <w:szCs w:val="22"/>
        </w:rPr>
      </w:pPr>
      <w:r w:rsidRPr="00EF6516">
        <w:rPr>
          <w:rFonts w:ascii="Arial" w:eastAsiaTheme="minorHAnsi" w:hAnsi="Arial" w:cs="Arial"/>
          <w:sz w:val="22"/>
          <w:szCs w:val="22"/>
        </w:rPr>
        <w:lastRenderedPageBreak/>
        <w:t>V případě, že některá smluvní strana nebude schopna plnit své závazky z této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rsidR="00C833C7" w:rsidRPr="002F7B28" w:rsidRDefault="00C833C7" w:rsidP="00C833C7">
      <w:pPr>
        <w:spacing w:before="240" w:after="120"/>
        <w:jc w:val="center"/>
        <w:outlineLvl w:val="3"/>
        <w:rPr>
          <w:rFonts w:ascii="Arial" w:eastAsiaTheme="minorHAnsi" w:hAnsi="Arial" w:cs="Arial"/>
          <w:b/>
          <w:sz w:val="22"/>
          <w:szCs w:val="22"/>
          <w:lang w:eastAsia="en-US"/>
        </w:rPr>
      </w:pPr>
      <w:r w:rsidRPr="002F7B28">
        <w:rPr>
          <w:rFonts w:ascii="Arial" w:eastAsiaTheme="minorHAnsi" w:hAnsi="Arial" w:cs="Arial"/>
          <w:b/>
          <w:sz w:val="22"/>
          <w:szCs w:val="22"/>
          <w:lang w:eastAsia="en-US"/>
        </w:rPr>
        <w:t>Článek XI.</w:t>
      </w:r>
      <w:r w:rsidRPr="002F7B28">
        <w:rPr>
          <w:rFonts w:ascii="Arial" w:eastAsiaTheme="minorHAnsi" w:hAnsi="Arial" w:cs="Arial"/>
          <w:b/>
          <w:sz w:val="22"/>
          <w:szCs w:val="22"/>
          <w:lang w:eastAsia="en-US"/>
        </w:rPr>
        <w:br/>
        <w:t>Závěrečná ustanovení</w:t>
      </w:r>
    </w:p>
    <w:p w:rsidR="00C833C7" w:rsidRDefault="00C833C7" w:rsidP="00C833C7">
      <w:pPr>
        <w:numPr>
          <w:ilvl w:val="0"/>
          <w:numId w:val="10"/>
        </w:numPr>
        <w:tabs>
          <w:tab w:val="num" w:pos="426"/>
        </w:tabs>
        <w:spacing w:after="120"/>
        <w:ind w:left="425" w:hanging="425"/>
        <w:rPr>
          <w:rFonts w:ascii="Arial" w:eastAsiaTheme="minorHAnsi" w:hAnsi="Arial" w:cs="Arial"/>
          <w:sz w:val="22"/>
          <w:szCs w:val="22"/>
        </w:rPr>
      </w:pPr>
      <w:r w:rsidRPr="00833530">
        <w:rPr>
          <w:rFonts w:ascii="Arial" w:eastAsiaTheme="minorHAnsi" w:hAnsi="Arial" w:cs="Arial"/>
          <w:sz w:val="22"/>
          <w:szCs w:val="22"/>
        </w:rPr>
        <w:t>Vztahy mezi smluvními stranami se řídí českým právním řádem. Práva a povinnosti smluvních stran vyplývající z této smlouvy a jí výslovně neupravené se řídí obecně závaznými právními předpisy, zejména občanským zákoníkem a autorským zákonem.</w:t>
      </w:r>
    </w:p>
    <w:p w:rsidR="00C833C7" w:rsidRDefault="00C833C7" w:rsidP="00C833C7">
      <w:pPr>
        <w:numPr>
          <w:ilvl w:val="0"/>
          <w:numId w:val="10"/>
        </w:numPr>
        <w:tabs>
          <w:tab w:val="num" w:pos="426"/>
        </w:tabs>
        <w:spacing w:after="120"/>
        <w:ind w:left="425" w:hanging="425"/>
        <w:rPr>
          <w:rFonts w:ascii="Arial" w:eastAsiaTheme="minorHAnsi" w:hAnsi="Arial" w:cs="Arial"/>
          <w:sz w:val="22"/>
          <w:szCs w:val="22"/>
        </w:rPr>
      </w:pPr>
      <w:r w:rsidRPr="002D03D7">
        <w:rPr>
          <w:rFonts w:ascii="Arial" w:hAnsi="Arial" w:cs="Arial"/>
          <w:sz w:val="22"/>
          <w:szCs w:val="22"/>
        </w:rPr>
        <w:t xml:space="preserve">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w:t>
      </w:r>
      <w:r w:rsidRPr="002D03D7">
        <w:rPr>
          <w:rFonts w:ascii="Arial" w:hAnsi="Arial" w:cs="Arial"/>
          <w:sz w:val="22"/>
          <w:szCs w:val="22"/>
        </w:rPr>
        <w:br/>
        <w:t>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C833C7" w:rsidRPr="00DA0CD4" w:rsidRDefault="00C833C7" w:rsidP="00C833C7">
      <w:pPr>
        <w:numPr>
          <w:ilvl w:val="0"/>
          <w:numId w:val="10"/>
        </w:numPr>
        <w:tabs>
          <w:tab w:val="num" w:pos="426"/>
        </w:tabs>
        <w:spacing w:after="120"/>
        <w:ind w:left="425" w:hanging="425"/>
        <w:rPr>
          <w:rFonts w:ascii="Arial" w:eastAsiaTheme="minorHAnsi" w:hAnsi="Arial" w:cs="Arial"/>
          <w:sz w:val="22"/>
          <w:szCs w:val="22"/>
        </w:rPr>
      </w:pPr>
      <w:r w:rsidRPr="002D03D7">
        <w:rPr>
          <w:rFonts w:ascii="Arial" w:hAnsi="Arial" w:cs="Arial"/>
          <w:sz w:val="22"/>
          <w:szCs w:val="22"/>
        </w:rPr>
        <w:t>Pokud by se v důsledku změny právní úpravy některé ustanovení smlouvy dostalo do rozporu</w:t>
      </w:r>
      <w:r w:rsidRPr="002D03D7">
        <w:rPr>
          <w:rFonts w:ascii="Arial" w:hAnsi="Arial" w:cs="Arial"/>
          <w:sz w:val="22"/>
          <w:szCs w:val="22"/>
        </w:rPr>
        <w:br/>
        <w:t>s českým právním řádem (dále jen „kolidující ustanovení“) a předmětný rozpor by působil neplatnosti smlouvy jako takové, bude smlouva posuzována, jako by kolidující ustanovení nikdy neobsahovala a vztah smluvních stran se bude v této záležitosti řídit obecně závaznými právními předpisy, pokud se smluvní strany nedohodnou na znění nového ustanovení, jež by nahradilo kolidující ustanovení tak, aby vystihovalo co nejpřesněji podstatu původního ujednání a aby co nejlépe odpovídalo duchu smlouvy.</w:t>
      </w:r>
    </w:p>
    <w:p w:rsidR="00C833C7" w:rsidRPr="00833530" w:rsidRDefault="00C833C7" w:rsidP="00C833C7">
      <w:pPr>
        <w:numPr>
          <w:ilvl w:val="0"/>
          <w:numId w:val="10"/>
        </w:numPr>
        <w:tabs>
          <w:tab w:val="num" w:pos="426"/>
        </w:tabs>
        <w:spacing w:after="120"/>
        <w:ind w:left="425" w:hanging="425"/>
        <w:rPr>
          <w:rFonts w:ascii="Arial" w:eastAsiaTheme="minorHAnsi" w:hAnsi="Arial" w:cs="Arial"/>
          <w:sz w:val="22"/>
          <w:szCs w:val="22"/>
        </w:rPr>
      </w:pPr>
      <w:r w:rsidRPr="00833530">
        <w:rPr>
          <w:rFonts w:ascii="Arial" w:eastAsiaTheme="minorHAnsi" w:hAnsi="Arial" w:cs="Arial"/>
          <w:sz w:val="22"/>
          <w:szCs w:val="22"/>
        </w:rPr>
        <w:t>Prodávající převzal na sebe nebezpečí změny okolností po uzavření této smlouvy, a proto mu nepřísluší domáhat se práv uvedených v § 1765 odst. 1 občanského zákoníku.</w:t>
      </w:r>
    </w:p>
    <w:p w:rsidR="00C833C7" w:rsidRPr="00833530" w:rsidRDefault="00C833C7" w:rsidP="00C833C7">
      <w:pPr>
        <w:numPr>
          <w:ilvl w:val="0"/>
          <w:numId w:val="10"/>
        </w:numPr>
        <w:tabs>
          <w:tab w:val="num" w:pos="426"/>
        </w:tabs>
        <w:spacing w:after="120"/>
        <w:ind w:left="425" w:hanging="425"/>
        <w:rPr>
          <w:rFonts w:ascii="Arial" w:eastAsiaTheme="minorHAnsi" w:hAnsi="Arial" w:cs="Arial"/>
          <w:sz w:val="22"/>
          <w:szCs w:val="22"/>
        </w:rPr>
      </w:pPr>
      <w:r w:rsidRPr="00833530">
        <w:rPr>
          <w:rFonts w:ascii="Arial" w:hAnsi="Arial" w:cs="Arial"/>
          <w:sz w:val="22"/>
          <w:szCs w:val="22"/>
        </w:rPr>
        <w:t>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rsidR="00C833C7" w:rsidRDefault="00C833C7" w:rsidP="00C833C7">
      <w:pPr>
        <w:numPr>
          <w:ilvl w:val="0"/>
          <w:numId w:val="10"/>
        </w:numPr>
        <w:tabs>
          <w:tab w:val="num" w:pos="426"/>
        </w:tabs>
        <w:spacing w:after="120"/>
        <w:ind w:left="425" w:hanging="425"/>
        <w:rPr>
          <w:rFonts w:ascii="Arial" w:eastAsiaTheme="minorHAnsi" w:hAnsi="Arial" w:cs="Arial"/>
          <w:sz w:val="22"/>
          <w:szCs w:val="22"/>
        </w:rPr>
      </w:pPr>
      <w:r w:rsidRPr="002D03D7">
        <w:rPr>
          <w:rFonts w:ascii="Arial" w:hAnsi="Arial" w:cs="Arial"/>
          <w:sz w:val="22"/>
          <w:szCs w:val="22"/>
        </w:rPr>
        <w:t xml:space="preserve">Tato smlouva v případě jejího listinného sepsání je vyhotovena ve </w:t>
      </w:r>
      <w:r>
        <w:rPr>
          <w:rFonts w:ascii="Arial" w:hAnsi="Arial" w:cs="Arial"/>
          <w:sz w:val="22"/>
          <w:szCs w:val="22"/>
        </w:rPr>
        <w:t xml:space="preserve">3 </w:t>
      </w:r>
      <w:r w:rsidRPr="002D03D7">
        <w:rPr>
          <w:rFonts w:ascii="Arial" w:hAnsi="Arial" w:cs="Arial"/>
          <w:sz w:val="22"/>
          <w:szCs w:val="22"/>
        </w:rPr>
        <w:t>vyhotoveních s platností originálu, z nichž</w:t>
      </w:r>
      <w:r>
        <w:rPr>
          <w:rFonts w:ascii="Arial" w:hAnsi="Arial" w:cs="Arial"/>
          <w:sz w:val="22"/>
          <w:szCs w:val="22"/>
        </w:rPr>
        <w:t xml:space="preserve"> 2 vyhotovení obdrží kupující </w:t>
      </w:r>
      <w:r w:rsidRPr="002D03D7">
        <w:rPr>
          <w:rFonts w:ascii="Arial" w:hAnsi="Arial" w:cs="Arial"/>
          <w:sz w:val="22"/>
          <w:szCs w:val="22"/>
        </w:rPr>
        <w:t>a</w:t>
      </w:r>
      <w:r>
        <w:rPr>
          <w:rFonts w:ascii="Arial" w:hAnsi="Arial" w:cs="Arial"/>
          <w:sz w:val="22"/>
          <w:szCs w:val="22"/>
        </w:rPr>
        <w:t xml:space="preserve"> 1 vyhotovení obdrží prodávající</w:t>
      </w:r>
      <w:r w:rsidRPr="002D03D7">
        <w:rPr>
          <w:rFonts w:ascii="Arial" w:hAnsi="Arial" w:cs="Arial"/>
          <w:sz w:val="22"/>
          <w:szCs w:val="22"/>
        </w:rPr>
        <w:t>.</w:t>
      </w:r>
    </w:p>
    <w:p w:rsidR="00C833C7" w:rsidRDefault="00C833C7" w:rsidP="00C833C7">
      <w:pPr>
        <w:numPr>
          <w:ilvl w:val="0"/>
          <w:numId w:val="10"/>
        </w:numPr>
        <w:tabs>
          <w:tab w:val="num" w:pos="426"/>
        </w:tabs>
        <w:spacing w:after="120"/>
        <w:ind w:left="425" w:hanging="425"/>
        <w:rPr>
          <w:rFonts w:ascii="Arial" w:eastAsiaTheme="minorHAnsi" w:hAnsi="Arial" w:cs="Arial"/>
          <w:sz w:val="22"/>
          <w:szCs w:val="22"/>
        </w:rPr>
      </w:pPr>
      <w:r w:rsidRPr="002D03D7">
        <w:rPr>
          <w:rFonts w:ascii="Arial" w:hAnsi="Arial" w:cs="Arial"/>
          <w:sz w:val="22"/>
          <w:szCs w:val="22"/>
        </w:rPr>
        <w:t>Uzavřenou smlouvu lze měnit nebo zrušit pouze po dohodě smluvních stran, která musí mít formu písemných, číslovaných a datovaných dodatků, které musí být podepsány oběma smluvními stranami.</w:t>
      </w:r>
    </w:p>
    <w:p w:rsidR="00C833C7" w:rsidRPr="00DA0CD4" w:rsidRDefault="00C833C7" w:rsidP="00C833C7">
      <w:pPr>
        <w:numPr>
          <w:ilvl w:val="0"/>
          <w:numId w:val="10"/>
        </w:numPr>
        <w:tabs>
          <w:tab w:val="num" w:pos="426"/>
        </w:tabs>
        <w:spacing w:after="120"/>
        <w:ind w:left="425" w:hanging="425"/>
        <w:rPr>
          <w:rFonts w:ascii="Arial" w:eastAsiaTheme="minorHAnsi" w:hAnsi="Arial" w:cs="Arial"/>
          <w:sz w:val="22"/>
          <w:szCs w:val="22"/>
        </w:rPr>
      </w:pPr>
      <w:r w:rsidRPr="002D03D7">
        <w:rPr>
          <w:rFonts w:ascii="Arial" w:hAnsi="Arial" w:cs="Arial"/>
          <w:sz w:val="22"/>
          <w:szCs w:val="22"/>
        </w:rPr>
        <w:t>Obě smluvní strany podpisem této smlouvy vylučují, aby nad rámec jejích výslovných ustanovení a ustanovení jejích příloh byla jakákoliv jejich práva či povinnosti dovozovány</w:t>
      </w:r>
      <w:r w:rsidRPr="002D03D7">
        <w:rPr>
          <w:rFonts w:ascii="Arial" w:hAnsi="Arial" w:cs="Arial"/>
          <w:sz w:val="22"/>
          <w:szCs w:val="22"/>
        </w:rPr>
        <w:br/>
        <w:t>z dosavadní či budoucí praxe zavedené mezi smluvními stranami, resp. ze zvyklostí zachovávaných obecně či v odvětví týkajícím se předmětu této smlouvy.</w:t>
      </w:r>
    </w:p>
    <w:p w:rsidR="00C833C7" w:rsidRPr="00833530" w:rsidRDefault="00C833C7" w:rsidP="00C833C7">
      <w:pPr>
        <w:numPr>
          <w:ilvl w:val="0"/>
          <w:numId w:val="10"/>
        </w:numPr>
        <w:tabs>
          <w:tab w:val="num" w:pos="426"/>
          <w:tab w:val="left" w:pos="4962"/>
        </w:tabs>
        <w:spacing w:after="120"/>
        <w:ind w:left="425" w:hanging="425"/>
        <w:rPr>
          <w:rFonts w:ascii="Arial" w:eastAsiaTheme="minorHAnsi" w:hAnsi="Arial" w:cs="Arial"/>
          <w:sz w:val="22"/>
          <w:szCs w:val="22"/>
        </w:rPr>
      </w:pPr>
      <w:r w:rsidRPr="00833530">
        <w:rPr>
          <w:rFonts w:ascii="Arial" w:eastAsiaTheme="minorHAnsi" w:hAnsi="Arial" w:cs="Arial"/>
          <w:sz w:val="22"/>
          <w:szCs w:val="22"/>
        </w:rPr>
        <w:t>V případě, že je ke správnému použití a funkčnosti zboží potřeba při jeho instalaci</w:t>
      </w:r>
      <w:r w:rsidRPr="00833530">
        <w:rPr>
          <w:rFonts w:ascii="Arial" w:eastAsiaTheme="minorHAnsi" w:hAnsi="Arial" w:cs="Arial"/>
          <w:sz w:val="22"/>
          <w:szCs w:val="22"/>
        </w:rPr>
        <w:br/>
        <w:t>a zprovoznění přijetí licenčních podmínek, bez ohledu na to, zda takové přijetí licenčních podmínek provede prodávající nebo kupující, má vždy v případě jakéhokoliv rozporu přednost znění smlouvy před zněním takto přijatých licenčních podmínek.</w:t>
      </w:r>
    </w:p>
    <w:p w:rsidR="00C833C7" w:rsidRDefault="00C833C7" w:rsidP="00C833C7">
      <w:pPr>
        <w:numPr>
          <w:ilvl w:val="0"/>
          <w:numId w:val="10"/>
        </w:numPr>
        <w:tabs>
          <w:tab w:val="num" w:pos="426"/>
        </w:tabs>
        <w:spacing w:after="120"/>
        <w:ind w:left="425" w:hanging="425"/>
        <w:rPr>
          <w:rFonts w:ascii="Arial" w:eastAsiaTheme="minorHAnsi" w:hAnsi="Arial" w:cs="Arial"/>
          <w:sz w:val="22"/>
          <w:szCs w:val="22"/>
        </w:rPr>
      </w:pPr>
      <w:r>
        <w:rPr>
          <w:rFonts w:ascii="Arial" w:hAnsi="Arial" w:cs="Arial"/>
          <w:sz w:val="22"/>
          <w:szCs w:val="22"/>
        </w:rPr>
        <w:t>Prodávající</w:t>
      </w:r>
      <w:r w:rsidRPr="002D03D7">
        <w:rPr>
          <w:rFonts w:ascii="Arial" w:hAnsi="Arial" w:cs="Arial"/>
          <w:sz w:val="22"/>
          <w:szCs w:val="22"/>
        </w:rPr>
        <w:t xml:space="preserve"> je povinným subjektem ve smyslu zákona o registru smluv. P</w:t>
      </w:r>
      <w:r>
        <w:rPr>
          <w:rFonts w:ascii="Arial" w:hAnsi="Arial" w:cs="Arial"/>
          <w:sz w:val="22"/>
          <w:szCs w:val="22"/>
        </w:rPr>
        <w:t>rodávající</w:t>
      </w:r>
      <w:r w:rsidRPr="002D03D7">
        <w:rPr>
          <w:rFonts w:ascii="Arial" w:hAnsi="Arial" w:cs="Arial"/>
          <w:sz w:val="22"/>
          <w:szCs w:val="22"/>
        </w:rPr>
        <w:t xml:space="preserve"> bere na vědomí, že tato smlouva bude uveřejněna, včetně všech jejích případných dodatků, na profilu zadavatele a v Registru smluv. Splnění této zákonné povinnosti není porušením dů</w:t>
      </w:r>
      <w:r>
        <w:rPr>
          <w:rFonts w:ascii="Arial" w:hAnsi="Arial" w:cs="Arial"/>
          <w:sz w:val="22"/>
          <w:szCs w:val="22"/>
        </w:rPr>
        <w:t>věrnosti informací. Prodávající</w:t>
      </w:r>
      <w:r w:rsidRPr="002D03D7">
        <w:rPr>
          <w:rFonts w:ascii="Arial" w:hAnsi="Arial" w:cs="Arial"/>
          <w:sz w:val="22"/>
          <w:szCs w:val="22"/>
        </w:rPr>
        <w:t xml:space="preserve"> bere na vědomí, že uveřejněno bude úplné znění této smlouvy, včetně všech identifikačních a kontaktních údajů osob, které prodávající uvedl v textu této smlouvy. Je-li podle obecného nařízení k uveřejnění těchto údajů potřebný souh</w:t>
      </w:r>
      <w:r>
        <w:rPr>
          <w:rFonts w:ascii="Arial" w:hAnsi="Arial" w:cs="Arial"/>
          <w:sz w:val="22"/>
          <w:szCs w:val="22"/>
        </w:rPr>
        <w:t xml:space="preserve">las dotčených osob, </w:t>
      </w:r>
      <w:r>
        <w:rPr>
          <w:rFonts w:ascii="Arial" w:hAnsi="Arial" w:cs="Arial"/>
          <w:sz w:val="22"/>
          <w:szCs w:val="22"/>
        </w:rPr>
        <w:lastRenderedPageBreak/>
        <w:t>prodávající</w:t>
      </w:r>
      <w:r w:rsidRPr="002D03D7">
        <w:rPr>
          <w:rFonts w:ascii="Arial" w:hAnsi="Arial" w:cs="Arial"/>
          <w:sz w:val="22"/>
          <w:szCs w:val="22"/>
        </w:rPr>
        <w:t xml:space="preserve"> výslovně prohlašuje, že takový souhlas všech dotčených osob zajistil. Smluvní strany se dohodly, že smlouvu zašle správci Regist</w:t>
      </w:r>
      <w:r>
        <w:rPr>
          <w:rFonts w:ascii="Arial" w:hAnsi="Arial" w:cs="Arial"/>
          <w:sz w:val="22"/>
          <w:szCs w:val="22"/>
        </w:rPr>
        <w:t>ru smluv k uveřejnění kupující a bude prodávajícího</w:t>
      </w:r>
      <w:r w:rsidRPr="002D03D7">
        <w:rPr>
          <w:rFonts w:ascii="Arial" w:hAnsi="Arial" w:cs="Arial"/>
          <w:sz w:val="22"/>
          <w:szCs w:val="22"/>
        </w:rPr>
        <w:t xml:space="preserve"> písemně informovat o uveřejnění smlouv</w:t>
      </w:r>
      <w:r>
        <w:rPr>
          <w:rFonts w:ascii="Arial" w:hAnsi="Arial" w:cs="Arial"/>
          <w:sz w:val="22"/>
          <w:szCs w:val="22"/>
        </w:rPr>
        <w:t>y v Registru smluv. Prodávající</w:t>
      </w:r>
      <w:r w:rsidRPr="002D03D7">
        <w:rPr>
          <w:rFonts w:ascii="Arial" w:hAnsi="Arial" w:cs="Arial"/>
          <w:sz w:val="22"/>
          <w:szCs w:val="22"/>
        </w:rPr>
        <w:t xml:space="preserve"> je povinen zkontrolovat, že smlouva byla v Registru smluv řádně uveřejněna. V pří</w:t>
      </w:r>
      <w:r>
        <w:rPr>
          <w:rFonts w:ascii="Arial" w:hAnsi="Arial" w:cs="Arial"/>
          <w:sz w:val="22"/>
          <w:szCs w:val="22"/>
        </w:rPr>
        <w:t xml:space="preserve">padě, že prodávající </w:t>
      </w:r>
      <w:r w:rsidRPr="002D03D7">
        <w:rPr>
          <w:rFonts w:ascii="Arial" w:hAnsi="Arial" w:cs="Arial"/>
          <w:sz w:val="22"/>
          <w:szCs w:val="22"/>
        </w:rPr>
        <w:t>zjistí jakékoliv nepřesnosti či nedostatky, je povinen bez zbyte</w:t>
      </w:r>
      <w:r>
        <w:rPr>
          <w:rFonts w:ascii="Arial" w:hAnsi="Arial" w:cs="Arial"/>
          <w:sz w:val="22"/>
          <w:szCs w:val="22"/>
        </w:rPr>
        <w:t>čného odkladu o nich kupujícího informovat. Kupující</w:t>
      </w:r>
      <w:r w:rsidRPr="002D03D7">
        <w:rPr>
          <w:rFonts w:ascii="Arial" w:hAnsi="Arial" w:cs="Arial"/>
          <w:sz w:val="22"/>
          <w:szCs w:val="22"/>
        </w:rPr>
        <w:t xml:space="preserve"> je dále v souladu se ZZVZ povinen na profilu zadavatele uveřejnit skutečně uhrazenou cenu.</w:t>
      </w:r>
    </w:p>
    <w:p w:rsidR="00C833C7" w:rsidRDefault="00C833C7" w:rsidP="00C833C7">
      <w:pPr>
        <w:numPr>
          <w:ilvl w:val="0"/>
          <w:numId w:val="10"/>
        </w:numPr>
        <w:tabs>
          <w:tab w:val="num" w:pos="426"/>
        </w:tabs>
        <w:spacing w:after="120"/>
        <w:ind w:left="425" w:hanging="425"/>
        <w:rPr>
          <w:rFonts w:ascii="Arial" w:eastAsiaTheme="minorHAnsi" w:hAnsi="Arial" w:cs="Arial"/>
          <w:sz w:val="22"/>
          <w:szCs w:val="22"/>
        </w:rPr>
      </w:pPr>
      <w:r w:rsidRPr="002D03D7">
        <w:rPr>
          <w:rFonts w:ascii="Arial" w:hAnsi="Arial" w:cs="Arial"/>
          <w:sz w:val="22"/>
          <w:szCs w:val="22"/>
        </w:rPr>
        <w:t>Tato smlouva nabývá platnosti dnem podpisu poslední ze smluvních stran a účinnosti dnem uveřejnění v Registru smluv.</w:t>
      </w:r>
    </w:p>
    <w:p w:rsidR="00C833C7" w:rsidRPr="00DA0CD4" w:rsidRDefault="00C833C7" w:rsidP="00C833C7">
      <w:pPr>
        <w:numPr>
          <w:ilvl w:val="0"/>
          <w:numId w:val="10"/>
        </w:numPr>
        <w:tabs>
          <w:tab w:val="num" w:pos="426"/>
        </w:tabs>
        <w:spacing w:after="120"/>
        <w:ind w:left="425" w:hanging="425"/>
        <w:rPr>
          <w:rFonts w:ascii="Arial" w:eastAsiaTheme="minorHAnsi" w:hAnsi="Arial" w:cs="Arial"/>
          <w:sz w:val="22"/>
          <w:szCs w:val="22"/>
        </w:rPr>
      </w:pPr>
      <w:r w:rsidRPr="00DA0CD4">
        <w:rPr>
          <w:rFonts w:ascii="Arial" w:hAnsi="Arial" w:cs="Arial"/>
          <w:sz w:val="22"/>
          <w:szCs w:val="22"/>
        </w:rPr>
        <w:t>Každá ze smluvních stran prohlašuje, že tuto smlouvu uzavírá svobodně a vážně, že považuje obsah této smlouvy za určitý, srozumitelný, a že jsou jí známy veškeré skutečnosti, jež jsou pro uzavření této smlouvy rozhodující, na důkaz čehož připojují smluvní strany k této smlouvě své podpisy.</w:t>
      </w:r>
    </w:p>
    <w:p w:rsidR="00C833C7" w:rsidRDefault="00C833C7" w:rsidP="00C833C7">
      <w:pPr>
        <w:numPr>
          <w:ilvl w:val="0"/>
          <w:numId w:val="10"/>
        </w:numPr>
        <w:tabs>
          <w:tab w:val="num" w:pos="426"/>
        </w:tabs>
        <w:spacing w:before="120" w:after="120"/>
        <w:ind w:left="425" w:hanging="425"/>
        <w:rPr>
          <w:rFonts w:ascii="Arial" w:eastAsiaTheme="minorHAnsi" w:hAnsi="Arial" w:cs="Arial"/>
          <w:sz w:val="22"/>
          <w:szCs w:val="22"/>
        </w:rPr>
      </w:pPr>
      <w:r w:rsidRPr="00833530">
        <w:rPr>
          <w:rFonts w:ascii="Arial" w:eastAsiaTheme="minorHAnsi" w:hAnsi="Arial" w:cs="Arial"/>
          <w:sz w:val="22"/>
          <w:szCs w:val="22"/>
        </w:rPr>
        <w:t>Nedílnou s</w:t>
      </w:r>
      <w:r>
        <w:rPr>
          <w:rFonts w:ascii="Arial" w:eastAsiaTheme="minorHAnsi" w:hAnsi="Arial" w:cs="Arial"/>
          <w:sz w:val="22"/>
          <w:szCs w:val="22"/>
        </w:rPr>
        <w:t>oučástí této smlouvy jsou přílohy:</w:t>
      </w:r>
    </w:p>
    <w:p w:rsidR="00C833C7" w:rsidRDefault="00C833C7" w:rsidP="00C833C7">
      <w:pPr>
        <w:spacing w:before="120" w:after="120"/>
        <w:ind w:left="425"/>
        <w:rPr>
          <w:rFonts w:ascii="Arial" w:eastAsiaTheme="minorHAnsi" w:hAnsi="Arial" w:cs="Arial"/>
          <w:sz w:val="22"/>
          <w:szCs w:val="22"/>
        </w:rPr>
      </w:pPr>
      <w:r>
        <w:rPr>
          <w:rFonts w:ascii="Arial" w:eastAsiaTheme="minorHAnsi" w:hAnsi="Arial" w:cs="Arial"/>
          <w:sz w:val="22"/>
          <w:szCs w:val="22"/>
        </w:rPr>
        <w:t xml:space="preserve">Příloha </w:t>
      </w:r>
      <w:r w:rsidRPr="00833530">
        <w:rPr>
          <w:rFonts w:ascii="Arial" w:eastAsiaTheme="minorHAnsi" w:hAnsi="Arial" w:cs="Arial"/>
          <w:sz w:val="22"/>
          <w:szCs w:val="22"/>
        </w:rPr>
        <w:t>č. 1 – Technická specifikace zboží</w:t>
      </w:r>
    </w:p>
    <w:p w:rsidR="00C833C7" w:rsidRPr="00833530" w:rsidRDefault="00C833C7" w:rsidP="00C833C7">
      <w:pPr>
        <w:spacing w:before="120" w:after="120"/>
        <w:ind w:left="425"/>
        <w:rPr>
          <w:rFonts w:ascii="Arial" w:eastAsiaTheme="minorHAnsi" w:hAnsi="Arial" w:cs="Arial"/>
          <w:sz w:val="22"/>
          <w:szCs w:val="22"/>
        </w:rPr>
      </w:pPr>
      <w:r>
        <w:rPr>
          <w:rFonts w:ascii="Arial" w:eastAsiaTheme="minorHAnsi" w:hAnsi="Arial" w:cs="Arial"/>
          <w:sz w:val="22"/>
          <w:szCs w:val="22"/>
        </w:rPr>
        <w:t xml:space="preserve">Příloha č. 2 </w:t>
      </w:r>
      <w:r w:rsidRPr="00833530">
        <w:rPr>
          <w:rFonts w:ascii="Arial" w:eastAsiaTheme="minorHAnsi" w:hAnsi="Arial" w:cs="Arial"/>
          <w:sz w:val="22"/>
          <w:szCs w:val="22"/>
        </w:rPr>
        <w:t xml:space="preserve"> – </w:t>
      </w:r>
      <w:r>
        <w:rPr>
          <w:rFonts w:ascii="Arial" w:eastAsiaTheme="minorHAnsi" w:hAnsi="Arial" w:cs="Arial"/>
          <w:sz w:val="22"/>
          <w:szCs w:val="22"/>
        </w:rPr>
        <w:t>Kalkulace ceny</w:t>
      </w:r>
    </w:p>
    <w:p w:rsidR="00C833C7" w:rsidRDefault="00C833C7" w:rsidP="00C833C7">
      <w:pPr>
        <w:tabs>
          <w:tab w:val="left" w:pos="0"/>
          <w:tab w:val="left" w:pos="5103"/>
        </w:tabs>
        <w:spacing w:before="120" w:after="240"/>
        <w:rPr>
          <w:rFonts w:eastAsiaTheme="minorHAnsi" w:cs="Arial"/>
        </w:rPr>
      </w:pPr>
    </w:p>
    <w:p w:rsidR="00C833C7" w:rsidRPr="00833530" w:rsidRDefault="00C833C7" w:rsidP="00C833C7">
      <w:pPr>
        <w:tabs>
          <w:tab w:val="left" w:pos="0"/>
          <w:tab w:val="left" w:pos="5103"/>
        </w:tabs>
        <w:spacing w:before="120" w:after="240"/>
        <w:rPr>
          <w:rFonts w:ascii="Arial" w:eastAsiaTheme="minorHAnsi" w:hAnsi="Arial" w:cs="Arial"/>
          <w:sz w:val="22"/>
          <w:szCs w:val="22"/>
        </w:rPr>
      </w:pPr>
      <w:r w:rsidRPr="00833530">
        <w:rPr>
          <w:rFonts w:ascii="Arial" w:eastAsiaTheme="minorHAnsi" w:hAnsi="Arial" w:cs="Arial"/>
          <w:sz w:val="22"/>
          <w:szCs w:val="22"/>
        </w:rPr>
        <w:t>V </w:t>
      </w:r>
      <w:r w:rsidR="00E153EA">
        <w:rPr>
          <w:rFonts w:ascii="Arial" w:eastAsiaTheme="minorHAnsi" w:hAnsi="Arial" w:cs="Arial"/>
          <w:sz w:val="22"/>
          <w:szCs w:val="22"/>
        </w:rPr>
        <w:t>Praze</w:t>
      </w:r>
      <w:r w:rsidRPr="00833530">
        <w:rPr>
          <w:rFonts w:ascii="Arial" w:eastAsiaTheme="minorHAnsi" w:hAnsi="Arial" w:cs="Arial"/>
          <w:sz w:val="22"/>
          <w:szCs w:val="22"/>
        </w:rPr>
        <w:t xml:space="preserve"> dne </w:t>
      </w:r>
      <w:r w:rsidR="00203667">
        <w:rPr>
          <w:rFonts w:ascii="Arial" w:eastAsiaTheme="minorHAnsi" w:hAnsi="Arial" w:cs="Arial"/>
          <w:sz w:val="22"/>
          <w:szCs w:val="22"/>
        </w:rPr>
        <w:t>26. 10. 2023</w:t>
      </w:r>
      <w:r w:rsidRPr="00833530">
        <w:rPr>
          <w:rFonts w:ascii="Arial" w:eastAsiaTheme="minorHAnsi" w:hAnsi="Arial" w:cs="Arial"/>
          <w:sz w:val="22"/>
          <w:szCs w:val="22"/>
        </w:rPr>
        <w:tab/>
        <w:t>V Praze dne</w:t>
      </w:r>
      <w:r w:rsidR="00203667">
        <w:rPr>
          <w:rFonts w:ascii="Arial" w:eastAsiaTheme="minorHAnsi" w:hAnsi="Arial" w:cs="Arial"/>
          <w:sz w:val="22"/>
          <w:szCs w:val="22"/>
        </w:rPr>
        <w:t xml:space="preserve"> 30. 10. 2023</w:t>
      </w:r>
      <w:bookmarkStart w:id="0" w:name="_GoBack"/>
      <w:bookmarkEnd w:id="0"/>
    </w:p>
    <w:p w:rsidR="00C833C7" w:rsidRPr="00833530" w:rsidRDefault="00C833C7" w:rsidP="00C833C7">
      <w:pPr>
        <w:tabs>
          <w:tab w:val="left" w:pos="0"/>
          <w:tab w:val="left" w:pos="5103"/>
        </w:tabs>
        <w:spacing w:after="120"/>
        <w:rPr>
          <w:rFonts w:ascii="Arial" w:eastAsiaTheme="minorHAnsi" w:hAnsi="Arial" w:cs="Arial"/>
          <w:sz w:val="22"/>
          <w:szCs w:val="22"/>
        </w:rPr>
      </w:pPr>
      <w:r w:rsidRPr="00833530">
        <w:rPr>
          <w:rFonts w:ascii="Arial" w:eastAsiaTheme="minorHAnsi" w:hAnsi="Arial" w:cs="Arial"/>
          <w:sz w:val="22"/>
          <w:szCs w:val="22"/>
        </w:rPr>
        <w:t>za prodávajícího</w:t>
      </w:r>
      <w:r w:rsidRPr="00833530">
        <w:rPr>
          <w:rFonts w:ascii="Arial" w:eastAsiaTheme="minorHAnsi" w:hAnsi="Arial" w:cs="Arial"/>
          <w:sz w:val="22"/>
          <w:szCs w:val="22"/>
        </w:rPr>
        <w:tab/>
        <w:t>za kupujícího</w:t>
      </w:r>
    </w:p>
    <w:p w:rsidR="00C833C7" w:rsidRPr="00833530" w:rsidRDefault="00C833C7" w:rsidP="00C833C7">
      <w:pPr>
        <w:tabs>
          <w:tab w:val="left" w:pos="0"/>
          <w:tab w:val="left" w:leader="underscore" w:pos="3686"/>
          <w:tab w:val="left" w:pos="5103"/>
          <w:tab w:val="left" w:leader="underscore" w:pos="9072"/>
        </w:tabs>
        <w:spacing w:before="480" w:after="240"/>
        <w:rPr>
          <w:rFonts w:ascii="Arial" w:eastAsiaTheme="minorHAnsi" w:hAnsi="Arial" w:cs="Arial"/>
          <w:sz w:val="22"/>
          <w:szCs w:val="22"/>
        </w:rPr>
      </w:pPr>
      <w:r w:rsidRPr="00833530">
        <w:rPr>
          <w:rFonts w:ascii="Arial" w:eastAsiaTheme="minorHAnsi" w:hAnsi="Arial" w:cs="Arial"/>
          <w:sz w:val="22"/>
          <w:szCs w:val="22"/>
        </w:rPr>
        <w:tab/>
      </w:r>
      <w:r w:rsidRPr="00833530">
        <w:rPr>
          <w:rFonts w:ascii="Arial" w:eastAsiaTheme="minorHAnsi" w:hAnsi="Arial" w:cs="Arial"/>
          <w:sz w:val="22"/>
          <w:szCs w:val="22"/>
        </w:rPr>
        <w:tab/>
      </w:r>
      <w:r w:rsidRPr="00833530">
        <w:rPr>
          <w:rFonts w:ascii="Arial" w:eastAsiaTheme="minorHAnsi" w:hAnsi="Arial" w:cs="Arial"/>
          <w:sz w:val="22"/>
          <w:szCs w:val="22"/>
        </w:rPr>
        <w:tab/>
      </w:r>
    </w:p>
    <w:p w:rsidR="00C833C7" w:rsidRPr="00833530" w:rsidRDefault="00E153EA" w:rsidP="00C833C7">
      <w:pPr>
        <w:tabs>
          <w:tab w:val="left" w:pos="0"/>
          <w:tab w:val="left" w:pos="5103"/>
        </w:tabs>
        <w:rPr>
          <w:rFonts w:ascii="Arial" w:eastAsiaTheme="minorHAnsi" w:hAnsi="Arial" w:cs="Arial"/>
          <w:sz w:val="22"/>
          <w:szCs w:val="22"/>
        </w:rPr>
      </w:pPr>
      <w:r>
        <w:rPr>
          <w:rFonts w:ascii="Arial" w:eastAsiaTheme="minorHAnsi" w:hAnsi="Arial" w:cs="Arial"/>
          <w:sz w:val="22"/>
          <w:szCs w:val="22"/>
        </w:rPr>
        <w:t>Vlastimil Srna</w:t>
      </w:r>
      <w:r w:rsidR="00E10043">
        <w:rPr>
          <w:rFonts w:ascii="Arial" w:eastAsiaTheme="minorHAnsi" w:hAnsi="Arial" w:cs="Arial"/>
          <w:sz w:val="22"/>
          <w:szCs w:val="22"/>
        </w:rPr>
        <w:t xml:space="preserve"> v. r.</w:t>
      </w:r>
      <w:r w:rsidR="00C833C7" w:rsidRPr="00833530">
        <w:rPr>
          <w:rFonts w:ascii="Arial" w:eastAsiaTheme="minorHAnsi" w:hAnsi="Arial" w:cs="Arial"/>
          <w:sz w:val="22"/>
          <w:szCs w:val="22"/>
        </w:rPr>
        <w:tab/>
        <w:t xml:space="preserve">Ing. </w:t>
      </w:r>
      <w:r w:rsidR="00C833C7">
        <w:rPr>
          <w:rFonts w:ascii="Arial" w:eastAsiaTheme="minorHAnsi" w:hAnsi="Arial" w:cs="Arial"/>
          <w:sz w:val="22"/>
          <w:szCs w:val="22"/>
        </w:rPr>
        <w:t>Jitka Křupková</w:t>
      </w:r>
      <w:r w:rsidR="00E10043">
        <w:rPr>
          <w:rFonts w:ascii="Arial" w:eastAsiaTheme="minorHAnsi" w:hAnsi="Arial" w:cs="Arial"/>
          <w:sz w:val="22"/>
          <w:szCs w:val="22"/>
        </w:rPr>
        <w:t xml:space="preserve"> v. r.</w:t>
      </w:r>
    </w:p>
    <w:p w:rsidR="00C833C7" w:rsidRPr="00511591" w:rsidRDefault="00E153EA" w:rsidP="00E153EA">
      <w:pPr>
        <w:tabs>
          <w:tab w:val="left" w:pos="5103"/>
        </w:tabs>
        <w:spacing w:after="120"/>
        <w:rPr>
          <w:rFonts w:ascii="Arial" w:hAnsi="Arial" w:cs="Arial"/>
          <w:b/>
          <w:bCs/>
          <w:sz w:val="22"/>
          <w:szCs w:val="22"/>
        </w:rPr>
      </w:pPr>
      <w:r>
        <w:rPr>
          <w:rFonts w:ascii="Arial" w:eastAsiaTheme="minorHAnsi" w:hAnsi="Arial" w:cs="Arial"/>
          <w:sz w:val="22"/>
          <w:szCs w:val="22"/>
        </w:rPr>
        <w:t xml:space="preserve">jednatel </w:t>
      </w:r>
      <w:r w:rsidR="00C833C7" w:rsidRPr="00833530">
        <w:rPr>
          <w:rFonts w:ascii="Arial" w:eastAsiaTheme="minorHAnsi" w:hAnsi="Arial" w:cs="Arial"/>
          <w:sz w:val="22"/>
          <w:szCs w:val="22"/>
        </w:rPr>
        <w:tab/>
        <w:t>ředitel</w:t>
      </w:r>
      <w:r w:rsidR="00C833C7">
        <w:rPr>
          <w:rFonts w:ascii="Arial" w:eastAsiaTheme="minorHAnsi" w:hAnsi="Arial" w:cs="Arial"/>
          <w:sz w:val="22"/>
          <w:szCs w:val="22"/>
        </w:rPr>
        <w:t xml:space="preserve">ka </w:t>
      </w:r>
      <w:r w:rsidR="00C833C7" w:rsidRPr="00833530">
        <w:rPr>
          <w:rFonts w:ascii="Arial" w:eastAsiaTheme="minorHAnsi" w:hAnsi="Arial" w:cs="Arial"/>
          <w:sz w:val="22"/>
          <w:szCs w:val="22"/>
        </w:rPr>
        <w:t>Odboru informatiky</w:t>
      </w:r>
    </w:p>
    <w:p w:rsidR="00C833C7" w:rsidRDefault="00C833C7" w:rsidP="00C833C7">
      <w:pPr>
        <w:sectPr w:rsidR="00C833C7" w:rsidSect="00432553">
          <w:headerReference w:type="default" r:id="rId8"/>
          <w:footerReference w:type="default" r:id="rId9"/>
          <w:headerReference w:type="first" r:id="rId10"/>
          <w:pgSz w:w="11906" w:h="16838"/>
          <w:pgMar w:top="1417" w:right="1134" w:bottom="1417" w:left="1134" w:header="709" w:footer="709" w:gutter="0"/>
          <w:cols w:space="708"/>
          <w:titlePg/>
          <w:docGrid w:linePitch="360"/>
        </w:sectPr>
      </w:pPr>
    </w:p>
    <w:p w:rsidR="00343716" w:rsidRPr="00343716" w:rsidRDefault="00C833C7" w:rsidP="00343716">
      <w:pPr>
        <w:spacing w:before="480"/>
        <w:jc w:val="center"/>
        <w:rPr>
          <w:rFonts w:ascii="Arial" w:hAnsi="Arial" w:cs="Arial"/>
          <w:b/>
          <w:bCs/>
          <w:kern w:val="32"/>
        </w:rPr>
      </w:pPr>
      <w:r w:rsidRPr="00343716">
        <w:rPr>
          <w:rFonts w:ascii="Arial" w:hAnsi="Arial" w:cs="Arial"/>
          <w:b/>
          <w:bCs/>
          <w:kern w:val="32"/>
          <w:sz w:val="32"/>
          <w:szCs w:val="32"/>
        </w:rPr>
        <w:lastRenderedPageBreak/>
        <w:t>Technická specifikace zboží</w:t>
      </w:r>
    </w:p>
    <w:tbl>
      <w:tblPr>
        <w:tblpPr w:leftFromText="142" w:rightFromText="142" w:bottomFromText="160" w:vertAnchor="text" w:tblpX="69" w:tblpY="1"/>
        <w:tblOverlap w:val="never"/>
        <w:tblW w:w="9639" w:type="dxa"/>
        <w:tblLayout w:type="fixed"/>
        <w:tblCellMar>
          <w:left w:w="70" w:type="dxa"/>
          <w:right w:w="70" w:type="dxa"/>
        </w:tblCellMar>
        <w:tblLook w:val="04A0" w:firstRow="1" w:lastRow="0" w:firstColumn="1" w:lastColumn="0" w:noHBand="0" w:noVBand="1"/>
      </w:tblPr>
      <w:tblGrid>
        <w:gridCol w:w="5602"/>
        <w:gridCol w:w="1210"/>
        <w:gridCol w:w="2827"/>
      </w:tblGrid>
      <w:tr w:rsidR="00343716" w:rsidRPr="00343716" w:rsidTr="00343716">
        <w:trPr>
          <w:trHeight w:val="300"/>
        </w:trPr>
        <w:tc>
          <w:tcPr>
            <w:tcW w:w="9639" w:type="dxa"/>
            <w:gridSpan w:val="3"/>
            <w:noWrap/>
            <w:vAlign w:val="bottom"/>
            <w:hideMark/>
          </w:tcPr>
          <w:p w:rsidR="00343716" w:rsidRPr="00343716" w:rsidRDefault="00343716">
            <w:pPr>
              <w:spacing w:after="240" w:line="256" w:lineRule="auto"/>
              <w:rPr>
                <w:rFonts w:ascii="Arial" w:eastAsia="Calibri" w:hAnsi="Arial" w:cs="Arial"/>
                <w:color w:val="000000"/>
                <w:lang w:eastAsia="en-US"/>
              </w:rPr>
            </w:pPr>
          </w:p>
        </w:tc>
      </w:tr>
      <w:tr w:rsidR="00343716" w:rsidRPr="00343716" w:rsidTr="00343716">
        <w:trPr>
          <w:trHeight w:val="630"/>
        </w:trPr>
        <w:tc>
          <w:tcPr>
            <w:tcW w:w="5602" w:type="dxa"/>
            <w:tcBorders>
              <w:top w:val="single" w:sz="4" w:space="0" w:color="auto"/>
              <w:left w:val="single" w:sz="4" w:space="0" w:color="auto"/>
              <w:bottom w:val="single" w:sz="4" w:space="0" w:color="auto"/>
              <w:right w:val="single" w:sz="4" w:space="0" w:color="000000"/>
            </w:tcBorders>
            <w:shd w:val="clear" w:color="auto" w:fill="FFEB9C"/>
            <w:vAlign w:val="center"/>
            <w:hideMark/>
          </w:tcPr>
          <w:p w:rsidR="00343716" w:rsidRPr="00343716" w:rsidRDefault="00343716">
            <w:pPr>
              <w:spacing w:line="256" w:lineRule="auto"/>
              <w:rPr>
                <w:rFonts w:ascii="Arial" w:eastAsia="Calibri" w:hAnsi="Arial" w:cs="Arial"/>
                <w:color w:val="9C6500"/>
                <w:lang w:eastAsia="en-US"/>
              </w:rPr>
            </w:pPr>
            <w:r w:rsidRPr="00343716">
              <w:rPr>
                <w:rFonts w:ascii="Arial" w:eastAsia="Calibri" w:hAnsi="Arial" w:cs="Arial"/>
                <w:color w:val="9C6500"/>
                <w:lang w:eastAsia="en-US"/>
              </w:rPr>
              <w:t>Požadovaná funkcionalita/vlastnost</w:t>
            </w:r>
          </w:p>
        </w:tc>
        <w:tc>
          <w:tcPr>
            <w:tcW w:w="1210" w:type="dxa"/>
            <w:tcBorders>
              <w:top w:val="single" w:sz="4" w:space="0" w:color="auto"/>
              <w:left w:val="nil"/>
              <w:bottom w:val="single" w:sz="4" w:space="0" w:color="auto"/>
              <w:right w:val="single" w:sz="4" w:space="0" w:color="auto"/>
            </w:tcBorders>
            <w:shd w:val="clear" w:color="auto" w:fill="FFEB9C"/>
            <w:vAlign w:val="center"/>
            <w:hideMark/>
          </w:tcPr>
          <w:p w:rsidR="00343716" w:rsidRPr="00343716" w:rsidRDefault="00343716">
            <w:pPr>
              <w:spacing w:line="256" w:lineRule="auto"/>
              <w:jc w:val="center"/>
              <w:rPr>
                <w:rFonts w:ascii="Arial" w:eastAsia="Calibri" w:hAnsi="Arial" w:cs="Arial"/>
                <w:color w:val="9C6500"/>
                <w:lang w:eastAsia="en-US"/>
              </w:rPr>
            </w:pPr>
            <w:r w:rsidRPr="00343716">
              <w:rPr>
                <w:rFonts w:ascii="Arial" w:eastAsia="Calibri" w:hAnsi="Arial" w:cs="Arial"/>
                <w:color w:val="9C6500"/>
                <w:lang w:eastAsia="en-US"/>
              </w:rPr>
              <w:t>Splňuje (ANO/NE)</w:t>
            </w:r>
          </w:p>
        </w:tc>
        <w:tc>
          <w:tcPr>
            <w:tcW w:w="2827" w:type="dxa"/>
            <w:tcBorders>
              <w:top w:val="single" w:sz="4" w:space="0" w:color="auto"/>
              <w:left w:val="nil"/>
              <w:bottom w:val="single" w:sz="4" w:space="0" w:color="auto"/>
              <w:right w:val="single" w:sz="4" w:space="0" w:color="auto"/>
            </w:tcBorders>
            <w:shd w:val="clear" w:color="auto" w:fill="FFEB9C"/>
            <w:vAlign w:val="center"/>
            <w:hideMark/>
          </w:tcPr>
          <w:p w:rsidR="00343716" w:rsidRPr="00343716" w:rsidRDefault="00343716">
            <w:pPr>
              <w:spacing w:line="256" w:lineRule="auto"/>
              <w:jc w:val="center"/>
              <w:rPr>
                <w:rFonts w:ascii="Arial" w:eastAsia="Calibri" w:hAnsi="Arial" w:cs="Arial"/>
                <w:color w:val="9C6500"/>
                <w:lang w:eastAsia="en-US"/>
              </w:rPr>
            </w:pPr>
            <w:r w:rsidRPr="00343716">
              <w:rPr>
                <w:rFonts w:ascii="Arial" w:eastAsia="Calibri" w:hAnsi="Arial" w:cs="Arial"/>
                <w:color w:val="9C6500"/>
                <w:lang w:eastAsia="en-US"/>
              </w:rPr>
              <w:t>Uveďte hodnotu daného parametru</w:t>
            </w:r>
          </w:p>
        </w:tc>
      </w:tr>
      <w:tr w:rsidR="00343716" w:rsidRPr="00343716" w:rsidTr="00343716">
        <w:trPr>
          <w:trHeight w:val="428"/>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343716" w:rsidRPr="00343716" w:rsidRDefault="00343716">
            <w:pPr>
              <w:spacing w:line="256" w:lineRule="auto"/>
              <w:rPr>
                <w:rFonts w:ascii="Arial" w:eastAsia="Calibri" w:hAnsi="Arial" w:cs="Arial"/>
                <w:b/>
                <w:lang w:eastAsia="en-US"/>
              </w:rPr>
            </w:pPr>
            <w:r w:rsidRPr="00343716">
              <w:rPr>
                <w:rFonts w:ascii="Arial" w:eastAsia="Calibri" w:hAnsi="Arial" w:cs="Arial"/>
                <w:b/>
                <w:lang w:eastAsia="en-US"/>
              </w:rPr>
              <w:t>Obecné požadavky:</w:t>
            </w:r>
          </w:p>
        </w:tc>
      </w:tr>
      <w:tr w:rsidR="00343716" w:rsidRPr="00343716" w:rsidTr="00343716">
        <w:trPr>
          <w:trHeight w:val="322"/>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eastAsia="SimSun" w:hAnsi="Arial" w:cs="Arial"/>
                <w:bCs/>
                <w:lang w:eastAsia="en-US"/>
              </w:rPr>
            </w:pPr>
            <w:r w:rsidRPr="00343716">
              <w:rPr>
                <w:rFonts w:ascii="Arial" w:eastAsia="SimSun" w:hAnsi="Arial" w:cs="Arial"/>
                <w:bCs/>
                <w:lang w:eastAsia="en-US"/>
              </w:rPr>
              <w:t>Nabízené řešení a jeho komponenty bude postaveno na blade architektuře.</w:t>
            </w:r>
          </w:p>
        </w:tc>
        <w:tc>
          <w:tcPr>
            <w:tcW w:w="1210" w:type="dxa"/>
            <w:tcBorders>
              <w:top w:val="nil"/>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lang w:eastAsia="en-US"/>
              </w:rPr>
            </w:pPr>
            <w:r w:rsidRPr="00343716">
              <w:rPr>
                <w:rFonts w:ascii="Arial" w:eastAsia="Calibri" w:hAnsi="Arial" w:cs="Arial"/>
                <w:lang w:eastAsia="en-US"/>
              </w:rPr>
              <w:t>ANO</w:t>
            </w:r>
          </w:p>
        </w:tc>
        <w:tc>
          <w:tcPr>
            <w:tcW w:w="2827"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rPr>
                <w:rFonts w:ascii="Arial" w:eastAsia="Calibri" w:hAnsi="Arial" w:cs="Arial"/>
                <w:color w:val="000000"/>
                <w:lang w:eastAsia="en-US"/>
              </w:rPr>
            </w:pPr>
            <w:r w:rsidRPr="00343716">
              <w:rPr>
                <w:rFonts w:ascii="Arial" w:eastAsia="Calibri" w:hAnsi="Arial" w:cs="Arial"/>
                <w:color w:val="000000"/>
                <w:lang w:eastAsia="en-US"/>
              </w:rPr>
              <w:t>PowerEdge MX7000 šasi s MX760C Blade servery</w:t>
            </w:r>
          </w:p>
        </w:tc>
      </w:tr>
      <w:tr w:rsidR="00343716" w:rsidRPr="00343716" w:rsidTr="00343716">
        <w:trPr>
          <w:trHeight w:val="322"/>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eastAsia="SimSun" w:hAnsi="Arial" w:cs="Arial"/>
                <w:bCs/>
                <w:lang w:eastAsia="en-US"/>
              </w:rPr>
            </w:pPr>
            <w:r w:rsidRPr="00343716">
              <w:rPr>
                <w:rFonts w:ascii="Arial" w:eastAsia="SimSun" w:hAnsi="Arial" w:cs="Arial"/>
                <w:bCs/>
                <w:lang w:eastAsia="en-US"/>
              </w:rPr>
              <w:t>Dodaný HW musí být nový, nesmí se jednat o použité či repasované produkty.</w:t>
            </w:r>
          </w:p>
        </w:tc>
        <w:tc>
          <w:tcPr>
            <w:tcW w:w="1210"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lang w:eastAsia="en-US"/>
              </w:rPr>
            </w:pPr>
            <w:r w:rsidRPr="00343716">
              <w:rPr>
                <w:rFonts w:ascii="Arial" w:eastAsia="Calibri" w:hAnsi="Arial" w:cs="Arial"/>
                <w:lang w:eastAsia="en-US"/>
              </w:rPr>
              <w:t>ANO</w:t>
            </w:r>
          </w:p>
        </w:tc>
        <w:tc>
          <w:tcPr>
            <w:tcW w:w="2827"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rPr>
                <w:rFonts w:ascii="Arial" w:eastAsia="Calibri" w:hAnsi="Arial" w:cs="Arial"/>
                <w:color w:val="000000"/>
                <w:lang w:eastAsia="en-US"/>
              </w:rPr>
            </w:pPr>
            <w:r w:rsidRPr="00343716">
              <w:rPr>
                <w:rFonts w:ascii="Arial" w:eastAsia="Calibri" w:hAnsi="Arial" w:cs="Arial"/>
                <w:color w:val="000000"/>
                <w:lang w:eastAsia="en-US"/>
              </w:rPr>
              <w:t>Nový HW, dohledatelný na webech výrobce (stránky supportu)</w:t>
            </w:r>
          </w:p>
        </w:tc>
      </w:tr>
      <w:tr w:rsidR="00343716" w:rsidRPr="00343716" w:rsidTr="00343716">
        <w:trPr>
          <w:trHeight w:val="322"/>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eastAsia="SimSun" w:hAnsi="Arial" w:cs="Arial"/>
                <w:bCs/>
                <w:lang w:eastAsia="en-US"/>
              </w:rPr>
            </w:pPr>
            <w:r w:rsidRPr="00343716">
              <w:rPr>
                <w:rFonts w:ascii="Arial" w:eastAsia="SimSun" w:hAnsi="Arial" w:cs="Arial"/>
                <w:bCs/>
                <w:lang w:eastAsia="en-US"/>
              </w:rPr>
              <w:t>Instalační práce musí být provedeny technikem, který je za tímto účelem vyškolen a oprávněn výrobcem.</w:t>
            </w:r>
          </w:p>
        </w:tc>
        <w:tc>
          <w:tcPr>
            <w:tcW w:w="1210"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lang w:eastAsia="en-US"/>
              </w:rPr>
            </w:pPr>
            <w:r w:rsidRPr="00343716">
              <w:rPr>
                <w:rFonts w:ascii="Arial" w:eastAsia="Calibri" w:hAnsi="Arial" w:cs="Arial"/>
                <w:lang w:eastAsia="en-US"/>
              </w:rPr>
              <w:t>ANO</w:t>
            </w:r>
          </w:p>
        </w:tc>
        <w:tc>
          <w:tcPr>
            <w:tcW w:w="2827"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rPr>
                <w:rFonts w:ascii="Arial" w:eastAsia="Calibri" w:hAnsi="Arial" w:cs="Arial"/>
                <w:color w:val="000000"/>
                <w:lang w:eastAsia="en-US"/>
              </w:rPr>
            </w:pPr>
            <w:r w:rsidRPr="00343716">
              <w:rPr>
                <w:rFonts w:ascii="Arial" w:eastAsia="Calibri" w:hAnsi="Arial" w:cs="Arial"/>
                <w:color w:val="000000"/>
                <w:lang w:eastAsia="en-US"/>
              </w:rPr>
              <w:t>Proškolený a certifikovaný  technik</w:t>
            </w:r>
          </w:p>
        </w:tc>
      </w:tr>
      <w:tr w:rsidR="00343716" w:rsidRPr="00343716" w:rsidTr="00343716">
        <w:trPr>
          <w:trHeight w:val="322"/>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eastAsia="SimSun" w:hAnsi="Arial" w:cs="Arial"/>
                <w:bCs/>
                <w:lang w:eastAsia="en-US"/>
              </w:rPr>
            </w:pPr>
            <w:r w:rsidRPr="00343716">
              <w:rPr>
                <w:rFonts w:ascii="Arial" w:eastAsia="SimSun" w:hAnsi="Arial" w:cs="Arial"/>
                <w:bCs/>
                <w:lang w:eastAsia="en-US"/>
              </w:rPr>
              <w:t>Doprava dodaného HW a jeho implementace v místě sídla zadavatele.</w:t>
            </w:r>
          </w:p>
        </w:tc>
        <w:tc>
          <w:tcPr>
            <w:tcW w:w="1210"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lang w:eastAsia="en-US"/>
              </w:rPr>
            </w:pPr>
            <w:r w:rsidRPr="00343716">
              <w:rPr>
                <w:rFonts w:ascii="Arial" w:eastAsia="Calibri" w:hAnsi="Arial" w:cs="Arial"/>
                <w:lang w:eastAsia="en-US"/>
              </w:rPr>
              <w:t>ANO</w:t>
            </w:r>
          </w:p>
        </w:tc>
        <w:tc>
          <w:tcPr>
            <w:tcW w:w="2827"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rPr>
                <w:rFonts w:ascii="Arial" w:eastAsia="Calibri" w:hAnsi="Arial" w:cs="Arial"/>
                <w:color w:val="000000"/>
                <w:lang w:eastAsia="en-US"/>
              </w:rPr>
            </w:pPr>
            <w:r w:rsidRPr="00343716">
              <w:rPr>
                <w:rFonts w:ascii="Arial" w:eastAsia="Calibri" w:hAnsi="Arial" w:cs="Arial"/>
                <w:color w:val="000000"/>
                <w:lang w:eastAsia="en-US"/>
              </w:rPr>
              <w:t>Ano</w:t>
            </w:r>
          </w:p>
        </w:tc>
      </w:tr>
      <w:tr w:rsidR="00343716" w:rsidRPr="00343716" w:rsidTr="00343716">
        <w:trPr>
          <w:trHeight w:val="322"/>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eastAsia="SimSun" w:hAnsi="Arial" w:cs="Arial"/>
                <w:bCs/>
                <w:lang w:eastAsia="en-US"/>
              </w:rPr>
            </w:pPr>
            <w:r w:rsidRPr="00343716">
              <w:rPr>
                <w:rFonts w:ascii="Arial" w:eastAsia="SimSun" w:hAnsi="Arial" w:cs="Arial"/>
                <w:bCs/>
                <w:lang w:eastAsia="en-US"/>
              </w:rPr>
              <w:t>Záruka a technická podpora - na nabízené řešení a veškeré jeho komponenty požadujeme záruku a technickou podporu na 36 měsíců poskytovanou přímo výrobcem zařízení v tomto rozsahu:</w:t>
            </w:r>
          </w:p>
          <w:p w:rsidR="00343716" w:rsidRPr="00343716" w:rsidRDefault="00343716" w:rsidP="00343716">
            <w:pPr>
              <w:pStyle w:val="Odstavecseseznamem"/>
              <w:numPr>
                <w:ilvl w:val="0"/>
                <w:numId w:val="19"/>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započetí servisního zásahu nejpozději do 4 hodin po nahlášení závady v sídle zadavatele,</w:t>
            </w:r>
          </w:p>
          <w:p w:rsidR="00343716" w:rsidRPr="00343716" w:rsidRDefault="00343716" w:rsidP="00343716">
            <w:pPr>
              <w:pStyle w:val="Odstavecseseznamem"/>
              <w:numPr>
                <w:ilvl w:val="0"/>
                <w:numId w:val="19"/>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dostupnost podpory 24 hodin denně, 365 dní v roce,</w:t>
            </w:r>
          </w:p>
          <w:p w:rsidR="00343716" w:rsidRPr="00343716" w:rsidRDefault="00343716" w:rsidP="00343716">
            <w:pPr>
              <w:pStyle w:val="Odstavecseseznamem"/>
              <w:numPr>
                <w:ilvl w:val="0"/>
                <w:numId w:val="19"/>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podpora automatického hlášení závady a otevření incidentu,</w:t>
            </w:r>
          </w:p>
          <w:p w:rsidR="00343716" w:rsidRPr="00343716" w:rsidRDefault="00343716" w:rsidP="00343716">
            <w:pPr>
              <w:pStyle w:val="Odstavecseseznamem"/>
              <w:numPr>
                <w:ilvl w:val="0"/>
                <w:numId w:val="19"/>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možnost proaktivního monitoringu a návrhů aktualizací SW vybavení šasi,</w:t>
            </w:r>
          </w:p>
          <w:p w:rsidR="00343716" w:rsidRPr="00343716" w:rsidRDefault="00343716" w:rsidP="00343716">
            <w:pPr>
              <w:pStyle w:val="Odstavecseseznamem"/>
              <w:numPr>
                <w:ilvl w:val="0"/>
                <w:numId w:val="19"/>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možnost sledování servisních reportů prostřednictvím internetu.</w:t>
            </w:r>
          </w:p>
        </w:tc>
        <w:tc>
          <w:tcPr>
            <w:tcW w:w="1210"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lang w:eastAsia="en-US"/>
              </w:rPr>
            </w:pPr>
            <w:r w:rsidRPr="00343716">
              <w:rPr>
                <w:rFonts w:ascii="Arial" w:eastAsia="Calibri" w:hAnsi="Arial" w:cs="Arial"/>
                <w:lang w:eastAsia="en-US"/>
              </w:rPr>
              <w:t>ANO</w:t>
            </w:r>
          </w:p>
        </w:tc>
        <w:tc>
          <w:tcPr>
            <w:tcW w:w="2827" w:type="dxa"/>
            <w:tcBorders>
              <w:top w:val="single" w:sz="4" w:space="0" w:color="auto"/>
              <w:left w:val="nil"/>
              <w:bottom w:val="single" w:sz="4" w:space="0" w:color="auto"/>
              <w:right w:val="single" w:sz="4" w:space="0" w:color="auto"/>
            </w:tcBorders>
            <w:shd w:val="clear" w:color="auto" w:fill="FFFF00"/>
            <w:vAlign w:val="center"/>
          </w:tcPr>
          <w:p w:rsidR="00343716" w:rsidRPr="00343716" w:rsidRDefault="00343716">
            <w:pPr>
              <w:spacing w:line="256" w:lineRule="auto"/>
              <w:rPr>
                <w:rFonts w:ascii="Arial" w:eastAsia="Calibri" w:hAnsi="Arial" w:cs="Arial"/>
                <w:color w:val="000000"/>
                <w:lang w:eastAsia="en-US"/>
              </w:rPr>
            </w:pPr>
            <w:r w:rsidRPr="00343716">
              <w:rPr>
                <w:rFonts w:ascii="Arial" w:eastAsia="Calibri" w:hAnsi="Arial" w:cs="Arial"/>
                <w:color w:val="000000"/>
                <w:lang w:eastAsia="en-US"/>
              </w:rPr>
              <w:t xml:space="preserve">Je nabízen servis zajišťovaný přímo výrobcem, společností Dell. </w:t>
            </w:r>
          </w:p>
          <w:p w:rsidR="00343716" w:rsidRPr="00343716" w:rsidRDefault="00343716">
            <w:pPr>
              <w:spacing w:line="256" w:lineRule="auto"/>
              <w:rPr>
                <w:rFonts w:ascii="Arial" w:eastAsia="Calibri" w:hAnsi="Arial" w:cs="Arial"/>
                <w:color w:val="000000"/>
                <w:lang w:eastAsia="en-US"/>
              </w:rPr>
            </w:pPr>
            <w:r w:rsidRPr="00343716">
              <w:rPr>
                <w:rFonts w:ascii="Arial" w:eastAsia="Calibri" w:hAnsi="Arial" w:cs="Arial"/>
                <w:color w:val="000000"/>
                <w:lang w:eastAsia="en-US"/>
              </w:rPr>
              <w:t>Zvolený druh servisního zabezpečení = ProSupport 4hod Mission Critical, 3 roky.</w:t>
            </w:r>
          </w:p>
          <w:p w:rsidR="00343716" w:rsidRPr="00343716" w:rsidRDefault="00343716">
            <w:pPr>
              <w:spacing w:line="256" w:lineRule="auto"/>
              <w:rPr>
                <w:rFonts w:ascii="Arial" w:eastAsia="Calibri" w:hAnsi="Arial" w:cs="Arial"/>
                <w:color w:val="000000"/>
                <w:lang w:eastAsia="en-US"/>
              </w:rPr>
            </w:pPr>
          </w:p>
          <w:p w:rsidR="00343716" w:rsidRPr="00343716" w:rsidRDefault="00343716">
            <w:pPr>
              <w:spacing w:line="256" w:lineRule="auto"/>
              <w:rPr>
                <w:rFonts w:ascii="Arial" w:eastAsia="Calibri" w:hAnsi="Arial" w:cs="Arial"/>
                <w:color w:val="000000"/>
                <w:lang w:eastAsia="en-US"/>
              </w:rPr>
            </w:pPr>
            <w:r w:rsidRPr="00343716">
              <w:rPr>
                <w:rFonts w:ascii="Arial" w:eastAsia="Calibri" w:hAnsi="Arial" w:cs="Arial"/>
                <w:color w:val="000000"/>
                <w:lang w:eastAsia="en-US"/>
              </w:rPr>
              <w:t xml:space="preserve">Tento typ servisního zabezpečení splňuje všechny požadavky specifikované Zadavatelem v této části zadání. </w:t>
            </w:r>
          </w:p>
        </w:tc>
      </w:tr>
      <w:tr w:rsidR="00343716" w:rsidRPr="00343716" w:rsidTr="00343716">
        <w:trPr>
          <w:trHeight w:val="322"/>
        </w:trPr>
        <w:tc>
          <w:tcPr>
            <w:tcW w:w="9639" w:type="dxa"/>
            <w:gridSpan w:val="3"/>
            <w:tcBorders>
              <w:top w:val="nil"/>
              <w:left w:val="single" w:sz="4" w:space="0" w:color="auto"/>
              <w:bottom w:val="single" w:sz="4" w:space="0" w:color="auto"/>
              <w:right w:val="single" w:sz="4" w:space="0" w:color="auto"/>
            </w:tcBorders>
            <w:vAlign w:val="center"/>
            <w:hideMark/>
          </w:tcPr>
          <w:p w:rsidR="00343716" w:rsidRPr="00343716" w:rsidRDefault="00343716">
            <w:pPr>
              <w:spacing w:line="256" w:lineRule="auto"/>
              <w:rPr>
                <w:rFonts w:ascii="Arial" w:eastAsia="Calibri" w:hAnsi="Arial" w:cs="Arial"/>
                <w:b/>
                <w:lang w:eastAsia="en-US"/>
              </w:rPr>
            </w:pPr>
            <w:r w:rsidRPr="00343716">
              <w:rPr>
                <w:rFonts w:ascii="Arial" w:eastAsia="Calibri" w:hAnsi="Arial" w:cs="Arial"/>
                <w:b/>
                <w:lang w:eastAsia="en-US"/>
              </w:rPr>
              <w:t>Blade šasi</w:t>
            </w:r>
          </w:p>
          <w:p w:rsidR="00343716" w:rsidRPr="00343716" w:rsidRDefault="00343716">
            <w:pPr>
              <w:spacing w:line="256" w:lineRule="auto"/>
              <w:rPr>
                <w:rFonts w:ascii="Arial" w:eastAsia="Calibri" w:hAnsi="Arial" w:cs="Arial"/>
                <w:b/>
                <w:lang w:eastAsia="en-US"/>
              </w:rPr>
            </w:pPr>
            <w:r w:rsidRPr="00343716">
              <w:rPr>
                <w:rFonts w:ascii="Arial" w:eastAsia="Calibri" w:hAnsi="Arial" w:cs="Arial"/>
                <w:b/>
                <w:lang w:eastAsia="en-US"/>
              </w:rPr>
              <w:t>1 ks</w:t>
            </w:r>
          </w:p>
        </w:tc>
      </w:tr>
      <w:tr w:rsidR="00343716" w:rsidRPr="00343716" w:rsidTr="00343716">
        <w:trPr>
          <w:trHeight w:val="322"/>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eastAsia="MS Mincho" w:hAnsi="Arial" w:cs="Arial"/>
                <w:lang w:eastAsia="en-US"/>
              </w:rPr>
            </w:pPr>
            <w:r w:rsidRPr="00343716">
              <w:rPr>
                <w:rFonts w:ascii="Arial" w:eastAsia="Calibri" w:hAnsi="Arial" w:cs="Arial"/>
                <w:b/>
                <w:lang w:eastAsia="en-US"/>
              </w:rPr>
              <w:t xml:space="preserve">Značka/typ </w:t>
            </w:r>
            <w:r w:rsidRPr="00343716">
              <w:rPr>
                <w:rFonts w:ascii="Arial" w:eastAsia="Calibri" w:hAnsi="Arial" w:cs="Arial"/>
                <w:lang w:eastAsia="en-US"/>
              </w:rPr>
              <w:t>(doplní uchazeč)</w:t>
            </w:r>
            <w:r w:rsidRPr="00343716">
              <w:rPr>
                <w:rFonts w:ascii="Arial" w:eastAsia="Calibri" w:hAnsi="Arial" w:cs="Arial"/>
                <w:b/>
                <w:lang w:eastAsia="en-US"/>
              </w:rPr>
              <w:t>:</w:t>
            </w:r>
          </w:p>
        </w:tc>
        <w:tc>
          <w:tcPr>
            <w:tcW w:w="4037" w:type="dxa"/>
            <w:gridSpan w:val="2"/>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color w:val="000000"/>
                <w:lang w:eastAsia="en-US"/>
              </w:rPr>
            </w:pPr>
            <w:r w:rsidRPr="00343716">
              <w:rPr>
                <w:rFonts w:ascii="Arial" w:eastAsia="Calibri" w:hAnsi="Arial" w:cs="Arial"/>
                <w:color w:val="000000"/>
                <w:lang w:eastAsia="en-US"/>
              </w:rPr>
              <w:t>Dell PowerEdge MX7000</w:t>
            </w:r>
          </w:p>
        </w:tc>
      </w:tr>
      <w:tr w:rsidR="00343716" w:rsidRPr="00343716" w:rsidTr="00343716">
        <w:trPr>
          <w:trHeight w:val="322"/>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eastAsia="SimSun" w:hAnsi="Arial" w:cs="Arial"/>
                <w:bCs/>
                <w:lang w:eastAsia="en-US"/>
              </w:rPr>
            </w:pPr>
            <w:r w:rsidRPr="00343716">
              <w:rPr>
                <w:rFonts w:ascii="Arial" w:eastAsia="MS Mincho" w:hAnsi="Arial" w:cs="Arial"/>
                <w:lang w:eastAsia="en-US"/>
              </w:rPr>
              <w:t>Velikost šasi maximálně 10U.</w:t>
            </w:r>
          </w:p>
        </w:tc>
        <w:tc>
          <w:tcPr>
            <w:tcW w:w="1210"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lang w:eastAsia="en-US"/>
              </w:rPr>
            </w:pPr>
            <w:r w:rsidRPr="00343716">
              <w:rPr>
                <w:rFonts w:ascii="Arial" w:eastAsia="Calibri" w:hAnsi="Arial" w:cs="Arial"/>
                <w:lang w:eastAsia="en-US"/>
              </w:rPr>
              <w:t>ANO</w:t>
            </w:r>
          </w:p>
        </w:tc>
        <w:tc>
          <w:tcPr>
            <w:tcW w:w="2827"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color w:val="000000"/>
                <w:lang w:eastAsia="en-US"/>
              </w:rPr>
            </w:pPr>
            <w:r w:rsidRPr="00343716">
              <w:rPr>
                <w:rFonts w:ascii="Arial" w:eastAsia="Calibri" w:hAnsi="Arial" w:cs="Arial"/>
                <w:color w:val="000000"/>
                <w:lang w:eastAsia="en-US"/>
              </w:rPr>
              <w:t>7U</w:t>
            </w:r>
          </w:p>
        </w:tc>
      </w:tr>
      <w:tr w:rsidR="00343716" w:rsidRPr="00343716" w:rsidTr="00343716">
        <w:trPr>
          <w:trHeight w:val="322"/>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eastAsia="SimSun" w:hAnsi="Arial" w:cs="Arial"/>
                <w:bCs/>
                <w:lang w:eastAsia="en-US"/>
              </w:rPr>
            </w:pPr>
            <w:r w:rsidRPr="00343716">
              <w:rPr>
                <w:rFonts w:ascii="Arial" w:eastAsia="MS Mincho" w:hAnsi="Arial" w:cs="Arial"/>
                <w:lang w:eastAsia="en-US"/>
              </w:rPr>
              <w:t>Možnost osazení šasi servery – minimálně 8x dvouprocesorový server.</w:t>
            </w:r>
          </w:p>
        </w:tc>
        <w:tc>
          <w:tcPr>
            <w:tcW w:w="1210"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lang w:eastAsia="en-US"/>
              </w:rPr>
            </w:pPr>
            <w:r w:rsidRPr="00343716">
              <w:rPr>
                <w:rFonts w:ascii="Arial" w:eastAsia="Calibri" w:hAnsi="Arial" w:cs="Arial"/>
                <w:lang w:eastAsia="en-US"/>
              </w:rPr>
              <w:t>ANO</w:t>
            </w:r>
          </w:p>
        </w:tc>
        <w:tc>
          <w:tcPr>
            <w:tcW w:w="2827"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color w:val="000000"/>
                <w:lang w:eastAsia="en-US"/>
              </w:rPr>
            </w:pPr>
            <w:r w:rsidRPr="00343716">
              <w:rPr>
                <w:rFonts w:ascii="Arial" w:eastAsia="Calibri" w:hAnsi="Arial" w:cs="Arial"/>
                <w:color w:val="000000"/>
                <w:lang w:eastAsia="en-US"/>
              </w:rPr>
              <w:t>Možnost až 8 full width serverů</w:t>
            </w:r>
          </w:p>
        </w:tc>
      </w:tr>
      <w:tr w:rsidR="00343716" w:rsidRPr="00343716" w:rsidTr="00343716">
        <w:trPr>
          <w:trHeight w:val="322"/>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eastAsia="SimSun" w:hAnsi="Arial" w:cs="Arial"/>
                <w:bCs/>
                <w:lang w:eastAsia="en-US"/>
              </w:rPr>
            </w:pPr>
            <w:r w:rsidRPr="00343716">
              <w:rPr>
                <w:rFonts w:ascii="Arial" w:eastAsia="MS Mincho" w:hAnsi="Arial" w:cs="Arial"/>
                <w:lang w:eastAsia="en-US"/>
              </w:rPr>
              <w:t>Možnost osazení šasi diskovými moduly – minimálně 6x diskový modul.</w:t>
            </w:r>
          </w:p>
        </w:tc>
        <w:tc>
          <w:tcPr>
            <w:tcW w:w="1210"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lang w:eastAsia="en-US"/>
              </w:rPr>
            </w:pPr>
            <w:r w:rsidRPr="00343716">
              <w:rPr>
                <w:rFonts w:ascii="Arial" w:eastAsia="Calibri" w:hAnsi="Arial" w:cs="Arial"/>
                <w:lang w:eastAsia="en-US"/>
              </w:rPr>
              <w:t>ANO</w:t>
            </w:r>
          </w:p>
        </w:tc>
        <w:tc>
          <w:tcPr>
            <w:tcW w:w="2827"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color w:val="000000"/>
                <w:lang w:eastAsia="en-US"/>
              </w:rPr>
            </w:pPr>
            <w:r w:rsidRPr="00343716">
              <w:rPr>
                <w:rFonts w:ascii="Arial" w:eastAsia="Calibri" w:hAnsi="Arial" w:cs="Arial"/>
                <w:color w:val="000000"/>
                <w:lang w:eastAsia="en-US"/>
              </w:rPr>
              <w:t>Až 7 storage modulů</w:t>
            </w:r>
          </w:p>
        </w:tc>
      </w:tr>
      <w:tr w:rsidR="00343716" w:rsidRPr="00343716" w:rsidTr="00343716">
        <w:trPr>
          <w:trHeight w:val="322"/>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eastAsia="SimSun" w:hAnsi="Arial" w:cs="Arial"/>
                <w:bCs/>
                <w:lang w:eastAsia="en-US"/>
              </w:rPr>
            </w:pPr>
            <w:r w:rsidRPr="00343716">
              <w:rPr>
                <w:rFonts w:ascii="Arial" w:eastAsia="MS Mincho" w:hAnsi="Arial" w:cs="Arial"/>
                <w:lang w:eastAsia="en-US"/>
              </w:rPr>
              <w:t>Možnost osazení šasi I/O moduly – minimálně 6x I/O modul s možností volby mezi průchozím modulem nebo plnohodnotným I/O přepínačem.</w:t>
            </w:r>
          </w:p>
        </w:tc>
        <w:tc>
          <w:tcPr>
            <w:tcW w:w="1210"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lang w:eastAsia="en-US"/>
              </w:rPr>
            </w:pPr>
            <w:r w:rsidRPr="00343716">
              <w:rPr>
                <w:rFonts w:ascii="Arial" w:eastAsia="Calibri" w:hAnsi="Arial" w:cs="Arial"/>
                <w:lang w:eastAsia="en-US"/>
              </w:rPr>
              <w:t>ANO</w:t>
            </w:r>
          </w:p>
        </w:tc>
        <w:tc>
          <w:tcPr>
            <w:tcW w:w="2827"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color w:val="000000"/>
                <w:lang w:eastAsia="en-US"/>
              </w:rPr>
            </w:pPr>
            <w:r w:rsidRPr="00343716">
              <w:rPr>
                <w:rFonts w:ascii="Arial" w:eastAsia="Calibri" w:hAnsi="Arial" w:cs="Arial"/>
                <w:color w:val="000000"/>
                <w:lang w:eastAsia="en-US"/>
              </w:rPr>
              <w:t>Možnost 3+3 I/O moduly</w:t>
            </w:r>
          </w:p>
        </w:tc>
      </w:tr>
      <w:tr w:rsidR="00343716" w:rsidRPr="00343716" w:rsidTr="00343716">
        <w:trPr>
          <w:trHeight w:val="322"/>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eastAsia="SimSun" w:hAnsi="Arial" w:cs="Arial"/>
                <w:bCs/>
                <w:lang w:eastAsia="en-US"/>
              </w:rPr>
            </w:pPr>
            <w:r w:rsidRPr="00343716">
              <w:rPr>
                <w:rFonts w:ascii="Arial" w:eastAsia="SimSun" w:hAnsi="Arial" w:cs="Arial"/>
                <w:bCs/>
                <w:lang w:eastAsia="en-US"/>
              </w:rPr>
              <w:t>Pro nabízené řešení musí být dostupné minimálně I/O moduly tohoto typu:</w:t>
            </w:r>
          </w:p>
          <w:p w:rsidR="00343716" w:rsidRPr="00343716" w:rsidRDefault="00343716" w:rsidP="00343716">
            <w:pPr>
              <w:pStyle w:val="Odstavecseseznamem"/>
              <w:numPr>
                <w:ilvl w:val="0"/>
                <w:numId w:val="20"/>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LAN,</w:t>
            </w:r>
          </w:p>
          <w:p w:rsidR="00343716" w:rsidRPr="00343716" w:rsidRDefault="00343716" w:rsidP="00343716">
            <w:pPr>
              <w:pStyle w:val="Odstavecseseznamem"/>
              <w:numPr>
                <w:ilvl w:val="0"/>
                <w:numId w:val="20"/>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FC,</w:t>
            </w:r>
          </w:p>
          <w:p w:rsidR="00343716" w:rsidRPr="00343716" w:rsidRDefault="00343716" w:rsidP="00343716">
            <w:pPr>
              <w:pStyle w:val="Odstavecseseznamem"/>
              <w:numPr>
                <w:ilvl w:val="0"/>
                <w:numId w:val="20"/>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SAS.</w:t>
            </w:r>
          </w:p>
        </w:tc>
        <w:tc>
          <w:tcPr>
            <w:tcW w:w="1210"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lang w:eastAsia="en-US"/>
              </w:rPr>
            </w:pPr>
            <w:r w:rsidRPr="00343716">
              <w:rPr>
                <w:rFonts w:ascii="Arial" w:eastAsia="Calibri" w:hAnsi="Arial" w:cs="Arial"/>
                <w:lang w:eastAsia="en-US"/>
              </w:rPr>
              <w:t>ANO</w:t>
            </w:r>
          </w:p>
        </w:tc>
        <w:tc>
          <w:tcPr>
            <w:tcW w:w="2827"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rPr>
                <w:rFonts w:ascii="Arial" w:eastAsia="Calibri" w:hAnsi="Arial" w:cs="Arial"/>
                <w:color w:val="000000"/>
                <w:lang w:eastAsia="en-US"/>
              </w:rPr>
            </w:pPr>
            <w:r w:rsidRPr="00343716">
              <w:rPr>
                <w:rFonts w:ascii="Arial" w:eastAsia="Calibri" w:hAnsi="Arial" w:cs="Arial"/>
                <w:color w:val="000000"/>
                <w:lang w:eastAsia="en-US"/>
              </w:rPr>
              <w:t>Podporuje všechny zmíněné typy</w:t>
            </w:r>
          </w:p>
        </w:tc>
      </w:tr>
      <w:tr w:rsidR="00343716" w:rsidRPr="00343716" w:rsidTr="00343716">
        <w:trPr>
          <w:trHeight w:val="322"/>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eastAsia="SimSun" w:hAnsi="Arial" w:cs="Arial"/>
                <w:bCs/>
                <w:lang w:eastAsia="en-US"/>
              </w:rPr>
            </w:pPr>
            <w:r w:rsidRPr="00343716">
              <w:rPr>
                <w:rFonts w:ascii="Arial" w:eastAsia="SimSun" w:hAnsi="Arial" w:cs="Arial"/>
                <w:bCs/>
                <w:lang w:eastAsia="en-US"/>
              </w:rPr>
              <w:t>Management šasi:</w:t>
            </w:r>
          </w:p>
          <w:p w:rsidR="00343716" w:rsidRPr="00343716" w:rsidRDefault="00343716" w:rsidP="00343716">
            <w:pPr>
              <w:pStyle w:val="Odstavecseseznamem"/>
              <w:numPr>
                <w:ilvl w:val="0"/>
                <w:numId w:val="21"/>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 xml:space="preserve">Blade šasi musí být osazené alespoň 2x řídícím management modulem pro vzdálenou správu v </w:t>
            </w:r>
            <w:r w:rsidRPr="00343716">
              <w:rPr>
                <w:rFonts w:ascii="Arial" w:eastAsia="SimSun" w:hAnsi="Arial" w:cs="Arial"/>
                <w:bCs/>
                <w:lang w:eastAsia="en-US"/>
              </w:rPr>
              <w:lastRenderedPageBreak/>
              <w:t xml:space="preserve">redundantním režimu, každý modul s dedikovanými ethernet porty do </w:t>
            </w:r>
            <w:proofErr w:type="gramStart"/>
            <w:r w:rsidRPr="00343716">
              <w:rPr>
                <w:rFonts w:ascii="Arial" w:eastAsia="SimSun" w:hAnsi="Arial" w:cs="Arial"/>
                <w:bCs/>
                <w:lang w:eastAsia="en-US"/>
              </w:rPr>
              <w:t>management</w:t>
            </w:r>
            <w:proofErr w:type="gramEnd"/>
            <w:r w:rsidRPr="00343716">
              <w:rPr>
                <w:rFonts w:ascii="Arial" w:eastAsia="SimSun" w:hAnsi="Arial" w:cs="Arial"/>
                <w:bCs/>
                <w:lang w:eastAsia="en-US"/>
              </w:rPr>
              <w:t xml:space="preserve"> LAN a portem pro kaskádování managementu  (min 2x 1GBase-T) při nasazení vice blade šasi, </w:t>
            </w:r>
          </w:p>
          <w:p w:rsidR="00343716" w:rsidRPr="00343716" w:rsidRDefault="00343716" w:rsidP="00343716">
            <w:pPr>
              <w:pStyle w:val="Odstavecseseznamem"/>
              <w:numPr>
                <w:ilvl w:val="0"/>
                <w:numId w:val="21"/>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Management musí být vybaven vlastním HTML5 GUI, dostupný přes SSH/CLI,</w:t>
            </w:r>
          </w:p>
          <w:p w:rsidR="00343716" w:rsidRPr="00343716" w:rsidRDefault="00343716" w:rsidP="00343716">
            <w:pPr>
              <w:pStyle w:val="Odstavecseseznamem"/>
              <w:numPr>
                <w:ilvl w:val="0"/>
                <w:numId w:val="21"/>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Management šasi musí obsahovat potřebný (HW, SW) aby bylo možné vzájemně propojit, v případě nasazení více blade šasi stejného typu, do jednoho funkčního celku,</w:t>
            </w:r>
          </w:p>
          <w:p w:rsidR="00343716" w:rsidRPr="00343716" w:rsidRDefault="00343716" w:rsidP="00343716">
            <w:pPr>
              <w:pStyle w:val="Odstavecseseznamem"/>
              <w:numPr>
                <w:ilvl w:val="0"/>
                <w:numId w:val="21"/>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Součástí vestavěného managementu musí být řešení pro správu, dohled,  deployment a provisioning HW (včetně potřebného HW, SW vybavení),</w:t>
            </w:r>
          </w:p>
        </w:tc>
        <w:tc>
          <w:tcPr>
            <w:tcW w:w="1210"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lang w:eastAsia="en-US"/>
              </w:rPr>
            </w:pPr>
            <w:r w:rsidRPr="00343716">
              <w:rPr>
                <w:rFonts w:ascii="Arial" w:eastAsia="Calibri" w:hAnsi="Arial" w:cs="Arial"/>
                <w:lang w:eastAsia="en-US"/>
              </w:rPr>
              <w:lastRenderedPageBreak/>
              <w:t>ANO</w:t>
            </w:r>
          </w:p>
        </w:tc>
        <w:tc>
          <w:tcPr>
            <w:tcW w:w="2827"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color w:val="000000"/>
                <w:lang w:eastAsia="en-US"/>
              </w:rPr>
            </w:pPr>
            <w:r w:rsidRPr="00343716">
              <w:rPr>
                <w:rFonts w:ascii="Arial" w:eastAsia="Calibri" w:hAnsi="Arial" w:cs="Arial"/>
                <w:color w:val="000000"/>
                <w:lang w:eastAsia="en-US"/>
              </w:rPr>
              <w:t xml:space="preserve">Blade šasi obsahuje 2 moduly s 2x LAN management portem s možností kaskádového zapojení </w:t>
            </w:r>
            <w:r w:rsidRPr="00343716">
              <w:rPr>
                <w:rFonts w:ascii="Arial" w:eastAsia="Calibri" w:hAnsi="Arial" w:cs="Arial"/>
                <w:color w:val="000000"/>
                <w:lang w:eastAsia="en-US"/>
              </w:rPr>
              <w:lastRenderedPageBreak/>
              <w:t>v případě zapojení více šasi stejného typu. Pro mgmt je využito iDrac rozhraní a OpenManage</w:t>
            </w:r>
          </w:p>
        </w:tc>
      </w:tr>
      <w:tr w:rsidR="00343716" w:rsidRPr="00343716" w:rsidTr="00343716">
        <w:trPr>
          <w:trHeight w:val="322"/>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eastAsia="SimSun" w:hAnsi="Arial" w:cs="Arial"/>
                <w:bCs/>
                <w:lang w:eastAsia="en-US"/>
              </w:rPr>
            </w:pPr>
            <w:r w:rsidRPr="00343716">
              <w:rPr>
                <w:rFonts w:ascii="Arial" w:eastAsia="SimSun" w:hAnsi="Arial" w:cs="Arial"/>
                <w:bCs/>
                <w:lang w:eastAsia="en-US"/>
              </w:rPr>
              <w:lastRenderedPageBreak/>
              <w:t>Napájení a chlazení:</w:t>
            </w:r>
          </w:p>
          <w:p w:rsidR="00343716" w:rsidRPr="00343716" w:rsidRDefault="00343716" w:rsidP="00343716">
            <w:pPr>
              <w:pStyle w:val="Odstavecseseznamem"/>
              <w:numPr>
                <w:ilvl w:val="0"/>
                <w:numId w:val="22"/>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Šasi musí být vybaveno redundantními komponentami chlazení a napájení</w:t>
            </w:r>
          </w:p>
          <w:p w:rsidR="00343716" w:rsidRPr="00343716" w:rsidRDefault="00343716" w:rsidP="00343716">
            <w:pPr>
              <w:pStyle w:val="Odstavecseseznamem"/>
              <w:numPr>
                <w:ilvl w:val="0"/>
                <w:numId w:val="22"/>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 xml:space="preserve">Šasi musí být osazeno minimálně 6x napájecími zdroji, které musí umožňovat nastavení rozložení zátěže na </w:t>
            </w:r>
            <w:proofErr w:type="gramStart"/>
            <w:r w:rsidRPr="00343716">
              <w:rPr>
                <w:rFonts w:ascii="Arial" w:eastAsia="SimSun" w:hAnsi="Arial" w:cs="Arial"/>
                <w:bCs/>
                <w:lang w:eastAsia="en-US"/>
              </w:rPr>
              <w:t>tří</w:t>
            </w:r>
            <w:proofErr w:type="gramEnd"/>
            <w:r w:rsidRPr="00343716">
              <w:rPr>
                <w:rFonts w:ascii="Arial" w:eastAsia="SimSun" w:hAnsi="Arial" w:cs="Arial"/>
                <w:bCs/>
                <w:lang w:eastAsia="en-US"/>
              </w:rPr>
              <w:t xml:space="preserve"> fázové </w:t>
            </w:r>
            <w:proofErr w:type="gramStart"/>
            <w:r w:rsidRPr="00343716">
              <w:rPr>
                <w:rFonts w:ascii="Arial" w:eastAsia="SimSun" w:hAnsi="Arial" w:cs="Arial"/>
                <w:bCs/>
                <w:lang w:eastAsia="en-US"/>
              </w:rPr>
              <w:t>napájení</w:t>
            </w:r>
            <w:proofErr w:type="gramEnd"/>
            <w:r w:rsidRPr="00343716">
              <w:rPr>
                <w:rFonts w:ascii="Arial" w:eastAsia="SimSun" w:hAnsi="Arial" w:cs="Arial"/>
                <w:bCs/>
                <w:lang w:eastAsia="en-US"/>
              </w:rPr>
              <w:t xml:space="preserve"> po dvou zdrojích na každou fázi</w:t>
            </w:r>
          </w:p>
          <w:p w:rsidR="00343716" w:rsidRPr="00343716" w:rsidRDefault="00343716" w:rsidP="00343716">
            <w:pPr>
              <w:pStyle w:val="Odstavecseseznamem"/>
              <w:numPr>
                <w:ilvl w:val="0"/>
                <w:numId w:val="22"/>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 xml:space="preserve">Včetně 6 ks napájecích kabelů. </w:t>
            </w:r>
          </w:p>
        </w:tc>
        <w:tc>
          <w:tcPr>
            <w:tcW w:w="1210"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rPr>
                <w:rFonts w:ascii="Arial" w:eastAsia="Calibri" w:hAnsi="Arial" w:cs="Arial"/>
                <w:lang w:eastAsia="en-US"/>
              </w:rPr>
            </w:pPr>
            <w:r w:rsidRPr="00343716">
              <w:rPr>
                <w:rFonts w:ascii="Arial" w:eastAsia="Calibri" w:hAnsi="Arial" w:cs="Arial"/>
                <w:lang w:eastAsia="en-US"/>
              </w:rPr>
              <w:t>ANO</w:t>
            </w:r>
          </w:p>
        </w:tc>
        <w:tc>
          <w:tcPr>
            <w:tcW w:w="2827"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rPr>
                <w:rFonts w:ascii="Arial" w:eastAsia="Calibri" w:hAnsi="Arial" w:cs="Arial"/>
                <w:color w:val="000000"/>
                <w:lang w:eastAsia="en-US"/>
              </w:rPr>
            </w:pPr>
            <w:r w:rsidRPr="00343716">
              <w:rPr>
                <w:rFonts w:ascii="Arial" w:eastAsia="Calibri" w:hAnsi="Arial" w:cs="Arial"/>
                <w:color w:val="000000"/>
                <w:lang w:eastAsia="en-US"/>
              </w:rPr>
              <w:t>4x Front Redundant (3+1) fan</w:t>
            </w:r>
          </w:p>
          <w:p w:rsidR="00343716" w:rsidRPr="00343716" w:rsidRDefault="00343716">
            <w:pPr>
              <w:spacing w:line="256" w:lineRule="auto"/>
              <w:rPr>
                <w:rFonts w:ascii="Arial" w:eastAsia="Calibri" w:hAnsi="Arial" w:cs="Arial"/>
                <w:color w:val="000000"/>
                <w:lang w:eastAsia="en-US"/>
              </w:rPr>
            </w:pPr>
            <w:r w:rsidRPr="00343716">
              <w:rPr>
                <w:rFonts w:ascii="Arial" w:eastAsia="Calibri" w:hAnsi="Arial" w:cs="Arial"/>
                <w:color w:val="000000"/>
                <w:lang w:eastAsia="en-US"/>
              </w:rPr>
              <w:t>5x Rear Redundant (4+1) fan</w:t>
            </w:r>
          </w:p>
          <w:p w:rsidR="00343716" w:rsidRPr="00343716" w:rsidRDefault="00343716">
            <w:pPr>
              <w:spacing w:line="256" w:lineRule="auto"/>
              <w:rPr>
                <w:rFonts w:ascii="Arial" w:eastAsia="Calibri" w:hAnsi="Arial" w:cs="Arial"/>
                <w:color w:val="000000"/>
                <w:lang w:eastAsia="en-US"/>
              </w:rPr>
            </w:pPr>
            <w:r w:rsidRPr="00343716">
              <w:rPr>
                <w:rFonts w:ascii="Arial" w:eastAsia="Calibri" w:hAnsi="Arial" w:cs="Arial"/>
                <w:color w:val="000000"/>
                <w:lang w:eastAsia="en-US"/>
              </w:rPr>
              <w:t>6x PSU 3000W Platinum</w:t>
            </w:r>
          </w:p>
          <w:p w:rsidR="00343716" w:rsidRPr="00343716" w:rsidRDefault="00343716">
            <w:pPr>
              <w:spacing w:line="256" w:lineRule="auto"/>
              <w:rPr>
                <w:rFonts w:ascii="Arial" w:eastAsia="Calibri" w:hAnsi="Arial" w:cs="Arial"/>
                <w:color w:val="000000"/>
                <w:lang w:eastAsia="en-US"/>
              </w:rPr>
            </w:pPr>
            <w:r w:rsidRPr="00343716">
              <w:rPr>
                <w:rFonts w:ascii="Arial" w:eastAsia="Calibri" w:hAnsi="Arial" w:cs="Arial"/>
                <w:color w:val="000000"/>
                <w:lang w:eastAsia="en-US"/>
              </w:rPr>
              <w:t>6x Napájecí kabel</w:t>
            </w:r>
          </w:p>
        </w:tc>
      </w:tr>
      <w:tr w:rsidR="00343716" w:rsidRPr="00343716" w:rsidTr="00343716">
        <w:trPr>
          <w:trHeight w:val="322"/>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eastAsia="SimSun" w:hAnsi="Arial" w:cs="Arial"/>
                <w:bCs/>
                <w:lang w:eastAsia="en-US"/>
              </w:rPr>
            </w:pPr>
            <w:r w:rsidRPr="00343716">
              <w:rPr>
                <w:rFonts w:ascii="Arial" w:eastAsia="SimSun" w:hAnsi="Arial" w:cs="Arial"/>
                <w:bCs/>
                <w:lang w:eastAsia="en-US"/>
              </w:rPr>
              <w:t xml:space="preserve">Součástí šasi musí být následující příslušenství: </w:t>
            </w:r>
          </w:p>
          <w:p w:rsidR="00343716" w:rsidRPr="00343716" w:rsidRDefault="00343716" w:rsidP="00343716">
            <w:pPr>
              <w:pStyle w:val="Odstavecseseznamem"/>
              <w:numPr>
                <w:ilvl w:val="0"/>
                <w:numId w:val="23"/>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8 ks síťový kabel 40GbE (QSFP+) to 4 x 10GbE SFP+ o délce 3 metry,</w:t>
            </w:r>
          </w:p>
          <w:p w:rsidR="00343716" w:rsidRPr="00343716" w:rsidRDefault="00343716" w:rsidP="00343716">
            <w:pPr>
              <w:pStyle w:val="Odstavecseseznamem"/>
              <w:numPr>
                <w:ilvl w:val="0"/>
                <w:numId w:val="23"/>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2 ks síťový kabel  200GbE QSFP28-DD  o délce 0,5 metru.</w:t>
            </w:r>
          </w:p>
        </w:tc>
        <w:tc>
          <w:tcPr>
            <w:tcW w:w="1210"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rPr>
                <w:rFonts w:ascii="Arial" w:eastAsia="Calibri" w:hAnsi="Arial" w:cs="Arial"/>
                <w:lang w:eastAsia="en-US"/>
              </w:rPr>
            </w:pPr>
            <w:r w:rsidRPr="00343716">
              <w:rPr>
                <w:rFonts w:ascii="Arial" w:eastAsia="Calibri" w:hAnsi="Arial" w:cs="Arial"/>
                <w:lang w:eastAsia="en-US"/>
              </w:rPr>
              <w:t>ANO</w:t>
            </w:r>
          </w:p>
        </w:tc>
        <w:tc>
          <w:tcPr>
            <w:tcW w:w="2827"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rPr>
                <w:rFonts w:ascii="Arial" w:eastAsia="SimSun" w:hAnsi="Arial" w:cs="Arial"/>
                <w:bCs/>
                <w:lang w:eastAsia="en-US"/>
              </w:rPr>
            </w:pPr>
            <w:r w:rsidRPr="00343716">
              <w:rPr>
                <w:rFonts w:ascii="Arial" w:eastAsia="Calibri" w:hAnsi="Arial" w:cs="Arial"/>
                <w:color w:val="000000"/>
                <w:lang w:eastAsia="en-US"/>
              </w:rPr>
              <w:t xml:space="preserve">8x </w:t>
            </w:r>
            <w:r w:rsidRPr="00343716">
              <w:rPr>
                <w:rFonts w:ascii="Arial" w:eastAsia="SimSun" w:hAnsi="Arial" w:cs="Arial"/>
                <w:bCs/>
                <w:lang w:eastAsia="en-US"/>
              </w:rPr>
              <w:t>40GbE (QSFP+) to 4 x 10GbE SFP+ 3m</w:t>
            </w:r>
          </w:p>
          <w:p w:rsidR="00343716" w:rsidRPr="00343716" w:rsidRDefault="00343716">
            <w:pPr>
              <w:spacing w:line="256" w:lineRule="auto"/>
              <w:rPr>
                <w:rFonts w:ascii="Arial" w:eastAsia="Calibri" w:hAnsi="Arial" w:cs="Arial"/>
                <w:color w:val="000000"/>
                <w:lang w:eastAsia="en-US"/>
              </w:rPr>
            </w:pPr>
            <w:r w:rsidRPr="00343716">
              <w:rPr>
                <w:rFonts w:ascii="Arial" w:eastAsia="SimSun" w:hAnsi="Arial" w:cs="Arial"/>
                <w:bCs/>
                <w:lang w:eastAsia="en-US"/>
              </w:rPr>
              <w:t>2x 200GbE QSFP28-DD 2m</w:t>
            </w:r>
          </w:p>
        </w:tc>
      </w:tr>
      <w:tr w:rsidR="00343716" w:rsidRPr="00343716" w:rsidTr="00343716">
        <w:trPr>
          <w:trHeight w:val="322"/>
        </w:trPr>
        <w:tc>
          <w:tcPr>
            <w:tcW w:w="9639" w:type="dxa"/>
            <w:gridSpan w:val="3"/>
            <w:tcBorders>
              <w:top w:val="nil"/>
              <w:left w:val="single" w:sz="4" w:space="0" w:color="auto"/>
              <w:bottom w:val="single" w:sz="4" w:space="0" w:color="auto"/>
              <w:right w:val="single" w:sz="4" w:space="0" w:color="auto"/>
            </w:tcBorders>
            <w:vAlign w:val="center"/>
            <w:hideMark/>
          </w:tcPr>
          <w:p w:rsidR="00343716" w:rsidRPr="00343716" w:rsidRDefault="00343716">
            <w:pPr>
              <w:spacing w:line="256" w:lineRule="auto"/>
              <w:rPr>
                <w:rFonts w:ascii="Arial" w:eastAsia="Calibri" w:hAnsi="Arial" w:cs="Arial"/>
                <w:b/>
                <w:lang w:eastAsia="en-US"/>
              </w:rPr>
            </w:pPr>
            <w:r w:rsidRPr="00343716">
              <w:rPr>
                <w:rFonts w:ascii="Arial" w:eastAsia="Calibri" w:hAnsi="Arial" w:cs="Arial"/>
                <w:b/>
                <w:lang w:eastAsia="en-US"/>
              </w:rPr>
              <w:t>Servery pro výše vyspecifikované blade šasi</w:t>
            </w:r>
          </w:p>
          <w:p w:rsidR="00343716" w:rsidRPr="00343716" w:rsidRDefault="00343716">
            <w:pPr>
              <w:spacing w:line="256" w:lineRule="auto"/>
              <w:rPr>
                <w:rFonts w:ascii="Arial" w:eastAsia="Calibri" w:hAnsi="Arial" w:cs="Arial"/>
                <w:b/>
                <w:lang w:eastAsia="en-US"/>
              </w:rPr>
            </w:pPr>
            <w:r w:rsidRPr="00343716">
              <w:rPr>
                <w:rFonts w:ascii="Arial" w:eastAsia="Calibri" w:hAnsi="Arial" w:cs="Arial"/>
                <w:b/>
                <w:lang w:eastAsia="en-US"/>
              </w:rPr>
              <w:t>6 ks</w:t>
            </w:r>
          </w:p>
        </w:tc>
      </w:tr>
      <w:tr w:rsidR="00343716" w:rsidRPr="00343716" w:rsidTr="00343716">
        <w:trPr>
          <w:trHeight w:val="322"/>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eastAsia="SimSun" w:hAnsi="Arial" w:cs="Arial"/>
                <w:bCs/>
                <w:lang w:eastAsia="en-US"/>
              </w:rPr>
            </w:pPr>
            <w:r w:rsidRPr="00343716">
              <w:rPr>
                <w:rFonts w:ascii="Arial" w:eastAsia="Calibri" w:hAnsi="Arial" w:cs="Arial"/>
                <w:b/>
                <w:lang w:eastAsia="en-US"/>
              </w:rPr>
              <w:t xml:space="preserve">Značka/typ </w:t>
            </w:r>
            <w:r w:rsidRPr="00343716">
              <w:rPr>
                <w:rFonts w:ascii="Arial" w:eastAsia="Calibri" w:hAnsi="Arial" w:cs="Arial"/>
                <w:lang w:eastAsia="en-US"/>
              </w:rPr>
              <w:t>(doplní uchazeč)</w:t>
            </w:r>
            <w:r w:rsidRPr="00343716">
              <w:rPr>
                <w:rFonts w:ascii="Arial" w:eastAsia="Calibri" w:hAnsi="Arial" w:cs="Arial"/>
                <w:b/>
                <w:lang w:eastAsia="en-US"/>
              </w:rPr>
              <w:t>:</w:t>
            </w:r>
          </w:p>
        </w:tc>
        <w:tc>
          <w:tcPr>
            <w:tcW w:w="4037" w:type="dxa"/>
            <w:gridSpan w:val="2"/>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color w:val="000000"/>
                <w:lang w:eastAsia="en-US"/>
              </w:rPr>
            </w:pPr>
            <w:r w:rsidRPr="00343716">
              <w:rPr>
                <w:rFonts w:ascii="Arial" w:eastAsia="Calibri" w:hAnsi="Arial" w:cs="Arial"/>
                <w:color w:val="000000"/>
                <w:lang w:eastAsia="en-US"/>
              </w:rPr>
              <w:t>PowerEdge MX760C</w:t>
            </w:r>
          </w:p>
        </w:tc>
      </w:tr>
      <w:tr w:rsidR="00343716" w:rsidRPr="00343716" w:rsidTr="00343716">
        <w:trPr>
          <w:trHeight w:val="322"/>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eastAsia="SimSun" w:hAnsi="Arial" w:cs="Arial"/>
                <w:bCs/>
                <w:lang w:eastAsia="en-US"/>
              </w:rPr>
            </w:pPr>
            <w:r w:rsidRPr="00343716">
              <w:rPr>
                <w:rFonts w:ascii="Arial" w:eastAsia="SimSun" w:hAnsi="Arial" w:cs="Arial"/>
                <w:bCs/>
                <w:lang w:eastAsia="en-US"/>
              </w:rPr>
              <w:t>Server musí být vybaven jedním procesorem (“CPU”), který obsahuje max. 16 jader</w:t>
            </w:r>
          </w:p>
        </w:tc>
        <w:tc>
          <w:tcPr>
            <w:tcW w:w="1210"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lang w:eastAsia="en-US"/>
              </w:rPr>
            </w:pPr>
            <w:r w:rsidRPr="00343716">
              <w:rPr>
                <w:rFonts w:ascii="Arial" w:eastAsia="Calibri" w:hAnsi="Arial" w:cs="Arial"/>
                <w:lang w:eastAsia="en-US"/>
              </w:rPr>
              <w:t>ANO</w:t>
            </w:r>
          </w:p>
        </w:tc>
        <w:tc>
          <w:tcPr>
            <w:tcW w:w="2827"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rPr>
                <w:rFonts w:ascii="Arial" w:eastAsia="Calibri" w:hAnsi="Arial" w:cs="Arial"/>
                <w:color w:val="000000"/>
                <w:lang w:eastAsia="en-US"/>
              </w:rPr>
            </w:pPr>
            <w:r w:rsidRPr="00343716">
              <w:rPr>
                <w:rFonts w:ascii="Arial" w:eastAsia="Calibri" w:hAnsi="Arial" w:cs="Arial"/>
                <w:color w:val="000000"/>
                <w:lang w:eastAsia="en-US"/>
              </w:rPr>
              <w:t>1x Intel Xeon Gold 6426Y 2.5G, 16C/32T</w:t>
            </w:r>
          </w:p>
        </w:tc>
      </w:tr>
      <w:tr w:rsidR="00343716" w:rsidRPr="00343716" w:rsidTr="00343716">
        <w:trPr>
          <w:trHeight w:val="322"/>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eastAsia="SimSun" w:hAnsi="Arial" w:cs="Arial"/>
                <w:bCs/>
                <w:lang w:eastAsia="en-US"/>
              </w:rPr>
            </w:pPr>
            <w:proofErr w:type="gramStart"/>
            <w:r w:rsidRPr="00343716">
              <w:rPr>
                <w:rFonts w:ascii="Arial" w:eastAsia="SimSun" w:hAnsi="Arial" w:cs="Arial"/>
                <w:bCs/>
                <w:lang w:eastAsia="en-US"/>
              </w:rPr>
              <w:t>CPU musí</w:t>
            </w:r>
            <w:proofErr w:type="gramEnd"/>
            <w:r w:rsidRPr="00343716">
              <w:rPr>
                <w:rFonts w:ascii="Arial" w:eastAsia="SimSun" w:hAnsi="Arial" w:cs="Arial"/>
                <w:bCs/>
                <w:lang w:eastAsia="en-US"/>
              </w:rPr>
              <w:t xml:space="preserve"> dosahovat výkonu podle benchmarku SPEC CPU2017 (benchmark spuštěný pro systém osazený dvěma CPU), musí splňovat tyto minimální hodnoty (výsledek testu musí být prokazatelně publikovaný na https://www.spec.org/cpu2017/results/):</w:t>
            </w:r>
          </w:p>
          <w:p w:rsidR="00343716" w:rsidRPr="00343716" w:rsidRDefault="00343716" w:rsidP="00343716">
            <w:pPr>
              <w:pStyle w:val="Odstavecseseznamem"/>
              <w:numPr>
                <w:ilvl w:val="0"/>
                <w:numId w:val="23"/>
              </w:numPr>
              <w:spacing w:before="60" w:after="60" w:line="252" w:lineRule="auto"/>
              <w:jc w:val="left"/>
              <w:rPr>
                <w:rFonts w:ascii="Arial" w:eastAsia="SimSun" w:hAnsi="Arial" w:cs="Arial"/>
                <w:b/>
                <w:bCs/>
                <w:lang w:eastAsia="en-US"/>
              </w:rPr>
            </w:pPr>
            <w:r w:rsidRPr="00343716">
              <w:rPr>
                <w:rFonts w:ascii="Arial" w:eastAsia="SimSun" w:hAnsi="Arial" w:cs="Arial"/>
                <w:b/>
                <w:bCs/>
                <w:lang w:eastAsia="en-US"/>
              </w:rPr>
              <w:t>SPECrate2017_int_base min – 329 bodů,</w:t>
            </w:r>
          </w:p>
          <w:p w:rsidR="00343716" w:rsidRPr="00343716" w:rsidRDefault="00343716" w:rsidP="00343716">
            <w:pPr>
              <w:pStyle w:val="Odstavecseseznamem"/>
              <w:numPr>
                <w:ilvl w:val="0"/>
                <w:numId w:val="23"/>
              </w:numPr>
              <w:spacing w:before="60" w:after="60" w:line="252" w:lineRule="auto"/>
              <w:jc w:val="left"/>
              <w:rPr>
                <w:rFonts w:ascii="Arial" w:eastAsia="SimSun" w:hAnsi="Arial" w:cs="Arial"/>
                <w:bCs/>
                <w:lang w:eastAsia="en-US"/>
              </w:rPr>
            </w:pPr>
            <w:r w:rsidRPr="00343716">
              <w:rPr>
                <w:rFonts w:ascii="Arial" w:eastAsia="SimSun" w:hAnsi="Arial" w:cs="Arial"/>
                <w:b/>
                <w:bCs/>
                <w:lang w:eastAsia="en-US"/>
              </w:rPr>
              <w:t>SPECrate2017_fp_base min – 443 bodů.</w:t>
            </w:r>
          </w:p>
        </w:tc>
        <w:tc>
          <w:tcPr>
            <w:tcW w:w="1210"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lang w:eastAsia="en-US"/>
              </w:rPr>
            </w:pPr>
            <w:r w:rsidRPr="00343716">
              <w:rPr>
                <w:rFonts w:ascii="Arial" w:eastAsia="Calibri" w:hAnsi="Arial" w:cs="Arial"/>
                <w:lang w:eastAsia="en-US"/>
              </w:rPr>
              <w:t>ANO</w:t>
            </w:r>
          </w:p>
        </w:tc>
        <w:tc>
          <w:tcPr>
            <w:tcW w:w="2827"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before="60" w:after="60" w:line="252" w:lineRule="auto"/>
              <w:jc w:val="left"/>
              <w:rPr>
                <w:rFonts w:ascii="Arial" w:eastAsia="SimSun" w:hAnsi="Arial" w:cs="Arial"/>
                <w:lang w:eastAsia="en-US"/>
              </w:rPr>
            </w:pPr>
            <w:r w:rsidRPr="00343716">
              <w:rPr>
                <w:rFonts w:ascii="Arial" w:eastAsia="SimSun" w:hAnsi="Arial" w:cs="Arial"/>
                <w:lang w:eastAsia="en-US"/>
              </w:rPr>
              <w:t>SPECrate2017_int_base – 329 bodů,</w:t>
            </w:r>
          </w:p>
          <w:p w:rsidR="00343716" w:rsidRPr="00343716" w:rsidRDefault="00343716">
            <w:pPr>
              <w:spacing w:line="256" w:lineRule="auto"/>
              <w:rPr>
                <w:rFonts w:ascii="Arial" w:eastAsia="Calibri" w:hAnsi="Arial" w:cs="Arial"/>
                <w:color w:val="000000"/>
                <w:lang w:eastAsia="en-US"/>
              </w:rPr>
            </w:pPr>
            <w:r w:rsidRPr="00343716">
              <w:rPr>
                <w:rFonts w:ascii="Arial" w:eastAsia="SimSun" w:hAnsi="Arial" w:cs="Arial"/>
                <w:lang w:eastAsia="en-US"/>
              </w:rPr>
              <w:t>SPECrate2017_fp_base – 443 bodů</w:t>
            </w:r>
          </w:p>
        </w:tc>
      </w:tr>
      <w:tr w:rsidR="00343716" w:rsidRPr="00343716" w:rsidTr="00343716">
        <w:trPr>
          <w:trHeight w:val="376"/>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eastAsia="SimSun" w:hAnsi="Arial" w:cs="Arial"/>
                <w:bCs/>
                <w:lang w:eastAsia="en-US"/>
              </w:rPr>
            </w:pPr>
            <w:r w:rsidRPr="00343716">
              <w:rPr>
                <w:rFonts w:ascii="Arial" w:eastAsia="SimSun" w:hAnsi="Arial" w:cs="Arial"/>
                <w:bCs/>
                <w:lang w:eastAsia="en-US"/>
              </w:rPr>
              <w:t>RAM:</w:t>
            </w:r>
          </w:p>
          <w:p w:rsidR="00343716" w:rsidRPr="00343716" w:rsidRDefault="00343716" w:rsidP="00343716">
            <w:pPr>
              <w:pStyle w:val="Odstavecseseznamem"/>
              <w:numPr>
                <w:ilvl w:val="0"/>
                <w:numId w:val="23"/>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minimálně 256 GB RAM,</w:t>
            </w:r>
          </w:p>
          <w:p w:rsidR="00343716" w:rsidRPr="00343716" w:rsidRDefault="00343716" w:rsidP="00343716">
            <w:pPr>
              <w:pStyle w:val="Odstavecseseznamem"/>
              <w:numPr>
                <w:ilvl w:val="0"/>
                <w:numId w:val="23"/>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paměťové moduly musí podporovat rychlost 4800MT/s a být typu RDIMM.</w:t>
            </w:r>
          </w:p>
        </w:tc>
        <w:tc>
          <w:tcPr>
            <w:tcW w:w="1210"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color w:val="000000"/>
                <w:lang w:eastAsia="en-US"/>
              </w:rPr>
            </w:pPr>
            <w:r w:rsidRPr="00343716">
              <w:rPr>
                <w:rFonts w:ascii="Arial" w:eastAsia="Calibri" w:hAnsi="Arial" w:cs="Arial"/>
                <w:color w:val="000000"/>
                <w:lang w:eastAsia="en-US"/>
              </w:rPr>
              <w:t>ANO</w:t>
            </w:r>
          </w:p>
        </w:tc>
        <w:tc>
          <w:tcPr>
            <w:tcW w:w="2827"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rPr>
                <w:rFonts w:ascii="Arial" w:eastAsia="Calibri" w:hAnsi="Arial" w:cs="Arial"/>
                <w:color w:val="000000"/>
                <w:lang w:eastAsia="en-US"/>
              </w:rPr>
            </w:pPr>
            <w:r w:rsidRPr="00343716">
              <w:rPr>
                <w:rFonts w:ascii="Arial" w:eastAsia="Calibri" w:hAnsi="Arial" w:cs="Arial"/>
                <w:color w:val="000000"/>
                <w:lang w:eastAsia="en-US"/>
              </w:rPr>
              <w:t>8x 32GB RDIMM 4800MT</w:t>
            </w:r>
          </w:p>
        </w:tc>
      </w:tr>
      <w:tr w:rsidR="00343716" w:rsidRPr="00343716" w:rsidTr="00343716">
        <w:trPr>
          <w:trHeight w:val="396"/>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eastAsia="SimSun" w:hAnsi="Arial" w:cs="Arial"/>
                <w:bCs/>
                <w:lang w:eastAsia="en-US"/>
              </w:rPr>
            </w:pPr>
            <w:r w:rsidRPr="00343716">
              <w:rPr>
                <w:rFonts w:ascii="Arial" w:eastAsia="SimSun" w:hAnsi="Arial" w:cs="Arial"/>
                <w:bCs/>
                <w:lang w:eastAsia="en-US"/>
              </w:rPr>
              <w:t>Disková kapacita:</w:t>
            </w:r>
          </w:p>
          <w:p w:rsidR="00343716" w:rsidRPr="00343716" w:rsidRDefault="00343716" w:rsidP="00343716">
            <w:pPr>
              <w:pStyle w:val="Odstavecseseznamem"/>
              <w:numPr>
                <w:ilvl w:val="0"/>
                <w:numId w:val="23"/>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 xml:space="preserve">disky bez pohyblivých částí (přípustný typ </w:t>
            </w:r>
            <w:proofErr w:type="gramStart"/>
            <w:r w:rsidRPr="00343716">
              <w:rPr>
                <w:rFonts w:ascii="Arial" w:eastAsia="SimSun" w:hAnsi="Arial" w:cs="Arial"/>
                <w:bCs/>
                <w:lang w:eastAsia="en-US"/>
              </w:rPr>
              <w:t>M.2),</w:t>
            </w:r>
            <w:proofErr w:type="gramEnd"/>
          </w:p>
          <w:p w:rsidR="00343716" w:rsidRPr="00343716" w:rsidRDefault="00343716" w:rsidP="00343716">
            <w:pPr>
              <w:pStyle w:val="Odstavecseseznamem"/>
              <w:numPr>
                <w:ilvl w:val="0"/>
                <w:numId w:val="23"/>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osazení minimálně 2x disky určenými pro instalaci hypervisoru VMware ESXi 7.0,</w:t>
            </w:r>
          </w:p>
          <w:p w:rsidR="00343716" w:rsidRPr="00343716" w:rsidRDefault="00343716" w:rsidP="00343716">
            <w:pPr>
              <w:pStyle w:val="Odstavecseseznamem"/>
              <w:numPr>
                <w:ilvl w:val="0"/>
                <w:numId w:val="23"/>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minimální požadovaná kapacita je 480GB,</w:t>
            </w:r>
          </w:p>
          <w:p w:rsidR="00343716" w:rsidRPr="00343716" w:rsidRDefault="00343716" w:rsidP="00343716">
            <w:pPr>
              <w:pStyle w:val="Odstavecseseznamem"/>
              <w:numPr>
                <w:ilvl w:val="0"/>
                <w:numId w:val="23"/>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disky musí být ve vzájemně redundantním režimu např. RAID1.</w:t>
            </w:r>
          </w:p>
        </w:tc>
        <w:tc>
          <w:tcPr>
            <w:tcW w:w="1210"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color w:val="000000"/>
                <w:lang w:eastAsia="en-US"/>
              </w:rPr>
            </w:pPr>
            <w:r w:rsidRPr="00343716">
              <w:rPr>
                <w:rFonts w:ascii="Arial" w:eastAsia="Calibri" w:hAnsi="Arial" w:cs="Arial"/>
                <w:color w:val="000000"/>
                <w:lang w:eastAsia="en-US"/>
              </w:rPr>
              <w:t>ANO</w:t>
            </w:r>
          </w:p>
        </w:tc>
        <w:tc>
          <w:tcPr>
            <w:tcW w:w="2827"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rPr>
                <w:rFonts w:ascii="Arial" w:eastAsia="Calibri" w:hAnsi="Arial" w:cs="Arial"/>
                <w:color w:val="000000"/>
                <w:lang w:eastAsia="en-US"/>
              </w:rPr>
            </w:pPr>
            <w:r w:rsidRPr="00343716">
              <w:rPr>
                <w:rFonts w:ascii="Arial" w:eastAsia="Calibri" w:hAnsi="Arial" w:cs="Arial"/>
                <w:color w:val="000000"/>
                <w:lang w:eastAsia="en-US"/>
              </w:rPr>
              <w:t>BOSS controller card M.2 2x480GB RAID1</w:t>
            </w:r>
          </w:p>
        </w:tc>
      </w:tr>
      <w:tr w:rsidR="00343716" w:rsidRPr="00343716" w:rsidTr="00343716">
        <w:trPr>
          <w:trHeight w:val="396"/>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eastAsia="SimSun" w:hAnsi="Arial" w:cs="Arial"/>
                <w:bCs/>
                <w:lang w:eastAsia="en-US"/>
              </w:rPr>
            </w:pPr>
            <w:r w:rsidRPr="00343716">
              <w:rPr>
                <w:rFonts w:ascii="Arial" w:eastAsia="SimSun" w:hAnsi="Arial" w:cs="Arial"/>
                <w:bCs/>
                <w:lang w:eastAsia="en-US"/>
              </w:rPr>
              <w:lastRenderedPageBreak/>
              <w:t>IO rozhraní pro LAN i SAN:</w:t>
            </w:r>
          </w:p>
          <w:p w:rsidR="00343716" w:rsidRPr="00343716" w:rsidRDefault="00343716" w:rsidP="00343716">
            <w:pPr>
              <w:pStyle w:val="Odstavecseseznamem"/>
              <w:numPr>
                <w:ilvl w:val="0"/>
                <w:numId w:val="23"/>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1x dvouportová konvergovaná 10/25GbE síťová karta s podporou a akcelerací iSCSI a FCoE protokolů.</w:t>
            </w:r>
          </w:p>
        </w:tc>
        <w:tc>
          <w:tcPr>
            <w:tcW w:w="1210"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color w:val="000000"/>
                <w:lang w:eastAsia="en-US"/>
              </w:rPr>
            </w:pPr>
            <w:r w:rsidRPr="00343716">
              <w:rPr>
                <w:rFonts w:ascii="Arial" w:eastAsia="Calibri" w:hAnsi="Arial" w:cs="Arial"/>
                <w:color w:val="000000"/>
                <w:lang w:eastAsia="en-US"/>
              </w:rPr>
              <w:t>ANO</w:t>
            </w:r>
          </w:p>
        </w:tc>
        <w:tc>
          <w:tcPr>
            <w:tcW w:w="2827"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rPr>
                <w:rFonts w:ascii="Arial" w:eastAsia="Calibri" w:hAnsi="Arial" w:cs="Arial"/>
                <w:color w:val="000000"/>
                <w:lang w:eastAsia="en-US"/>
              </w:rPr>
            </w:pPr>
            <w:r w:rsidRPr="00343716">
              <w:rPr>
                <w:rFonts w:ascii="Arial" w:eastAsia="Calibri" w:hAnsi="Arial" w:cs="Arial"/>
                <w:color w:val="000000"/>
                <w:lang w:eastAsia="en-US"/>
              </w:rPr>
              <w:t>QLogic FastLinQ 41262 Dual Port 10/25GbE Mezzanine Card with</w:t>
            </w:r>
          </w:p>
          <w:p w:rsidR="00343716" w:rsidRPr="00343716" w:rsidRDefault="00343716">
            <w:pPr>
              <w:spacing w:line="256" w:lineRule="auto"/>
              <w:rPr>
                <w:rFonts w:ascii="Arial" w:eastAsia="Calibri" w:hAnsi="Arial" w:cs="Arial"/>
                <w:color w:val="000000"/>
                <w:lang w:eastAsia="en-US"/>
              </w:rPr>
            </w:pPr>
            <w:r w:rsidRPr="00343716">
              <w:rPr>
                <w:rFonts w:ascii="Arial" w:eastAsia="Calibri" w:hAnsi="Arial" w:cs="Arial"/>
                <w:color w:val="000000"/>
                <w:lang w:eastAsia="en-US"/>
              </w:rPr>
              <w:t>Storage Offloads (iSCSI, FCoE)</w:t>
            </w:r>
          </w:p>
        </w:tc>
      </w:tr>
      <w:tr w:rsidR="00343716" w:rsidRPr="00343716" w:rsidTr="00343716">
        <w:trPr>
          <w:trHeight w:val="396"/>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eastAsia="SimSun" w:hAnsi="Arial" w:cs="Arial"/>
                <w:bCs/>
                <w:lang w:eastAsia="en-US"/>
              </w:rPr>
            </w:pPr>
            <w:r w:rsidRPr="00343716">
              <w:rPr>
                <w:rFonts w:ascii="Arial" w:eastAsia="SimSun" w:hAnsi="Arial" w:cs="Arial"/>
                <w:bCs/>
                <w:lang w:eastAsia="en-US"/>
              </w:rPr>
              <w:t>Management serveru:</w:t>
            </w:r>
          </w:p>
          <w:p w:rsidR="00343716" w:rsidRPr="00343716" w:rsidRDefault="00343716" w:rsidP="00343716">
            <w:pPr>
              <w:pStyle w:val="Odstavecseseznamem"/>
              <w:numPr>
                <w:ilvl w:val="0"/>
                <w:numId w:val="23"/>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servery musí disponovat kompletním out-of-band managementem,</w:t>
            </w:r>
          </w:p>
          <w:p w:rsidR="00343716" w:rsidRPr="00343716" w:rsidRDefault="00343716" w:rsidP="00343716">
            <w:pPr>
              <w:pStyle w:val="Odstavecseseznamem"/>
              <w:numPr>
                <w:ilvl w:val="0"/>
                <w:numId w:val="23"/>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prostřednictvím managementu musí být server přístupný v režimu KVM-over-IP s možností připojení remote médií (CDROM, USB, ISO), včetně podpory remote boot z takto připojených prostředků,</w:t>
            </w:r>
          </w:p>
          <w:p w:rsidR="00343716" w:rsidRPr="00343716" w:rsidRDefault="00343716" w:rsidP="00343716">
            <w:pPr>
              <w:pStyle w:val="Odstavecseseznamem"/>
              <w:numPr>
                <w:ilvl w:val="0"/>
                <w:numId w:val="23"/>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management serveru musí být 100% agentless (není potřeba služba, driver do provozovaných OS) nejenom pro monitorování ale i pro update biosů nebo firmwarů HW,</w:t>
            </w:r>
          </w:p>
          <w:p w:rsidR="00343716" w:rsidRPr="00343716" w:rsidRDefault="00343716" w:rsidP="00343716">
            <w:pPr>
              <w:pStyle w:val="Odstavecseseznamem"/>
              <w:numPr>
                <w:ilvl w:val="0"/>
                <w:numId w:val="23"/>
              </w:numPr>
              <w:spacing w:before="60" w:after="60" w:line="252" w:lineRule="auto"/>
              <w:jc w:val="left"/>
              <w:rPr>
                <w:rFonts w:ascii="Arial" w:eastAsia="SimSun" w:hAnsi="Arial" w:cs="Arial"/>
                <w:bCs/>
                <w:lang w:eastAsia="en-US"/>
              </w:rPr>
            </w:pPr>
            <w:r w:rsidRPr="00343716">
              <w:rPr>
                <w:rFonts w:ascii="Arial" w:eastAsia="SimSun" w:hAnsi="Arial" w:cs="Arial"/>
                <w:bCs/>
                <w:lang w:eastAsia="en-US"/>
              </w:rPr>
              <w:t>Server musí být uveden na HCL VMware pro ESXi 7.0+.</w:t>
            </w:r>
          </w:p>
        </w:tc>
        <w:tc>
          <w:tcPr>
            <w:tcW w:w="1210"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color w:val="000000"/>
                <w:lang w:eastAsia="en-US"/>
              </w:rPr>
            </w:pPr>
            <w:r w:rsidRPr="00343716">
              <w:rPr>
                <w:rFonts w:ascii="Arial" w:eastAsia="Calibri" w:hAnsi="Arial" w:cs="Arial"/>
                <w:color w:val="000000"/>
                <w:lang w:eastAsia="en-US"/>
              </w:rPr>
              <w:t>ANO</w:t>
            </w:r>
          </w:p>
        </w:tc>
        <w:tc>
          <w:tcPr>
            <w:tcW w:w="2827"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rPr>
                <w:rFonts w:ascii="Arial" w:eastAsia="Calibri" w:hAnsi="Arial" w:cs="Arial"/>
                <w:color w:val="000000"/>
                <w:lang w:eastAsia="en-US"/>
              </w:rPr>
            </w:pPr>
            <w:r w:rsidRPr="00343716">
              <w:rPr>
                <w:rFonts w:ascii="Arial" w:eastAsia="Calibri" w:hAnsi="Arial" w:cs="Arial"/>
                <w:color w:val="000000"/>
                <w:lang w:eastAsia="en-US"/>
              </w:rPr>
              <w:t xml:space="preserve">Součástí konfigurace je iDRAC9 Datacenter 16G, který </w:t>
            </w:r>
          </w:p>
          <w:p w:rsidR="00343716" w:rsidRPr="00343716" w:rsidRDefault="00343716">
            <w:pPr>
              <w:spacing w:line="256" w:lineRule="auto"/>
              <w:rPr>
                <w:rFonts w:ascii="Arial" w:eastAsia="Calibri" w:hAnsi="Arial" w:cs="Arial"/>
                <w:color w:val="000000"/>
                <w:lang w:eastAsia="en-US"/>
              </w:rPr>
            </w:pPr>
            <w:r w:rsidRPr="00343716">
              <w:rPr>
                <w:rFonts w:ascii="Arial" w:eastAsia="Calibri" w:hAnsi="Arial" w:cs="Arial"/>
                <w:color w:val="000000"/>
                <w:lang w:eastAsia="en-US"/>
              </w:rPr>
              <w:t>splňuje všechny požadavky specifikované Zadavatelem v této části zadání.</w:t>
            </w:r>
          </w:p>
        </w:tc>
      </w:tr>
      <w:tr w:rsidR="00343716" w:rsidRPr="00343716" w:rsidTr="00343716">
        <w:trPr>
          <w:trHeight w:val="396"/>
        </w:trPr>
        <w:tc>
          <w:tcPr>
            <w:tcW w:w="9639" w:type="dxa"/>
            <w:gridSpan w:val="3"/>
            <w:tcBorders>
              <w:top w:val="nil"/>
              <w:left w:val="single" w:sz="4" w:space="0" w:color="auto"/>
              <w:bottom w:val="single" w:sz="4" w:space="0" w:color="auto"/>
              <w:right w:val="single" w:sz="4" w:space="0" w:color="auto"/>
            </w:tcBorders>
            <w:vAlign w:val="center"/>
            <w:hideMark/>
          </w:tcPr>
          <w:p w:rsidR="00343716" w:rsidRPr="00343716" w:rsidRDefault="00343716">
            <w:pPr>
              <w:spacing w:line="256" w:lineRule="auto"/>
              <w:rPr>
                <w:rFonts w:ascii="Arial" w:eastAsia="MS Mincho" w:hAnsi="Arial" w:cs="Arial"/>
                <w:b/>
                <w:lang w:eastAsia="en-US"/>
              </w:rPr>
            </w:pPr>
            <w:r w:rsidRPr="00343716">
              <w:rPr>
                <w:rFonts w:ascii="Arial" w:eastAsia="MS Mincho" w:hAnsi="Arial" w:cs="Arial"/>
                <w:b/>
                <w:lang w:val="en-US" w:eastAsia="en-US"/>
              </w:rPr>
              <w:t xml:space="preserve">I/O moduly do </w:t>
            </w:r>
            <w:r w:rsidRPr="00343716">
              <w:rPr>
                <w:rFonts w:ascii="Arial" w:eastAsia="MS Mincho" w:hAnsi="Arial" w:cs="Arial"/>
                <w:b/>
                <w:lang w:eastAsia="en-US"/>
              </w:rPr>
              <w:t>blade šasi</w:t>
            </w:r>
          </w:p>
          <w:p w:rsidR="00343716" w:rsidRPr="00343716" w:rsidRDefault="00343716">
            <w:pPr>
              <w:spacing w:line="256" w:lineRule="auto"/>
              <w:rPr>
                <w:rFonts w:ascii="Arial" w:eastAsia="Calibri" w:hAnsi="Arial" w:cs="Arial"/>
                <w:color w:val="000000"/>
                <w:lang w:eastAsia="en-US"/>
              </w:rPr>
            </w:pPr>
            <w:r w:rsidRPr="00343716">
              <w:rPr>
                <w:rFonts w:ascii="Arial" w:eastAsia="MS Mincho" w:hAnsi="Arial" w:cs="Arial"/>
                <w:b/>
                <w:lang w:eastAsia="en-US"/>
              </w:rPr>
              <w:t>2 ks</w:t>
            </w:r>
          </w:p>
        </w:tc>
      </w:tr>
      <w:tr w:rsidR="00343716" w:rsidRPr="00343716" w:rsidTr="00343716">
        <w:trPr>
          <w:trHeight w:val="396"/>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hAnsi="Arial" w:cs="Arial"/>
                <w:lang w:eastAsia="en-US"/>
              </w:rPr>
            </w:pPr>
            <w:r w:rsidRPr="00343716">
              <w:rPr>
                <w:rFonts w:ascii="Arial" w:eastAsia="Calibri" w:hAnsi="Arial" w:cs="Arial"/>
                <w:b/>
                <w:lang w:eastAsia="en-US"/>
              </w:rPr>
              <w:t xml:space="preserve">Značka/typ </w:t>
            </w:r>
            <w:r w:rsidRPr="00343716">
              <w:rPr>
                <w:rFonts w:ascii="Arial" w:eastAsia="Calibri" w:hAnsi="Arial" w:cs="Arial"/>
                <w:lang w:eastAsia="en-US"/>
              </w:rPr>
              <w:t>(doplní uchazeč)</w:t>
            </w:r>
            <w:r w:rsidRPr="00343716">
              <w:rPr>
                <w:rFonts w:ascii="Arial" w:eastAsia="Calibri" w:hAnsi="Arial" w:cs="Arial"/>
                <w:b/>
                <w:lang w:eastAsia="en-US"/>
              </w:rPr>
              <w:t>:</w:t>
            </w:r>
          </w:p>
        </w:tc>
        <w:tc>
          <w:tcPr>
            <w:tcW w:w="4037" w:type="dxa"/>
            <w:gridSpan w:val="2"/>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color w:val="000000"/>
                <w:lang w:eastAsia="en-US"/>
              </w:rPr>
            </w:pPr>
            <w:r w:rsidRPr="00343716">
              <w:rPr>
                <w:rFonts w:ascii="Arial" w:eastAsia="Calibri" w:hAnsi="Arial" w:cs="Arial"/>
                <w:color w:val="000000"/>
                <w:lang w:eastAsia="en-US"/>
              </w:rPr>
              <w:t>Dell EMC MX9116N</w:t>
            </w:r>
          </w:p>
        </w:tc>
      </w:tr>
      <w:tr w:rsidR="00343716" w:rsidRPr="00343716" w:rsidTr="00343716">
        <w:trPr>
          <w:trHeight w:val="396"/>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eastAsia="SimSun" w:hAnsi="Arial" w:cs="Arial"/>
                <w:bCs/>
                <w:lang w:eastAsia="en-US"/>
              </w:rPr>
            </w:pPr>
            <w:r w:rsidRPr="00343716">
              <w:rPr>
                <w:rFonts w:ascii="Arial" w:eastAsia="SimSun" w:hAnsi="Arial" w:cs="Arial"/>
                <w:bCs/>
                <w:lang w:eastAsia="en-US"/>
              </w:rPr>
              <w:t>Přepínač L2/L3 s podporou DCB a iSCSI.</w:t>
            </w:r>
          </w:p>
        </w:tc>
        <w:tc>
          <w:tcPr>
            <w:tcW w:w="1210"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color w:val="000000"/>
                <w:lang w:eastAsia="en-US"/>
              </w:rPr>
            </w:pPr>
            <w:r w:rsidRPr="00343716">
              <w:rPr>
                <w:rFonts w:ascii="Arial" w:eastAsia="Calibri" w:hAnsi="Arial" w:cs="Arial"/>
                <w:color w:val="000000"/>
                <w:lang w:eastAsia="en-US"/>
              </w:rPr>
              <w:t>ANO</w:t>
            </w:r>
          </w:p>
        </w:tc>
        <w:tc>
          <w:tcPr>
            <w:tcW w:w="2827"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rPr>
                <w:rFonts w:ascii="Arial" w:eastAsia="Calibri" w:hAnsi="Arial" w:cs="Arial"/>
                <w:bCs/>
                <w:color w:val="000000"/>
                <w:lang w:eastAsia="en-US"/>
              </w:rPr>
            </w:pPr>
            <w:r w:rsidRPr="00343716">
              <w:rPr>
                <w:rFonts w:ascii="Arial" w:eastAsia="Calibri" w:hAnsi="Arial" w:cs="Arial"/>
                <w:color w:val="000000"/>
                <w:lang w:eastAsia="en-US"/>
              </w:rPr>
              <w:t xml:space="preserve">DataCenter </w:t>
            </w:r>
            <w:r w:rsidRPr="00343716">
              <w:rPr>
                <w:rFonts w:ascii="Arial" w:eastAsia="Calibri" w:hAnsi="Arial" w:cs="Arial"/>
                <w:bCs/>
                <w:color w:val="000000"/>
                <w:lang w:eastAsia="en-US"/>
              </w:rPr>
              <w:t>Bridging, iSCSI</w:t>
            </w:r>
          </w:p>
        </w:tc>
      </w:tr>
      <w:tr w:rsidR="00343716" w:rsidRPr="00343716" w:rsidTr="00343716">
        <w:trPr>
          <w:trHeight w:val="396"/>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eastAsia="SimSun" w:hAnsi="Arial" w:cs="Arial"/>
                <w:bCs/>
                <w:lang w:eastAsia="en-US"/>
              </w:rPr>
            </w:pPr>
            <w:r w:rsidRPr="00343716">
              <w:rPr>
                <w:rFonts w:ascii="Arial" w:eastAsia="SimSun" w:hAnsi="Arial" w:cs="Arial"/>
                <w:bCs/>
                <w:lang w:eastAsia="en-US"/>
              </w:rPr>
              <w:t>Každý přepínač musí podporovat min. 8x 25GbE LAN portů směrem k blade serverům.</w:t>
            </w:r>
          </w:p>
        </w:tc>
        <w:tc>
          <w:tcPr>
            <w:tcW w:w="1210"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color w:val="000000"/>
                <w:lang w:eastAsia="en-US"/>
              </w:rPr>
            </w:pPr>
            <w:r w:rsidRPr="00343716">
              <w:rPr>
                <w:rFonts w:ascii="Arial" w:eastAsia="Calibri" w:hAnsi="Arial" w:cs="Arial"/>
                <w:color w:val="000000"/>
                <w:lang w:eastAsia="en-US"/>
              </w:rPr>
              <w:t>ANO</w:t>
            </w:r>
          </w:p>
        </w:tc>
        <w:tc>
          <w:tcPr>
            <w:tcW w:w="2827"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rPr>
                <w:rFonts w:ascii="Arial" w:eastAsia="Calibri" w:hAnsi="Arial" w:cs="Arial"/>
                <w:color w:val="000000"/>
                <w:lang w:eastAsia="en-US"/>
              </w:rPr>
            </w:pPr>
            <w:r w:rsidRPr="00343716">
              <w:rPr>
                <w:rFonts w:ascii="Arial" w:eastAsia="Calibri" w:hAnsi="Arial" w:cs="Arial"/>
                <w:color w:val="000000"/>
                <w:lang w:eastAsia="en-US"/>
              </w:rPr>
              <w:t>16x 25GbE ?10GbE?</w:t>
            </w:r>
          </w:p>
        </w:tc>
      </w:tr>
      <w:tr w:rsidR="00343716" w:rsidRPr="00343716" w:rsidTr="00343716">
        <w:trPr>
          <w:trHeight w:val="396"/>
        </w:trPr>
        <w:tc>
          <w:tcPr>
            <w:tcW w:w="5602" w:type="dxa"/>
            <w:tcBorders>
              <w:top w:val="nil"/>
              <w:left w:val="single" w:sz="4" w:space="0" w:color="auto"/>
              <w:bottom w:val="single" w:sz="4" w:space="0" w:color="auto"/>
              <w:right w:val="single" w:sz="4" w:space="0" w:color="auto"/>
            </w:tcBorders>
            <w:vAlign w:val="center"/>
            <w:hideMark/>
          </w:tcPr>
          <w:p w:rsidR="00343716" w:rsidRPr="00343716" w:rsidRDefault="00343716">
            <w:pPr>
              <w:spacing w:before="60" w:after="60" w:line="252" w:lineRule="auto"/>
              <w:rPr>
                <w:rFonts w:ascii="Arial" w:eastAsia="SimSun" w:hAnsi="Arial" w:cs="Arial"/>
                <w:bCs/>
                <w:lang w:eastAsia="en-US"/>
              </w:rPr>
            </w:pPr>
            <w:r w:rsidRPr="00343716">
              <w:rPr>
                <w:rFonts w:ascii="Arial" w:eastAsia="SimSun" w:hAnsi="Arial" w:cs="Arial"/>
                <w:bCs/>
                <w:lang w:eastAsia="en-US"/>
              </w:rPr>
              <w:t>Každý přepínač musí být vybaven porty pro externí konektivitu, min. 12x QDD28, 2x Q28.</w:t>
            </w:r>
          </w:p>
        </w:tc>
        <w:tc>
          <w:tcPr>
            <w:tcW w:w="1210"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color w:val="000000"/>
                <w:lang w:eastAsia="en-US"/>
              </w:rPr>
            </w:pPr>
            <w:r w:rsidRPr="00343716">
              <w:rPr>
                <w:rFonts w:ascii="Arial" w:eastAsia="Calibri" w:hAnsi="Arial" w:cs="Arial"/>
                <w:color w:val="000000"/>
                <w:lang w:eastAsia="en-US"/>
              </w:rPr>
              <w:t>ANO</w:t>
            </w:r>
          </w:p>
        </w:tc>
        <w:tc>
          <w:tcPr>
            <w:tcW w:w="2827"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rPr>
                <w:rFonts w:ascii="Arial" w:eastAsia="Calibri" w:hAnsi="Arial" w:cs="Arial"/>
                <w:color w:val="000000"/>
                <w:lang w:eastAsia="en-US"/>
              </w:rPr>
            </w:pPr>
            <w:r w:rsidRPr="00343716">
              <w:rPr>
                <w:rFonts w:ascii="Arial" w:eastAsia="Calibri" w:hAnsi="Arial" w:cs="Arial"/>
                <w:color w:val="000000"/>
                <w:lang w:eastAsia="en-US"/>
              </w:rPr>
              <w:t>12x QDD28, 4x Q28</w:t>
            </w:r>
          </w:p>
        </w:tc>
      </w:tr>
      <w:tr w:rsidR="00343716" w:rsidRPr="00343716" w:rsidTr="00343716">
        <w:trPr>
          <w:trHeight w:val="396"/>
        </w:trPr>
        <w:tc>
          <w:tcPr>
            <w:tcW w:w="5602" w:type="dxa"/>
            <w:tcBorders>
              <w:top w:val="nil"/>
              <w:left w:val="single" w:sz="4" w:space="0" w:color="auto"/>
              <w:bottom w:val="single" w:sz="4" w:space="0" w:color="auto"/>
              <w:right w:val="single" w:sz="4" w:space="0" w:color="auto"/>
            </w:tcBorders>
            <w:shd w:val="clear" w:color="auto" w:fill="auto"/>
            <w:vAlign w:val="center"/>
            <w:hideMark/>
          </w:tcPr>
          <w:p w:rsidR="00343716" w:rsidRPr="00343716" w:rsidRDefault="00343716">
            <w:pPr>
              <w:spacing w:before="60" w:after="60" w:line="252" w:lineRule="auto"/>
              <w:rPr>
                <w:rFonts w:ascii="Arial" w:eastAsia="SimSun" w:hAnsi="Arial" w:cs="Arial"/>
                <w:bCs/>
                <w:lang w:eastAsia="en-US"/>
              </w:rPr>
            </w:pPr>
            <w:r w:rsidRPr="00343716">
              <w:rPr>
                <w:rFonts w:ascii="Arial" w:eastAsia="SimSun" w:hAnsi="Arial" w:cs="Arial"/>
                <w:bCs/>
                <w:lang w:eastAsia="en-US"/>
              </w:rPr>
              <w:t>Management rozhraní s podporou: SNMPv1/v2c/v3, (Telnet, FTP, RADIUS,SSH).</w:t>
            </w:r>
          </w:p>
        </w:tc>
        <w:tc>
          <w:tcPr>
            <w:tcW w:w="1210"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jc w:val="center"/>
              <w:rPr>
                <w:rFonts w:ascii="Arial" w:eastAsia="Calibri" w:hAnsi="Arial" w:cs="Arial"/>
                <w:color w:val="000000"/>
                <w:lang w:eastAsia="en-US"/>
              </w:rPr>
            </w:pPr>
            <w:r w:rsidRPr="00343716">
              <w:rPr>
                <w:rFonts w:ascii="Arial" w:eastAsia="Calibri" w:hAnsi="Arial" w:cs="Arial"/>
                <w:color w:val="000000"/>
                <w:lang w:eastAsia="en-US"/>
              </w:rPr>
              <w:t>ANO</w:t>
            </w:r>
          </w:p>
        </w:tc>
        <w:tc>
          <w:tcPr>
            <w:tcW w:w="2827" w:type="dxa"/>
            <w:tcBorders>
              <w:top w:val="single" w:sz="4" w:space="0" w:color="auto"/>
              <w:left w:val="nil"/>
              <w:bottom w:val="single" w:sz="4" w:space="0" w:color="auto"/>
              <w:right w:val="single" w:sz="4" w:space="0" w:color="auto"/>
            </w:tcBorders>
            <w:shd w:val="clear" w:color="auto" w:fill="FFFF00"/>
            <w:vAlign w:val="center"/>
            <w:hideMark/>
          </w:tcPr>
          <w:p w:rsidR="00343716" w:rsidRPr="00343716" w:rsidRDefault="00343716">
            <w:pPr>
              <w:spacing w:line="256" w:lineRule="auto"/>
              <w:rPr>
                <w:rFonts w:ascii="Arial" w:eastAsia="Calibri" w:hAnsi="Arial" w:cs="Arial"/>
                <w:color w:val="000000"/>
                <w:lang w:eastAsia="en-US"/>
              </w:rPr>
            </w:pPr>
            <w:r w:rsidRPr="00343716">
              <w:rPr>
                <w:rFonts w:ascii="Arial" w:eastAsia="Calibri" w:hAnsi="Arial" w:cs="Arial"/>
                <w:color w:val="000000"/>
                <w:lang w:eastAsia="en-US"/>
              </w:rPr>
              <w:t>Podporuje vše uvedené</w:t>
            </w:r>
          </w:p>
        </w:tc>
      </w:tr>
    </w:tbl>
    <w:p w:rsidR="00343716" w:rsidRPr="00343716" w:rsidRDefault="00343716" w:rsidP="00343716">
      <w:pPr>
        <w:jc w:val="left"/>
        <w:rPr>
          <w:rFonts w:ascii="Arial" w:hAnsi="Arial" w:cs="Arial"/>
          <w:b/>
          <w:bCs/>
          <w:kern w:val="32"/>
        </w:rPr>
      </w:pPr>
    </w:p>
    <w:p w:rsidR="00343716" w:rsidRPr="00343716" w:rsidRDefault="00343716" w:rsidP="00343716">
      <w:pPr>
        <w:rPr>
          <w:rFonts w:ascii="Arial" w:hAnsi="Arial" w:cs="Arial"/>
        </w:rPr>
      </w:pPr>
    </w:p>
    <w:p w:rsidR="00343716" w:rsidRPr="00343716" w:rsidRDefault="00343716" w:rsidP="00343716">
      <w:pPr>
        <w:rPr>
          <w:rFonts w:ascii="Arial" w:hAnsi="Arial" w:cs="Arial"/>
        </w:rPr>
      </w:pPr>
    </w:p>
    <w:p w:rsidR="00C833C7" w:rsidRDefault="00C833C7" w:rsidP="00C833C7">
      <w:pPr>
        <w:jc w:val="center"/>
        <w:rPr>
          <w:rFonts w:ascii="Arial" w:hAnsi="Arial" w:cs="Arial"/>
          <w:b/>
          <w:bCs/>
          <w:kern w:val="32"/>
          <w:sz w:val="32"/>
          <w:szCs w:val="32"/>
        </w:rPr>
        <w:sectPr w:rsidR="00C833C7" w:rsidSect="00343716">
          <w:headerReference w:type="default" r:id="rId11"/>
          <w:headerReference w:type="first" r:id="rId12"/>
          <w:pgSz w:w="11906" w:h="16838"/>
          <w:pgMar w:top="1417" w:right="1134" w:bottom="1417" w:left="1134" w:header="709" w:footer="425" w:gutter="0"/>
          <w:cols w:space="708"/>
          <w:titlePg/>
          <w:docGrid w:linePitch="360"/>
        </w:sectPr>
      </w:pPr>
    </w:p>
    <w:tbl>
      <w:tblPr>
        <w:tblStyle w:val="Mkatabulky"/>
        <w:tblpPr w:leftFromText="141" w:rightFromText="141" w:vertAnchor="page" w:horzAnchor="page" w:tblpX="1022" w:tblpY="2461"/>
        <w:tblW w:w="14454" w:type="dxa"/>
        <w:tblLayout w:type="fixed"/>
        <w:tblLook w:val="04A0" w:firstRow="1" w:lastRow="0" w:firstColumn="1" w:lastColumn="0" w:noHBand="0" w:noVBand="1"/>
      </w:tblPr>
      <w:tblGrid>
        <w:gridCol w:w="2126"/>
        <w:gridCol w:w="5099"/>
        <w:gridCol w:w="2126"/>
        <w:gridCol w:w="5103"/>
      </w:tblGrid>
      <w:tr w:rsidR="00C833C7" w:rsidTr="00343716">
        <w:trPr>
          <w:trHeight w:val="647"/>
        </w:trPr>
        <w:tc>
          <w:tcPr>
            <w:tcW w:w="2126" w:type="dxa"/>
            <w:vAlign w:val="center"/>
          </w:tcPr>
          <w:p w:rsidR="00C833C7" w:rsidRPr="00F376D8" w:rsidRDefault="00C833C7" w:rsidP="00296256">
            <w:pPr>
              <w:tabs>
                <w:tab w:val="right" w:pos="9638"/>
              </w:tabs>
              <w:jc w:val="center"/>
              <w:rPr>
                <w:rFonts w:ascii="Arial" w:hAnsi="Arial" w:cs="Arial"/>
                <w:b/>
                <w:bCs/>
              </w:rPr>
            </w:pPr>
            <w:r w:rsidRPr="00F376D8">
              <w:rPr>
                <w:rFonts w:ascii="Arial" w:hAnsi="Arial" w:cs="Arial"/>
                <w:b/>
                <w:bCs/>
              </w:rPr>
              <w:lastRenderedPageBreak/>
              <w:t xml:space="preserve">Předmět </w:t>
            </w:r>
            <w:r>
              <w:rPr>
                <w:rFonts w:ascii="Arial" w:hAnsi="Arial" w:cs="Arial"/>
                <w:b/>
                <w:bCs/>
              </w:rPr>
              <w:t>plnění smlouvy</w:t>
            </w:r>
          </w:p>
        </w:tc>
        <w:tc>
          <w:tcPr>
            <w:tcW w:w="5099" w:type="dxa"/>
            <w:vAlign w:val="center"/>
          </w:tcPr>
          <w:p w:rsidR="00C833C7" w:rsidRDefault="00C833C7" w:rsidP="00296256">
            <w:pPr>
              <w:jc w:val="center"/>
              <w:rPr>
                <w:rFonts w:ascii="Arial" w:hAnsi="Arial" w:cs="Arial"/>
                <w:b/>
                <w:bCs/>
              </w:rPr>
            </w:pPr>
            <w:r>
              <w:rPr>
                <w:rFonts w:ascii="Arial" w:hAnsi="Arial" w:cs="Arial"/>
                <w:b/>
                <w:bCs/>
              </w:rPr>
              <w:t>Cena za jednotku v Kč bez DPH</w:t>
            </w:r>
          </w:p>
        </w:tc>
        <w:tc>
          <w:tcPr>
            <w:tcW w:w="2126" w:type="dxa"/>
            <w:vAlign w:val="center"/>
          </w:tcPr>
          <w:p w:rsidR="00C833C7" w:rsidRDefault="00C833C7" w:rsidP="00296256">
            <w:pPr>
              <w:jc w:val="center"/>
              <w:rPr>
                <w:rFonts w:ascii="Arial" w:hAnsi="Arial" w:cs="Arial"/>
              </w:rPr>
            </w:pPr>
            <w:r>
              <w:rPr>
                <w:rFonts w:ascii="Arial" w:hAnsi="Arial" w:cs="Arial"/>
                <w:b/>
                <w:bCs/>
              </w:rPr>
              <w:t xml:space="preserve">Sazba DPH </w:t>
            </w:r>
          </w:p>
        </w:tc>
        <w:tc>
          <w:tcPr>
            <w:tcW w:w="5103" w:type="dxa"/>
            <w:vAlign w:val="center"/>
          </w:tcPr>
          <w:p w:rsidR="00C833C7" w:rsidRDefault="00C833C7" w:rsidP="00296256">
            <w:pPr>
              <w:jc w:val="center"/>
              <w:rPr>
                <w:rFonts w:ascii="Arial" w:hAnsi="Arial" w:cs="Arial"/>
                <w:b/>
                <w:bCs/>
              </w:rPr>
            </w:pPr>
            <w:r>
              <w:rPr>
                <w:rFonts w:ascii="Arial" w:hAnsi="Arial" w:cs="Arial"/>
                <w:b/>
                <w:bCs/>
              </w:rPr>
              <w:t>Cena za jednotku v Kč včetně DPH</w:t>
            </w:r>
          </w:p>
        </w:tc>
      </w:tr>
      <w:tr w:rsidR="00C833C7" w:rsidTr="00343716">
        <w:trPr>
          <w:trHeight w:val="776"/>
        </w:trPr>
        <w:tc>
          <w:tcPr>
            <w:tcW w:w="2126" w:type="dxa"/>
            <w:vAlign w:val="center"/>
          </w:tcPr>
          <w:p w:rsidR="00C833C7" w:rsidRDefault="00C833C7" w:rsidP="00296256">
            <w:pPr>
              <w:jc w:val="center"/>
              <w:rPr>
                <w:rFonts w:ascii="Arial" w:hAnsi="Arial" w:cs="Arial"/>
                <w:b/>
                <w:color w:val="000000"/>
                <w:sz w:val="22"/>
                <w:szCs w:val="22"/>
              </w:rPr>
            </w:pPr>
            <w:r>
              <w:rPr>
                <w:rFonts w:ascii="Arial" w:hAnsi="Arial" w:cs="Arial"/>
                <w:b/>
                <w:color w:val="000000"/>
                <w:sz w:val="22"/>
                <w:szCs w:val="22"/>
              </w:rPr>
              <w:t>Blade šasi</w:t>
            </w:r>
          </w:p>
        </w:tc>
        <w:tc>
          <w:tcPr>
            <w:tcW w:w="5099" w:type="dxa"/>
            <w:shd w:val="clear" w:color="auto" w:fill="FFFFFF" w:themeFill="background1"/>
            <w:vAlign w:val="center"/>
          </w:tcPr>
          <w:p w:rsidR="00C833C7" w:rsidRPr="00C93046" w:rsidRDefault="00477D8C" w:rsidP="00296256">
            <w:pPr>
              <w:tabs>
                <w:tab w:val="left" w:pos="0"/>
                <w:tab w:val="left" w:leader="underscore" w:pos="3686"/>
                <w:tab w:val="left" w:pos="5103"/>
                <w:tab w:val="left" w:leader="underscore" w:pos="9072"/>
              </w:tabs>
              <w:jc w:val="center"/>
              <w:rPr>
                <w:rFonts w:ascii="Arial" w:eastAsiaTheme="minorHAnsi" w:hAnsi="Arial" w:cs="Arial"/>
                <w:sz w:val="22"/>
                <w:szCs w:val="22"/>
              </w:rPr>
            </w:pPr>
            <w:r>
              <w:rPr>
                <w:rFonts w:ascii="Arial" w:eastAsiaTheme="minorHAnsi" w:hAnsi="Arial" w:cs="Arial"/>
                <w:sz w:val="22"/>
                <w:szCs w:val="22"/>
              </w:rPr>
              <w:t>395.200</w:t>
            </w:r>
          </w:p>
        </w:tc>
        <w:tc>
          <w:tcPr>
            <w:tcW w:w="2126" w:type="dxa"/>
            <w:shd w:val="clear" w:color="auto" w:fill="FFFFFF" w:themeFill="background1"/>
            <w:vAlign w:val="center"/>
          </w:tcPr>
          <w:p w:rsidR="00C833C7" w:rsidRPr="00C93046" w:rsidRDefault="00477D8C" w:rsidP="00296256">
            <w:pPr>
              <w:tabs>
                <w:tab w:val="left" w:pos="0"/>
                <w:tab w:val="left" w:leader="underscore" w:pos="3686"/>
                <w:tab w:val="left" w:pos="5103"/>
                <w:tab w:val="left" w:leader="underscore" w:pos="9072"/>
              </w:tabs>
              <w:jc w:val="center"/>
              <w:rPr>
                <w:rFonts w:ascii="Arial" w:eastAsiaTheme="minorHAnsi" w:hAnsi="Arial" w:cs="Arial"/>
                <w:sz w:val="22"/>
                <w:szCs w:val="22"/>
              </w:rPr>
            </w:pPr>
            <w:r>
              <w:rPr>
                <w:rFonts w:ascii="Arial" w:eastAsiaTheme="minorHAnsi" w:hAnsi="Arial" w:cs="Arial"/>
                <w:sz w:val="22"/>
                <w:szCs w:val="22"/>
              </w:rPr>
              <w:t>21%</w:t>
            </w:r>
          </w:p>
        </w:tc>
        <w:tc>
          <w:tcPr>
            <w:tcW w:w="5103" w:type="dxa"/>
            <w:shd w:val="clear" w:color="auto" w:fill="FFFFFF" w:themeFill="background1"/>
            <w:vAlign w:val="center"/>
          </w:tcPr>
          <w:p w:rsidR="00C833C7" w:rsidRPr="00C93046" w:rsidRDefault="00477D8C" w:rsidP="00296256">
            <w:pPr>
              <w:tabs>
                <w:tab w:val="left" w:pos="0"/>
                <w:tab w:val="left" w:leader="underscore" w:pos="3686"/>
                <w:tab w:val="left" w:pos="5103"/>
                <w:tab w:val="left" w:leader="underscore" w:pos="9072"/>
              </w:tabs>
              <w:jc w:val="center"/>
              <w:rPr>
                <w:rFonts w:ascii="Arial" w:eastAsiaTheme="minorHAnsi" w:hAnsi="Arial" w:cs="Arial"/>
                <w:sz w:val="22"/>
                <w:szCs w:val="22"/>
              </w:rPr>
            </w:pPr>
            <w:r>
              <w:rPr>
                <w:rFonts w:ascii="Arial" w:eastAsiaTheme="minorHAnsi" w:hAnsi="Arial" w:cs="Arial"/>
                <w:sz w:val="22"/>
                <w:szCs w:val="22"/>
              </w:rPr>
              <w:t>478.192</w:t>
            </w:r>
          </w:p>
        </w:tc>
      </w:tr>
      <w:tr w:rsidR="00C833C7" w:rsidTr="00343716">
        <w:trPr>
          <w:trHeight w:val="776"/>
        </w:trPr>
        <w:tc>
          <w:tcPr>
            <w:tcW w:w="2126" w:type="dxa"/>
            <w:vAlign w:val="center"/>
          </w:tcPr>
          <w:p w:rsidR="00C833C7" w:rsidRDefault="00C833C7" w:rsidP="00296256">
            <w:pPr>
              <w:jc w:val="center"/>
              <w:rPr>
                <w:rFonts w:ascii="Arial" w:hAnsi="Arial" w:cs="Arial"/>
                <w:b/>
                <w:color w:val="000000"/>
                <w:sz w:val="22"/>
                <w:szCs w:val="22"/>
              </w:rPr>
            </w:pPr>
            <w:r>
              <w:rPr>
                <w:rFonts w:ascii="Arial" w:hAnsi="Arial" w:cs="Arial"/>
                <w:b/>
                <w:color w:val="000000"/>
                <w:sz w:val="22"/>
                <w:szCs w:val="22"/>
              </w:rPr>
              <w:t>Server</w:t>
            </w:r>
          </w:p>
        </w:tc>
        <w:tc>
          <w:tcPr>
            <w:tcW w:w="5099" w:type="dxa"/>
            <w:shd w:val="clear" w:color="auto" w:fill="FFFFFF" w:themeFill="background1"/>
            <w:vAlign w:val="center"/>
          </w:tcPr>
          <w:p w:rsidR="00C833C7" w:rsidRPr="00C93046" w:rsidRDefault="00477D8C" w:rsidP="00296256">
            <w:pPr>
              <w:tabs>
                <w:tab w:val="left" w:pos="0"/>
                <w:tab w:val="left" w:leader="underscore" w:pos="3686"/>
                <w:tab w:val="left" w:pos="5103"/>
                <w:tab w:val="left" w:leader="underscore" w:pos="9072"/>
              </w:tabs>
              <w:jc w:val="center"/>
              <w:rPr>
                <w:rFonts w:ascii="Arial" w:eastAsiaTheme="minorHAnsi" w:hAnsi="Arial" w:cs="Arial"/>
                <w:sz w:val="22"/>
                <w:szCs w:val="22"/>
              </w:rPr>
            </w:pPr>
            <w:r>
              <w:rPr>
                <w:rFonts w:ascii="Arial" w:eastAsiaTheme="minorHAnsi" w:hAnsi="Arial" w:cs="Arial"/>
                <w:sz w:val="22"/>
                <w:szCs w:val="22"/>
              </w:rPr>
              <w:t>243.200</w:t>
            </w:r>
          </w:p>
        </w:tc>
        <w:tc>
          <w:tcPr>
            <w:tcW w:w="2126" w:type="dxa"/>
            <w:shd w:val="clear" w:color="auto" w:fill="FFFFFF" w:themeFill="background1"/>
            <w:vAlign w:val="center"/>
          </w:tcPr>
          <w:p w:rsidR="00C833C7" w:rsidRPr="00C93046" w:rsidRDefault="00477D8C" w:rsidP="00296256">
            <w:pPr>
              <w:tabs>
                <w:tab w:val="left" w:pos="0"/>
                <w:tab w:val="left" w:leader="underscore" w:pos="3686"/>
                <w:tab w:val="left" w:pos="5103"/>
                <w:tab w:val="left" w:leader="underscore" w:pos="9072"/>
              </w:tabs>
              <w:jc w:val="center"/>
              <w:rPr>
                <w:rFonts w:ascii="Arial" w:eastAsiaTheme="minorHAnsi" w:hAnsi="Arial" w:cs="Arial"/>
                <w:sz w:val="22"/>
                <w:szCs w:val="22"/>
              </w:rPr>
            </w:pPr>
            <w:r>
              <w:rPr>
                <w:rFonts w:ascii="Arial" w:eastAsiaTheme="minorHAnsi" w:hAnsi="Arial" w:cs="Arial"/>
                <w:sz w:val="22"/>
                <w:szCs w:val="22"/>
              </w:rPr>
              <w:t>21%</w:t>
            </w:r>
          </w:p>
        </w:tc>
        <w:tc>
          <w:tcPr>
            <w:tcW w:w="5103" w:type="dxa"/>
            <w:shd w:val="clear" w:color="auto" w:fill="FFFFFF" w:themeFill="background1"/>
            <w:vAlign w:val="center"/>
          </w:tcPr>
          <w:p w:rsidR="00C833C7" w:rsidRPr="00C93046" w:rsidRDefault="00477D8C" w:rsidP="00296256">
            <w:pPr>
              <w:tabs>
                <w:tab w:val="left" w:pos="0"/>
                <w:tab w:val="left" w:leader="underscore" w:pos="3686"/>
                <w:tab w:val="left" w:pos="5103"/>
                <w:tab w:val="left" w:leader="underscore" w:pos="9072"/>
              </w:tabs>
              <w:jc w:val="center"/>
              <w:rPr>
                <w:rFonts w:ascii="Arial" w:eastAsiaTheme="minorHAnsi" w:hAnsi="Arial" w:cs="Arial"/>
                <w:sz w:val="22"/>
                <w:szCs w:val="22"/>
              </w:rPr>
            </w:pPr>
            <w:r>
              <w:rPr>
                <w:rFonts w:ascii="Arial" w:eastAsiaTheme="minorHAnsi" w:hAnsi="Arial" w:cs="Arial"/>
                <w:sz w:val="22"/>
                <w:szCs w:val="22"/>
              </w:rPr>
              <w:t>1.765.632</w:t>
            </w:r>
          </w:p>
        </w:tc>
      </w:tr>
      <w:tr w:rsidR="00C833C7" w:rsidTr="00343716">
        <w:trPr>
          <w:trHeight w:val="776"/>
        </w:trPr>
        <w:tc>
          <w:tcPr>
            <w:tcW w:w="2126" w:type="dxa"/>
            <w:vAlign w:val="center"/>
          </w:tcPr>
          <w:p w:rsidR="00C833C7" w:rsidRDefault="00C833C7" w:rsidP="00296256">
            <w:pPr>
              <w:jc w:val="center"/>
              <w:rPr>
                <w:rFonts w:ascii="Arial" w:hAnsi="Arial" w:cs="Arial"/>
                <w:b/>
                <w:color w:val="000000"/>
                <w:sz w:val="22"/>
                <w:szCs w:val="22"/>
              </w:rPr>
            </w:pPr>
            <w:r>
              <w:rPr>
                <w:rFonts w:ascii="Arial" w:hAnsi="Arial" w:cs="Arial"/>
                <w:b/>
                <w:color w:val="000000"/>
                <w:sz w:val="22"/>
                <w:szCs w:val="22"/>
              </w:rPr>
              <w:t>Přepínač</w:t>
            </w:r>
          </w:p>
        </w:tc>
        <w:tc>
          <w:tcPr>
            <w:tcW w:w="5099" w:type="dxa"/>
            <w:shd w:val="clear" w:color="auto" w:fill="FFFFFF" w:themeFill="background1"/>
            <w:vAlign w:val="center"/>
          </w:tcPr>
          <w:p w:rsidR="00C833C7" w:rsidRPr="00C93046" w:rsidRDefault="00477D8C" w:rsidP="00296256">
            <w:pPr>
              <w:tabs>
                <w:tab w:val="left" w:pos="0"/>
                <w:tab w:val="left" w:leader="underscore" w:pos="3686"/>
                <w:tab w:val="left" w:pos="5103"/>
                <w:tab w:val="left" w:leader="underscore" w:pos="9072"/>
              </w:tabs>
              <w:jc w:val="center"/>
              <w:rPr>
                <w:rFonts w:ascii="Arial" w:eastAsiaTheme="minorHAnsi" w:hAnsi="Arial" w:cs="Arial"/>
                <w:sz w:val="22"/>
                <w:szCs w:val="22"/>
              </w:rPr>
            </w:pPr>
            <w:r>
              <w:rPr>
                <w:rFonts w:ascii="Arial" w:eastAsiaTheme="minorHAnsi" w:hAnsi="Arial" w:cs="Arial"/>
                <w:sz w:val="22"/>
                <w:szCs w:val="22"/>
              </w:rPr>
              <w:t>300.300</w:t>
            </w:r>
          </w:p>
        </w:tc>
        <w:tc>
          <w:tcPr>
            <w:tcW w:w="2126" w:type="dxa"/>
            <w:shd w:val="clear" w:color="auto" w:fill="FFFFFF" w:themeFill="background1"/>
            <w:vAlign w:val="center"/>
          </w:tcPr>
          <w:p w:rsidR="00C833C7" w:rsidRPr="00C93046" w:rsidRDefault="00477D8C" w:rsidP="00296256">
            <w:pPr>
              <w:tabs>
                <w:tab w:val="left" w:pos="0"/>
                <w:tab w:val="left" w:leader="underscore" w:pos="3686"/>
                <w:tab w:val="left" w:pos="5103"/>
                <w:tab w:val="left" w:leader="underscore" w:pos="9072"/>
              </w:tabs>
              <w:jc w:val="center"/>
              <w:rPr>
                <w:rFonts w:ascii="Arial" w:eastAsiaTheme="minorHAnsi" w:hAnsi="Arial" w:cs="Arial"/>
                <w:sz w:val="22"/>
                <w:szCs w:val="22"/>
              </w:rPr>
            </w:pPr>
            <w:r>
              <w:rPr>
                <w:rFonts w:ascii="Arial" w:eastAsiaTheme="minorHAnsi" w:hAnsi="Arial" w:cs="Arial"/>
                <w:sz w:val="22"/>
                <w:szCs w:val="22"/>
              </w:rPr>
              <w:t>21%</w:t>
            </w:r>
          </w:p>
        </w:tc>
        <w:tc>
          <w:tcPr>
            <w:tcW w:w="5103" w:type="dxa"/>
            <w:shd w:val="clear" w:color="auto" w:fill="FFFFFF" w:themeFill="background1"/>
            <w:vAlign w:val="center"/>
          </w:tcPr>
          <w:p w:rsidR="00C833C7" w:rsidRPr="00C93046" w:rsidRDefault="00477D8C" w:rsidP="00296256">
            <w:pPr>
              <w:tabs>
                <w:tab w:val="left" w:pos="0"/>
                <w:tab w:val="left" w:leader="underscore" w:pos="3686"/>
                <w:tab w:val="left" w:pos="5103"/>
                <w:tab w:val="left" w:leader="underscore" w:pos="9072"/>
              </w:tabs>
              <w:jc w:val="center"/>
              <w:rPr>
                <w:rFonts w:ascii="Arial" w:eastAsiaTheme="minorHAnsi" w:hAnsi="Arial" w:cs="Arial"/>
                <w:sz w:val="22"/>
                <w:szCs w:val="22"/>
              </w:rPr>
            </w:pPr>
            <w:r>
              <w:rPr>
                <w:rFonts w:ascii="Arial" w:eastAsiaTheme="minorHAnsi" w:hAnsi="Arial" w:cs="Arial"/>
                <w:sz w:val="22"/>
                <w:szCs w:val="22"/>
              </w:rPr>
              <w:t>726.726</w:t>
            </w:r>
          </w:p>
        </w:tc>
      </w:tr>
      <w:tr w:rsidR="00C833C7" w:rsidTr="00343716">
        <w:trPr>
          <w:trHeight w:val="776"/>
        </w:trPr>
        <w:tc>
          <w:tcPr>
            <w:tcW w:w="2126" w:type="dxa"/>
            <w:vAlign w:val="center"/>
          </w:tcPr>
          <w:p w:rsidR="00C833C7" w:rsidRDefault="00C833C7" w:rsidP="00296256">
            <w:pPr>
              <w:jc w:val="center"/>
              <w:rPr>
                <w:rFonts w:ascii="Arial" w:hAnsi="Arial" w:cs="Arial"/>
                <w:b/>
                <w:color w:val="000000"/>
                <w:sz w:val="22"/>
                <w:szCs w:val="22"/>
              </w:rPr>
            </w:pPr>
            <w:r>
              <w:rPr>
                <w:rFonts w:ascii="Arial" w:hAnsi="Arial" w:cs="Arial"/>
                <w:b/>
                <w:color w:val="000000"/>
                <w:sz w:val="22"/>
                <w:szCs w:val="22"/>
              </w:rPr>
              <w:t xml:space="preserve">Instalační práce včetně dopravy </w:t>
            </w:r>
          </w:p>
        </w:tc>
        <w:tc>
          <w:tcPr>
            <w:tcW w:w="5099" w:type="dxa"/>
            <w:shd w:val="clear" w:color="auto" w:fill="FFFFFF" w:themeFill="background1"/>
            <w:vAlign w:val="center"/>
          </w:tcPr>
          <w:p w:rsidR="00C833C7" w:rsidRPr="00C93046" w:rsidRDefault="00477D8C" w:rsidP="00296256">
            <w:pPr>
              <w:tabs>
                <w:tab w:val="left" w:pos="0"/>
                <w:tab w:val="left" w:leader="underscore" w:pos="3686"/>
                <w:tab w:val="left" w:pos="5103"/>
                <w:tab w:val="left" w:leader="underscore" w:pos="9072"/>
              </w:tabs>
              <w:jc w:val="center"/>
              <w:rPr>
                <w:rFonts w:ascii="Arial" w:eastAsiaTheme="minorHAnsi" w:hAnsi="Arial" w:cs="Arial"/>
                <w:sz w:val="22"/>
                <w:szCs w:val="22"/>
              </w:rPr>
            </w:pPr>
            <w:r>
              <w:rPr>
                <w:rFonts w:ascii="Arial" w:eastAsiaTheme="minorHAnsi" w:hAnsi="Arial" w:cs="Arial"/>
                <w:sz w:val="22"/>
                <w:szCs w:val="22"/>
              </w:rPr>
              <w:t>40.000</w:t>
            </w:r>
          </w:p>
        </w:tc>
        <w:tc>
          <w:tcPr>
            <w:tcW w:w="2126" w:type="dxa"/>
            <w:shd w:val="clear" w:color="auto" w:fill="FFFFFF" w:themeFill="background1"/>
            <w:vAlign w:val="center"/>
          </w:tcPr>
          <w:p w:rsidR="00C833C7" w:rsidRPr="00C93046" w:rsidRDefault="00477D8C" w:rsidP="00296256">
            <w:pPr>
              <w:tabs>
                <w:tab w:val="left" w:pos="0"/>
                <w:tab w:val="left" w:leader="underscore" w:pos="3686"/>
                <w:tab w:val="left" w:pos="5103"/>
                <w:tab w:val="left" w:leader="underscore" w:pos="9072"/>
              </w:tabs>
              <w:jc w:val="center"/>
              <w:rPr>
                <w:rFonts w:ascii="Arial" w:eastAsiaTheme="minorHAnsi" w:hAnsi="Arial" w:cs="Arial"/>
                <w:sz w:val="22"/>
                <w:szCs w:val="22"/>
              </w:rPr>
            </w:pPr>
            <w:r>
              <w:rPr>
                <w:rFonts w:ascii="Arial" w:eastAsiaTheme="minorHAnsi" w:hAnsi="Arial" w:cs="Arial"/>
                <w:sz w:val="22"/>
                <w:szCs w:val="22"/>
              </w:rPr>
              <w:t>21%</w:t>
            </w:r>
          </w:p>
        </w:tc>
        <w:tc>
          <w:tcPr>
            <w:tcW w:w="5103" w:type="dxa"/>
            <w:shd w:val="clear" w:color="auto" w:fill="FFFFFF" w:themeFill="background1"/>
            <w:vAlign w:val="center"/>
          </w:tcPr>
          <w:p w:rsidR="00C833C7" w:rsidRPr="00C93046" w:rsidRDefault="00477D8C" w:rsidP="00296256">
            <w:pPr>
              <w:tabs>
                <w:tab w:val="left" w:pos="0"/>
                <w:tab w:val="left" w:leader="underscore" w:pos="3686"/>
                <w:tab w:val="left" w:pos="5103"/>
                <w:tab w:val="left" w:leader="underscore" w:pos="9072"/>
              </w:tabs>
              <w:jc w:val="center"/>
              <w:rPr>
                <w:rFonts w:ascii="Arial" w:eastAsiaTheme="minorHAnsi" w:hAnsi="Arial" w:cs="Arial"/>
                <w:sz w:val="22"/>
                <w:szCs w:val="22"/>
              </w:rPr>
            </w:pPr>
            <w:r>
              <w:rPr>
                <w:rFonts w:ascii="Arial" w:eastAsiaTheme="minorHAnsi" w:hAnsi="Arial" w:cs="Arial"/>
                <w:sz w:val="22"/>
                <w:szCs w:val="22"/>
              </w:rPr>
              <w:t>48.400</w:t>
            </w:r>
          </w:p>
        </w:tc>
      </w:tr>
    </w:tbl>
    <w:p w:rsidR="00C833C7" w:rsidRDefault="00C833C7" w:rsidP="00C833C7">
      <w:pPr>
        <w:rPr>
          <w:rFonts w:ascii="Arial" w:hAnsi="Arial" w:cs="Arial"/>
          <w:sz w:val="32"/>
          <w:szCs w:val="32"/>
        </w:rPr>
      </w:pPr>
    </w:p>
    <w:p w:rsidR="00C833C7" w:rsidRDefault="00C833C7" w:rsidP="00C833C7">
      <w:pPr>
        <w:jc w:val="center"/>
        <w:rPr>
          <w:rFonts w:ascii="Arial" w:hAnsi="Arial" w:cs="Arial"/>
          <w:b/>
          <w:sz w:val="32"/>
          <w:szCs w:val="32"/>
        </w:rPr>
      </w:pPr>
      <w:r w:rsidRPr="00D12F41">
        <w:rPr>
          <w:rFonts w:ascii="Arial" w:hAnsi="Arial" w:cs="Arial"/>
          <w:b/>
          <w:sz w:val="32"/>
          <w:szCs w:val="32"/>
        </w:rPr>
        <w:t>Kalkulace ceny</w:t>
      </w:r>
    </w:p>
    <w:p w:rsidR="00C833C7" w:rsidRPr="00E922BD" w:rsidRDefault="00C833C7" w:rsidP="00C833C7">
      <w:pPr>
        <w:rPr>
          <w:rFonts w:ascii="Arial" w:hAnsi="Arial" w:cs="Arial"/>
          <w:sz w:val="32"/>
          <w:szCs w:val="32"/>
        </w:rPr>
      </w:pPr>
    </w:p>
    <w:p w:rsidR="00C833C7" w:rsidRPr="00E922BD" w:rsidRDefault="00C833C7" w:rsidP="00C833C7">
      <w:pPr>
        <w:rPr>
          <w:rFonts w:ascii="Arial" w:hAnsi="Arial" w:cs="Arial"/>
          <w:sz w:val="32"/>
          <w:szCs w:val="32"/>
        </w:rPr>
      </w:pPr>
    </w:p>
    <w:p w:rsidR="00C833C7" w:rsidRPr="00E922BD" w:rsidRDefault="00C833C7" w:rsidP="00C833C7">
      <w:pPr>
        <w:rPr>
          <w:rFonts w:ascii="Arial" w:hAnsi="Arial" w:cs="Arial"/>
          <w:sz w:val="32"/>
          <w:szCs w:val="32"/>
        </w:rPr>
      </w:pPr>
    </w:p>
    <w:p w:rsidR="004F2EF1" w:rsidRDefault="004F2EF1"/>
    <w:sectPr w:rsidR="004F2EF1" w:rsidSect="00C833C7">
      <w:head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823" w:rsidRDefault="00A12823" w:rsidP="00C833C7">
      <w:r>
        <w:separator/>
      </w:r>
    </w:p>
  </w:endnote>
  <w:endnote w:type="continuationSeparator" w:id="0">
    <w:p w:rsidR="00A12823" w:rsidRDefault="00A12823" w:rsidP="00C8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441279"/>
      <w:docPartObj>
        <w:docPartGallery w:val="Page Numbers (Bottom of Page)"/>
        <w:docPartUnique/>
      </w:docPartObj>
    </w:sdtPr>
    <w:sdtEndPr>
      <w:rPr>
        <w:rFonts w:ascii="Arial" w:hAnsi="Arial" w:cs="Arial"/>
      </w:rPr>
    </w:sdtEndPr>
    <w:sdtContent>
      <w:sdt>
        <w:sdtPr>
          <w:rPr>
            <w:rFonts w:ascii="Arial" w:hAnsi="Arial" w:cs="Arial"/>
          </w:rPr>
          <w:id w:val="-1769616900"/>
          <w:docPartObj>
            <w:docPartGallery w:val="Page Numbers (Top of Page)"/>
            <w:docPartUnique/>
          </w:docPartObj>
        </w:sdtPr>
        <w:sdtEndPr/>
        <w:sdtContent>
          <w:p w:rsidR="00E153EA" w:rsidRPr="00E153EA" w:rsidRDefault="00E153EA" w:rsidP="00E153EA">
            <w:pPr>
              <w:pStyle w:val="Zpat"/>
              <w:pBdr>
                <w:top w:val="single" w:sz="4" w:space="1" w:color="auto"/>
              </w:pBdr>
              <w:jc w:val="right"/>
              <w:rPr>
                <w:rFonts w:ascii="Arial" w:hAnsi="Arial" w:cs="Arial"/>
              </w:rPr>
            </w:pPr>
            <w:r w:rsidRPr="00E153EA">
              <w:rPr>
                <w:rFonts w:ascii="Arial" w:hAnsi="Arial" w:cs="Arial"/>
              </w:rPr>
              <w:t xml:space="preserve">Stránka </w:t>
            </w:r>
            <w:r w:rsidRPr="00E153EA">
              <w:rPr>
                <w:rFonts w:ascii="Arial" w:hAnsi="Arial" w:cs="Arial"/>
                <w:bCs/>
              </w:rPr>
              <w:fldChar w:fldCharType="begin"/>
            </w:r>
            <w:r w:rsidRPr="00E153EA">
              <w:rPr>
                <w:rFonts w:ascii="Arial" w:hAnsi="Arial" w:cs="Arial"/>
                <w:bCs/>
              </w:rPr>
              <w:instrText>PAGE</w:instrText>
            </w:r>
            <w:r w:rsidRPr="00E153EA">
              <w:rPr>
                <w:rFonts w:ascii="Arial" w:hAnsi="Arial" w:cs="Arial"/>
                <w:bCs/>
              </w:rPr>
              <w:fldChar w:fldCharType="separate"/>
            </w:r>
            <w:r w:rsidR="00203667">
              <w:rPr>
                <w:rFonts w:ascii="Arial" w:hAnsi="Arial" w:cs="Arial"/>
                <w:bCs/>
                <w:noProof/>
              </w:rPr>
              <w:t>11</w:t>
            </w:r>
            <w:r w:rsidRPr="00E153EA">
              <w:rPr>
                <w:rFonts w:ascii="Arial" w:hAnsi="Arial" w:cs="Arial"/>
                <w:bCs/>
              </w:rPr>
              <w:fldChar w:fldCharType="end"/>
            </w:r>
            <w:r w:rsidRPr="00E153EA">
              <w:rPr>
                <w:rFonts w:ascii="Arial" w:hAnsi="Arial" w:cs="Arial"/>
              </w:rPr>
              <w:t xml:space="preserve"> (celkem </w:t>
            </w:r>
            <w:r w:rsidRPr="00E153EA">
              <w:rPr>
                <w:rFonts w:ascii="Arial" w:hAnsi="Arial" w:cs="Arial"/>
                <w:bCs/>
              </w:rPr>
              <w:fldChar w:fldCharType="begin"/>
            </w:r>
            <w:r w:rsidRPr="00E153EA">
              <w:rPr>
                <w:rFonts w:ascii="Arial" w:hAnsi="Arial" w:cs="Arial"/>
                <w:bCs/>
              </w:rPr>
              <w:instrText>NUMPAGES</w:instrText>
            </w:r>
            <w:r w:rsidRPr="00E153EA">
              <w:rPr>
                <w:rFonts w:ascii="Arial" w:hAnsi="Arial" w:cs="Arial"/>
                <w:bCs/>
              </w:rPr>
              <w:fldChar w:fldCharType="separate"/>
            </w:r>
            <w:r w:rsidR="00203667">
              <w:rPr>
                <w:rFonts w:ascii="Arial" w:hAnsi="Arial" w:cs="Arial"/>
                <w:bCs/>
                <w:noProof/>
              </w:rPr>
              <w:t>15</w:t>
            </w:r>
            <w:r w:rsidRPr="00E153EA">
              <w:rPr>
                <w:rFonts w:ascii="Arial" w:hAnsi="Arial" w:cs="Arial"/>
                <w:bCs/>
              </w:rPr>
              <w:fldChar w:fldCharType="end"/>
            </w:r>
            <w:r w:rsidRPr="00E153EA">
              <w:rPr>
                <w:rFonts w:ascii="Arial" w:hAnsi="Arial" w:cs="Arial"/>
                <w:bCs/>
              </w:rPr>
              <w:t>)</w:t>
            </w:r>
          </w:p>
        </w:sdtContent>
      </w:sdt>
    </w:sdtContent>
  </w:sdt>
  <w:p w:rsidR="00E153EA" w:rsidRDefault="00E153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823" w:rsidRDefault="00A12823" w:rsidP="00C833C7">
      <w:r>
        <w:separator/>
      </w:r>
    </w:p>
  </w:footnote>
  <w:footnote w:type="continuationSeparator" w:id="0">
    <w:p w:rsidR="00A12823" w:rsidRDefault="00A12823" w:rsidP="00C83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6D7" w:rsidRPr="008B3FFC" w:rsidRDefault="00203667" w:rsidP="001C3039">
    <w:pPr>
      <w:pStyle w:val="Zhlav"/>
      <w:jc w:val="right"/>
      <w:rPr>
        <w:rFonts w:ascii="Arial" w:hAnsi="Arial" w:cs="Arial"/>
        <w:b/>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0A0" w:firstRow="1" w:lastRow="0" w:firstColumn="1" w:lastColumn="0" w:noHBand="0" w:noVBand="0"/>
    </w:tblPr>
    <w:tblGrid>
      <w:gridCol w:w="6345"/>
      <w:gridCol w:w="3544"/>
    </w:tblGrid>
    <w:tr w:rsidR="00E153EA" w:rsidRPr="00896A69" w:rsidTr="00786016">
      <w:tc>
        <w:tcPr>
          <w:tcW w:w="6345" w:type="dxa"/>
        </w:tcPr>
        <w:p w:rsidR="00E153EA" w:rsidRPr="00896A69" w:rsidRDefault="00E153EA" w:rsidP="00E153EA">
          <w:pPr>
            <w:tabs>
              <w:tab w:val="left" w:pos="1206"/>
            </w:tabs>
            <w:rPr>
              <w:rFonts w:ascii="Cambria" w:hAnsi="Cambria" w:cs="Arial"/>
              <w:sz w:val="44"/>
              <w:szCs w:val="40"/>
            </w:rPr>
          </w:pPr>
          <w:r w:rsidRPr="00896A69">
            <w:rPr>
              <w:rFonts w:ascii="Cambria" w:hAnsi="Cambria" w:cs="Arial"/>
              <w:b/>
              <w:color w:val="1F497D"/>
              <w:sz w:val="44"/>
              <w:szCs w:val="40"/>
            </w:rPr>
            <w:t>Úřad vlády České republiky</w:t>
          </w:r>
          <w:r w:rsidRPr="00896A69">
            <w:rPr>
              <w:rFonts w:ascii="Cambria" w:hAnsi="Cambria" w:cs="Arial"/>
              <w:b/>
              <w:color w:val="1F497D"/>
              <w:sz w:val="44"/>
              <w:szCs w:val="40"/>
            </w:rPr>
            <w:br/>
          </w:r>
          <w:r w:rsidRPr="003F5B1F">
            <w:rPr>
              <w:rFonts w:ascii="Cambria" w:hAnsi="Cambria" w:cs="Arial"/>
              <w:color w:val="1F497D"/>
              <w:sz w:val="28"/>
              <w:szCs w:val="26"/>
            </w:rPr>
            <w:t>Od</w:t>
          </w:r>
          <w:r>
            <w:rPr>
              <w:rFonts w:ascii="Cambria" w:hAnsi="Cambria" w:cs="Arial"/>
              <w:color w:val="1F497D"/>
              <w:sz w:val="28"/>
              <w:szCs w:val="26"/>
            </w:rPr>
            <w:t xml:space="preserve">bor informatiky </w:t>
          </w:r>
        </w:p>
      </w:tc>
      <w:tc>
        <w:tcPr>
          <w:tcW w:w="3544" w:type="dxa"/>
        </w:tcPr>
        <w:p w:rsidR="00E153EA" w:rsidRPr="00896A69" w:rsidRDefault="00E153EA" w:rsidP="00E153EA">
          <w:pPr>
            <w:tabs>
              <w:tab w:val="center" w:pos="4536"/>
              <w:tab w:val="right" w:pos="9072"/>
            </w:tabs>
            <w:jc w:val="right"/>
          </w:pPr>
          <w:r w:rsidRPr="00DB0C37">
            <w:rPr>
              <w:rFonts w:cs="Arial"/>
              <w:b/>
              <w:noProof/>
              <w:color w:val="1F497D"/>
              <w:sz w:val="44"/>
              <w:szCs w:val="28"/>
            </w:rPr>
            <w:drawing>
              <wp:inline distT="0" distB="0" distL="0" distR="0" wp14:anchorId="451343F5" wp14:editId="0F22FA48">
                <wp:extent cx="1752600" cy="523875"/>
                <wp:effectExtent l="0" t="0" r="0" b="9525"/>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23875"/>
                        </a:xfrm>
                        <a:prstGeom prst="rect">
                          <a:avLst/>
                        </a:prstGeom>
                        <a:noFill/>
                        <a:ln>
                          <a:noFill/>
                        </a:ln>
                      </pic:spPr>
                    </pic:pic>
                  </a:graphicData>
                </a:graphic>
              </wp:inline>
            </w:drawing>
          </w:r>
        </w:p>
      </w:tc>
    </w:tr>
  </w:tbl>
  <w:p w:rsidR="001D16D7" w:rsidRDefault="00203667" w:rsidP="00FF23D0">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6D7" w:rsidRDefault="00C833C7" w:rsidP="001C3039">
    <w:pPr>
      <w:pStyle w:val="Zhlav"/>
      <w:jc w:val="right"/>
    </w:pPr>
    <w:r>
      <w:rPr>
        <w:rFonts w:ascii="Arial" w:hAnsi="Arial" w:cs="Arial"/>
        <w:b/>
        <w:i/>
        <w:sz w:val="22"/>
        <w:szCs w:val="22"/>
      </w:rPr>
      <w:t xml:space="preserve"> </w:t>
    </w:r>
    <w:r w:rsidRPr="008B3FFC">
      <w:rPr>
        <w:rFonts w:ascii="Arial" w:hAnsi="Arial" w:cs="Arial"/>
        <w:b/>
        <w:i/>
        <w:sz w:val="22"/>
        <w:szCs w:val="22"/>
      </w:rPr>
      <w:t xml:space="preserve">Příloha </w:t>
    </w:r>
    <w:r>
      <w:rPr>
        <w:rFonts w:ascii="Arial" w:hAnsi="Arial" w:cs="Arial"/>
        <w:b/>
        <w:i/>
        <w:sz w:val="22"/>
        <w:szCs w:val="22"/>
      </w:rPr>
      <w:t>č. 1 smlouvy – Technická specifikace zboží</w:t>
    </w:r>
  </w:p>
  <w:p w:rsidR="001D16D7" w:rsidRPr="008B3FFC" w:rsidRDefault="00203667" w:rsidP="001C3039">
    <w:pPr>
      <w:pStyle w:val="Zhlav"/>
      <w:jc w:val="right"/>
      <w:rPr>
        <w:rFonts w:ascii="Arial" w:hAnsi="Arial" w:cs="Arial"/>
        <w:b/>
        <w: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6D7" w:rsidRDefault="00C833C7" w:rsidP="00FF23D0">
    <w:pPr>
      <w:pStyle w:val="Zhlav"/>
      <w:jc w:val="right"/>
    </w:pPr>
    <w:r w:rsidRPr="008B3FFC">
      <w:rPr>
        <w:rFonts w:ascii="Arial" w:hAnsi="Arial" w:cs="Arial"/>
        <w:b/>
        <w:i/>
        <w:sz w:val="22"/>
        <w:szCs w:val="22"/>
      </w:rPr>
      <w:t xml:space="preserve">Příloha </w:t>
    </w:r>
    <w:r>
      <w:rPr>
        <w:rFonts w:ascii="Arial" w:hAnsi="Arial" w:cs="Arial"/>
        <w:b/>
        <w:i/>
        <w:sz w:val="22"/>
        <w:szCs w:val="22"/>
      </w:rPr>
      <w:t>č. 1 smlouvy – Technická specifikace zboží</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E4C" w:rsidRDefault="00613E4C" w:rsidP="001C3039">
    <w:pPr>
      <w:pStyle w:val="Zhlav"/>
      <w:jc w:val="right"/>
    </w:pPr>
    <w:r>
      <w:rPr>
        <w:rFonts w:ascii="Arial" w:hAnsi="Arial" w:cs="Arial"/>
        <w:b/>
        <w:i/>
        <w:sz w:val="22"/>
        <w:szCs w:val="22"/>
      </w:rPr>
      <w:t xml:space="preserve"> </w:t>
    </w:r>
    <w:r w:rsidRPr="008B3FFC">
      <w:rPr>
        <w:rFonts w:ascii="Arial" w:hAnsi="Arial" w:cs="Arial"/>
        <w:b/>
        <w:i/>
        <w:sz w:val="22"/>
        <w:szCs w:val="22"/>
      </w:rPr>
      <w:t xml:space="preserve">Příloha </w:t>
    </w:r>
    <w:r>
      <w:rPr>
        <w:rFonts w:ascii="Arial" w:hAnsi="Arial" w:cs="Arial"/>
        <w:b/>
        <w:i/>
        <w:sz w:val="22"/>
        <w:szCs w:val="22"/>
      </w:rPr>
      <w:t xml:space="preserve">č. 2 smlouvy – Kalkulace ceny </w:t>
    </w:r>
  </w:p>
  <w:p w:rsidR="00613E4C" w:rsidRPr="008B3FFC" w:rsidRDefault="00613E4C" w:rsidP="001C3039">
    <w:pPr>
      <w:pStyle w:val="Zhlav"/>
      <w:jc w:val="right"/>
      <w:rPr>
        <w:rFonts w:ascii="Arial" w:hAnsi="Arial" w:cs="Arial"/>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72A"/>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DA063F"/>
    <w:multiLevelType w:val="hybridMultilevel"/>
    <w:tmpl w:val="91609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3176A6"/>
    <w:multiLevelType w:val="hybridMultilevel"/>
    <w:tmpl w:val="FB0A64E2"/>
    <w:lvl w:ilvl="0" w:tplc="468E1C2A">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F2661D3"/>
    <w:multiLevelType w:val="hybridMultilevel"/>
    <w:tmpl w:val="F18ABE2A"/>
    <w:lvl w:ilvl="0" w:tplc="D1761A76">
      <w:start w:val="1"/>
      <w:numFmt w:val="decimal"/>
      <w:lvlText w:val="%1."/>
      <w:lvlJc w:val="left"/>
      <w:pPr>
        <w:ind w:left="720" w:hanging="360"/>
      </w:pPr>
      <w:rPr>
        <w:rFonts w:ascii="Arial" w:eastAsia="Times New Roman" w:hAnsi="Arial" w:cs="Arial" w:hint="default"/>
        <w:sz w:val="22"/>
        <w:szCs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439058C"/>
    <w:multiLevelType w:val="hybridMultilevel"/>
    <w:tmpl w:val="3188962A"/>
    <w:lvl w:ilvl="0" w:tplc="0405000F">
      <w:start w:val="1"/>
      <w:numFmt w:val="decimal"/>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4C321E8"/>
    <w:multiLevelType w:val="hybridMultilevel"/>
    <w:tmpl w:val="6D828668"/>
    <w:lvl w:ilvl="0" w:tplc="ACBA0BF0">
      <w:start w:val="1"/>
      <w:numFmt w:val="decimal"/>
      <w:lvlText w:val="%1."/>
      <w:lvlJc w:val="left"/>
      <w:pPr>
        <w:ind w:left="720" w:hanging="360"/>
      </w:pPr>
      <w:rPr>
        <w:rFonts w:ascii="Arial" w:hAnsi="Arial" w:cs="Arial" w:hint="default"/>
        <w:sz w:val="22"/>
        <w:szCs w:val="22"/>
      </w:rPr>
    </w:lvl>
    <w:lvl w:ilvl="1" w:tplc="F0441FCC">
      <w:start w:val="1"/>
      <w:numFmt w:val="decimal"/>
      <w:lvlText w:val="6.%2"/>
      <w:lvlJc w:val="left"/>
      <w:pPr>
        <w:ind w:left="1440" w:hanging="360"/>
      </w:pPr>
      <w:rPr>
        <w:rFonts w:hint="default"/>
      </w:rPr>
    </w:lvl>
    <w:lvl w:ilvl="2" w:tplc="DF22A27A">
      <w:start w:val="1"/>
      <w:numFmt w:val="lowerLetter"/>
      <w:lvlText w:val="%3)"/>
      <w:lvlJc w:val="left"/>
      <w:pPr>
        <w:ind w:left="2340" w:hanging="36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ED03D4"/>
    <w:multiLevelType w:val="multilevel"/>
    <w:tmpl w:val="5F34D574"/>
    <w:lvl w:ilvl="0">
      <w:start w:val="15"/>
      <w:numFmt w:val="decimal"/>
      <w:lvlText w:val="%1"/>
      <w:lvlJc w:val="left"/>
      <w:pPr>
        <w:ind w:left="360" w:hanging="360"/>
      </w:pPr>
      <w:rPr>
        <w:rFonts w:ascii="Times New Roman" w:hAnsi="Times New Roman" w:cs="Times New Roman" w:hint="default"/>
        <w:sz w:val="20"/>
      </w:rPr>
    </w:lvl>
    <w:lvl w:ilvl="1">
      <w:start w:val="1"/>
      <w:numFmt w:val="decimal"/>
      <w:lvlText w:val="%2."/>
      <w:lvlJc w:val="left"/>
      <w:pPr>
        <w:ind w:left="360" w:hanging="360"/>
      </w:pPr>
      <w:rPr>
        <w:rFonts w:ascii="Arial" w:eastAsiaTheme="minorHAnsi" w:hAnsi="Arial" w:cs="Arial"/>
        <w:sz w:val="22"/>
        <w:szCs w:val="22"/>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7" w15:restartNumberingAfterBreak="0">
    <w:nsid w:val="15371457"/>
    <w:multiLevelType w:val="hybridMultilevel"/>
    <w:tmpl w:val="FDDCA9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C8D0043"/>
    <w:multiLevelType w:val="hybridMultilevel"/>
    <w:tmpl w:val="D63AECA0"/>
    <w:lvl w:ilvl="0" w:tplc="2438B9D4">
      <w:start w:val="1"/>
      <w:numFmt w:val="lowerLetter"/>
      <w:lvlText w:val="%1)"/>
      <w:lvlJc w:val="left"/>
      <w:pPr>
        <w:tabs>
          <w:tab w:val="num" w:pos="720"/>
        </w:tabs>
        <w:ind w:left="720" w:hanging="360"/>
      </w:pPr>
      <w:rPr>
        <w:rFonts w:hint="default"/>
      </w:rPr>
    </w:lvl>
    <w:lvl w:ilvl="1" w:tplc="6E0424B4">
      <w:start w:val="1"/>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964F59"/>
    <w:multiLevelType w:val="hybridMultilevel"/>
    <w:tmpl w:val="93A234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CCA2C8F"/>
    <w:multiLevelType w:val="hybridMultilevel"/>
    <w:tmpl w:val="3FBECC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525E1477"/>
    <w:multiLevelType w:val="hybridMultilevel"/>
    <w:tmpl w:val="8D2AF4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60F38DB"/>
    <w:multiLevelType w:val="hybridMultilevel"/>
    <w:tmpl w:val="4DB456A6"/>
    <w:lvl w:ilvl="0" w:tplc="0405000F">
      <w:start w:val="1"/>
      <w:numFmt w:val="decimal"/>
      <w:lvlText w:val="%1."/>
      <w:lvlJc w:val="left"/>
      <w:pPr>
        <w:tabs>
          <w:tab w:val="num" w:pos="720"/>
        </w:tabs>
        <w:ind w:left="720" w:hanging="360"/>
      </w:pPr>
    </w:lvl>
    <w:lvl w:ilvl="1" w:tplc="96326828">
      <w:start w:val="1"/>
      <w:numFmt w:val="lowerLetter"/>
      <w:lvlText w:val="%2)"/>
      <w:lvlJc w:val="left"/>
      <w:pPr>
        <w:tabs>
          <w:tab w:val="num" w:pos="1070"/>
        </w:tabs>
        <w:ind w:left="1070" w:hanging="360"/>
      </w:pPr>
      <w:rPr>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8C41DD1"/>
    <w:multiLevelType w:val="hybridMultilevel"/>
    <w:tmpl w:val="4288DA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5BF04A5F"/>
    <w:multiLevelType w:val="hybridMultilevel"/>
    <w:tmpl w:val="9D8A3F1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C9E75DB"/>
    <w:multiLevelType w:val="hybridMultilevel"/>
    <w:tmpl w:val="C308A59A"/>
    <w:lvl w:ilvl="0" w:tplc="468E1C2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5D333E1F"/>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04500C2"/>
    <w:multiLevelType w:val="hybridMultilevel"/>
    <w:tmpl w:val="887EAC7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F637AD2"/>
    <w:multiLevelType w:val="hybridMultilevel"/>
    <w:tmpl w:val="B926979E"/>
    <w:lvl w:ilvl="0" w:tplc="468E1C2A">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080"/>
        </w:tabs>
        <w:ind w:left="1080" w:hanging="360"/>
      </w:pPr>
    </w:lvl>
    <w:lvl w:ilvl="2" w:tplc="03426948">
      <w:numFmt w:val="bullet"/>
      <w:lvlText w:val="-"/>
      <w:lvlJc w:val="left"/>
      <w:pPr>
        <w:ind w:left="1980" w:hanging="360"/>
      </w:pPr>
      <w:rPr>
        <w:rFonts w:ascii="Arial" w:eastAsia="SimSun" w:hAnsi="Arial" w:cs="Arial"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725209FA"/>
    <w:multiLevelType w:val="hybridMultilevel"/>
    <w:tmpl w:val="EBF49020"/>
    <w:lvl w:ilvl="0" w:tplc="AB66F1EC">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3084AEE"/>
    <w:multiLevelType w:val="hybridMultilevel"/>
    <w:tmpl w:val="ABF081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F1E7F67"/>
    <w:multiLevelType w:val="hybridMultilevel"/>
    <w:tmpl w:val="E9ECAD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7"/>
  </w:num>
  <w:num w:numId="4">
    <w:abstractNumId w:val="8"/>
  </w:num>
  <w:num w:numId="5">
    <w:abstractNumId w:val="0"/>
  </w:num>
  <w:num w:numId="6">
    <w:abstractNumId w:val="4"/>
  </w:num>
  <w:num w:numId="7">
    <w:abstractNumId w:val="1"/>
  </w:num>
  <w:num w:numId="8">
    <w:abstractNumId w:val="13"/>
  </w:num>
  <w:num w:numId="9">
    <w:abstractNumId w:val="9"/>
  </w:num>
  <w:num w:numId="10">
    <w:abstractNumId w:val="12"/>
  </w:num>
  <w:num w:numId="11">
    <w:abstractNumId w:val="3"/>
  </w:num>
  <w:num w:numId="12">
    <w:abstractNumId w:val="16"/>
  </w:num>
  <w:num w:numId="13">
    <w:abstractNumId w:val="2"/>
  </w:num>
  <w:num w:numId="14">
    <w:abstractNumId w:val="18"/>
  </w:num>
  <w:num w:numId="15">
    <w:abstractNumId w:val="20"/>
  </w:num>
  <w:num w:numId="16">
    <w:abstractNumId w:val="19"/>
  </w:num>
  <w:num w:numId="17">
    <w:abstractNumId w:val="5"/>
  </w:num>
  <w:num w:numId="18">
    <w:abstractNumId w:val="6"/>
  </w:num>
  <w:num w:numId="19">
    <w:abstractNumId w:val="22"/>
  </w:num>
  <w:num w:numId="20">
    <w:abstractNumId w:val="11"/>
  </w:num>
  <w:num w:numId="21">
    <w:abstractNumId w:val="7"/>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C7"/>
    <w:rsid w:val="00203667"/>
    <w:rsid w:val="00327A47"/>
    <w:rsid w:val="00343716"/>
    <w:rsid w:val="00477D8C"/>
    <w:rsid w:val="004F2EF1"/>
    <w:rsid w:val="00613E4C"/>
    <w:rsid w:val="00A12823"/>
    <w:rsid w:val="00A31330"/>
    <w:rsid w:val="00B67C3D"/>
    <w:rsid w:val="00C426BC"/>
    <w:rsid w:val="00C833C7"/>
    <w:rsid w:val="00D75D12"/>
    <w:rsid w:val="00E10043"/>
    <w:rsid w:val="00E153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CCEC"/>
  <w15:chartTrackingRefBased/>
  <w15:docId w15:val="{94308FDA-5441-42AB-8AEF-C691327B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33C7"/>
    <w:pPr>
      <w:spacing w:after="0" w:line="240" w:lineRule="auto"/>
      <w:jc w:val="both"/>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
    <w:qFormat/>
    <w:rsid w:val="00C833C7"/>
    <w:pPr>
      <w:keepNext/>
      <w:spacing w:before="240" w:after="60"/>
      <w:outlineLvl w:val="1"/>
    </w:pPr>
    <w:rPr>
      <w:rFonts w:ascii="Cambria" w:eastAsia="Calibri" w:hAnsi="Cambria"/>
      <w:b/>
      <w:bCs/>
      <w:i/>
      <w:iCs/>
      <w:sz w:val="28"/>
      <w:szCs w:val="28"/>
    </w:rPr>
  </w:style>
  <w:style w:type="paragraph" w:styleId="Nadpis4">
    <w:name w:val="heading 4"/>
    <w:basedOn w:val="Normln"/>
    <w:next w:val="Normln"/>
    <w:link w:val="Nadpis4Char"/>
    <w:uiPriority w:val="9"/>
    <w:unhideWhenUsed/>
    <w:qFormat/>
    <w:rsid w:val="00C833C7"/>
    <w:pPr>
      <w:keepNext/>
      <w:keepLines/>
      <w:spacing w:before="20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833C7"/>
    <w:rPr>
      <w:rFonts w:ascii="Cambria" w:eastAsia="Calibri" w:hAnsi="Cambria" w:cs="Times New Roman"/>
      <w:b/>
      <w:bCs/>
      <w:i/>
      <w:iCs/>
      <w:sz w:val="28"/>
      <w:szCs w:val="28"/>
      <w:lang w:eastAsia="cs-CZ"/>
    </w:rPr>
  </w:style>
  <w:style w:type="character" w:customStyle="1" w:styleId="Nadpis4Char">
    <w:name w:val="Nadpis 4 Char"/>
    <w:basedOn w:val="Standardnpsmoodstavce"/>
    <w:link w:val="Nadpis4"/>
    <w:uiPriority w:val="9"/>
    <w:rsid w:val="00C833C7"/>
    <w:rPr>
      <w:rFonts w:asciiTheme="majorHAnsi" w:eastAsiaTheme="majorEastAsia" w:hAnsiTheme="majorHAnsi" w:cstheme="majorBidi"/>
      <w:b/>
      <w:bCs/>
      <w:i/>
      <w:iCs/>
      <w:color w:val="5B9BD5" w:themeColor="accent1"/>
      <w:sz w:val="20"/>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C833C7"/>
    <w:pPr>
      <w:ind w:left="720"/>
      <w:contextualSpacing/>
    </w:pPr>
  </w:style>
  <w:style w:type="table" w:styleId="Mkatabulky">
    <w:name w:val="Table Grid"/>
    <w:basedOn w:val="Normlntabulka"/>
    <w:uiPriority w:val="99"/>
    <w:rsid w:val="00C8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odsaz">
    <w:name w:val="Norm.odsaz."/>
    <w:basedOn w:val="Normln"/>
    <w:uiPriority w:val="99"/>
    <w:rsid w:val="00C833C7"/>
    <w:pPr>
      <w:autoSpaceDE w:val="0"/>
      <w:autoSpaceDN w:val="0"/>
      <w:spacing w:before="120" w:after="120"/>
    </w:pPr>
    <w:rPr>
      <w:rFonts w:eastAsia="Calibri"/>
      <w:sz w:val="24"/>
      <w:szCs w:val="24"/>
    </w:rPr>
  </w:style>
  <w:style w:type="paragraph" w:styleId="Zhlav">
    <w:name w:val="header"/>
    <w:basedOn w:val="Normln"/>
    <w:link w:val="ZhlavChar"/>
    <w:uiPriority w:val="99"/>
    <w:unhideWhenUsed/>
    <w:rsid w:val="00C833C7"/>
    <w:pPr>
      <w:tabs>
        <w:tab w:val="center" w:pos="4536"/>
        <w:tab w:val="right" w:pos="9072"/>
      </w:tabs>
    </w:pPr>
    <w:rPr>
      <w:rFonts w:eastAsia="Calibri"/>
    </w:rPr>
  </w:style>
  <w:style w:type="character" w:customStyle="1" w:styleId="ZhlavChar">
    <w:name w:val="Záhlaví Char"/>
    <w:basedOn w:val="Standardnpsmoodstavce"/>
    <w:link w:val="Zhlav"/>
    <w:uiPriority w:val="99"/>
    <w:rsid w:val="00C833C7"/>
    <w:rPr>
      <w:rFonts w:ascii="Times New Roman" w:eastAsia="Calibri" w:hAnsi="Times New Roman" w:cs="Times New Roman"/>
      <w:sz w:val="20"/>
      <w:szCs w:val="20"/>
      <w:lang w:eastAsia="cs-CZ"/>
    </w:rPr>
  </w:style>
  <w:style w:type="paragraph" w:styleId="Prosttext">
    <w:name w:val="Plain Text"/>
    <w:basedOn w:val="Normln"/>
    <w:link w:val="ProsttextChar"/>
    <w:rsid w:val="00C833C7"/>
    <w:pPr>
      <w:jc w:val="left"/>
    </w:pPr>
    <w:rPr>
      <w:rFonts w:ascii="Courier New" w:eastAsia="Calibri" w:hAnsi="Courier New" w:cs="Courier New"/>
    </w:rPr>
  </w:style>
  <w:style w:type="character" w:customStyle="1" w:styleId="ProsttextChar">
    <w:name w:val="Prostý text Char"/>
    <w:basedOn w:val="Standardnpsmoodstavce"/>
    <w:link w:val="Prosttext"/>
    <w:rsid w:val="00C833C7"/>
    <w:rPr>
      <w:rFonts w:ascii="Courier New" w:eastAsia="Calibri" w:hAnsi="Courier New" w:cs="Courier New"/>
      <w:sz w:val="20"/>
      <w:szCs w:val="20"/>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C833C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833C7"/>
    <w:pPr>
      <w:tabs>
        <w:tab w:val="center" w:pos="4536"/>
        <w:tab w:val="right" w:pos="9072"/>
      </w:tabs>
    </w:pPr>
  </w:style>
  <w:style w:type="character" w:customStyle="1" w:styleId="ZpatChar">
    <w:name w:val="Zápatí Char"/>
    <w:basedOn w:val="Standardnpsmoodstavce"/>
    <w:link w:val="Zpat"/>
    <w:uiPriority w:val="99"/>
    <w:rsid w:val="00C833C7"/>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E153EA"/>
    <w:rPr>
      <w:sz w:val="16"/>
      <w:szCs w:val="16"/>
    </w:rPr>
  </w:style>
  <w:style w:type="paragraph" w:styleId="Textkomente">
    <w:name w:val="annotation text"/>
    <w:basedOn w:val="Normln"/>
    <w:link w:val="TextkomenteChar"/>
    <w:uiPriority w:val="99"/>
    <w:semiHidden/>
    <w:unhideWhenUsed/>
    <w:rsid w:val="00E153EA"/>
  </w:style>
  <w:style w:type="character" w:customStyle="1" w:styleId="TextkomenteChar">
    <w:name w:val="Text komentáře Char"/>
    <w:basedOn w:val="Standardnpsmoodstavce"/>
    <w:link w:val="Textkomente"/>
    <w:uiPriority w:val="99"/>
    <w:semiHidden/>
    <w:rsid w:val="00E153E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153EA"/>
    <w:rPr>
      <w:b/>
      <w:bCs/>
    </w:rPr>
  </w:style>
  <w:style w:type="character" w:customStyle="1" w:styleId="PedmtkomenteChar">
    <w:name w:val="Předmět komentáře Char"/>
    <w:basedOn w:val="TextkomenteChar"/>
    <w:link w:val="Pedmtkomente"/>
    <w:uiPriority w:val="99"/>
    <w:semiHidden/>
    <w:rsid w:val="00E153E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153E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53E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4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mailto:posta@vlada.cz"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6149</Words>
  <Characters>36283</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Štipáková Veronika</dc:creator>
  <cp:keywords/>
  <dc:description/>
  <cp:lastModifiedBy>Mašínová Gabriela</cp:lastModifiedBy>
  <cp:revision>4</cp:revision>
  <cp:lastPrinted>2023-10-25T10:30:00Z</cp:lastPrinted>
  <dcterms:created xsi:type="dcterms:W3CDTF">2023-10-25T10:40:00Z</dcterms:created>
  <dcterms:modified xsi:type="dcterms:W3CDTF">2023-10-30T08:01:00Z</dcterms:modified>
</cp:coreProperties>
</file>