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3DCAD" w14:textId="7051771A"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S/06942/UL/23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06942/UL/23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PPK-97a/53/23</w:t>
      </w:r>
    </w:p>
    <w:p w14:paraId="0D830BC5" w14:textId="0C77DBC1" w:rsidR="00BA4C51" w:rsidRPr="00C264BF" w:rsidRDefault="00BA4C51" w:rsidP="006424FA">
      <w:pPr>
        <w:spacing w:after="0" w:line="240" w:lineRule="auto"/>
        <w:jc w:val="right"/>
        <w:rPr>
          <w:rFonts w:ascii="Arial" w:hAnsi="Arial" w:cs="Arial"/>
        </w:rPr>
      </w:pPr>
      <w:r w:rsidRPr="00C264BF">
        <w:rPr>
          <w:rFonts w:ascii="Arial" w:hAnsi="Arial" w:cs="Arial"/>
        </w:rPr>
        <w:t>A</w:t>
      </w:r>
      <w:r w:rsidR="00731FF0">
        <w:rPr>
          <w:rFonts w:ascii="Arial" w:hAnsi="Arial" w:cs="Arial"/>
        </w:rPr>
        <w:t>4</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731FF0" w:rsidRDefault="00BA4C51" w:rsidP="00BA4C51">
      <w:pPr>
        <w:rPr>
          <w:rFonts w:ascii="Arial" w:hAnsi="Arial" w:cs="Arial"/>
          <w:sz w:val="16"/>
          <w:szCs w:val="16"/>
        </w:rPr>
      </w:pPr>
      <w:r w:rsidRPr="00731FF0">
        <w:rPr>
          <w:rFonts w:ascii="Arial" w:hAnsi="Arial" w:cs="Arial"/>
          <w:sz w:val="16"/>
          <w:szCs w:val="16"/>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SCHKO České středohoří</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Michalská 260, 41201 Litoměřice</w:t>
      </w:r>
    </w:p>
    <w:p w14:paraId="506124F2" w14:textId="77777777" w:rsidR="00BA4C51" w:rsidRPr="00C264BF" w:rsidRDefault="00BA4C51" w:rsidP="00BB63BC">
      <w:pPr>
        <w:spacing w:after="0" w:line="240" w:lineRule="auto"/>
        <w:rPr>
          <w:rFonts w:ascii="Arial" w:hAnsi="Arial" w:cs="Arial"/>
        </w:rPr>
      </w:pPr>
      <w:r w:rsidRPr="00C264BF">
        <w:rPr>
          <w:rFonts w:ascii="Arial" w:hAnsi="Arial" w:cs="Arial"/>
        </w:rPr>
        <w:t>Telefon: 951 424 324</w:t>
      </w:r>
    </w:p>
    <w:p w14:paraId="39D33859" w14:textId="1AD447A1" w:rsidR="00BA4C51" w:rsidRPr="00C264BF" w:rsidRDefault="00BA4C51" w:rsidP="00BB63BC">
      <w:pPr>
        <w:spacing w:after="0" w:line="240" w:lineRule="auto"/>
        <w:rPr>
          <w:rFonts w:ascii="Arial" w:hAnsi="Arial" w:cs="Arial"/>
        </w:rPr>
      </w:pPr>
      <w:r w:rsidRPr="00C264BF">
        <w:rPr>
          <w:rFonts w:ascii="Arial" w:hAnsi="Arial" w:cs="Arial"/>
        </w:rPr>
        <w:t>Zastoupený: Ing. Vladislav Kopecký</w:t>
      </w:r>
      <w:r w:rsidR="00731FF0">
        <w:rPr>
          <w:rFonts w:ascii="Arial" w:hAnsi="Arial" w:cs="Arial"/>
        </w:rPr>
        <w:t>,</w:t>
      </w:r>
      <w:r w:rsidRPr="00C264BF">
        <w:rPr>
          <w:rFonts w:ascii="Arial" w:hAnsi="Arial" w:cs="Arial"/>
        </w:rPr>
        <w:t xml:space="preserve"> vedoucí oddělení péče o přírodu a krajinu -  RP SCHKO České středohoří</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RNDr. Petr Chvátal</w:t>
      </w: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Pavel Bultas</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03970035</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Klíšská  627/80, 400 01 Ústí nad Labem</w:t>
      </w:r>
    </w:p>
    <w:p w14:paraId="0D5F5B68" w14:textId="77777777" w:rsidR="00BA4C51" w:rsidRPr="00C264BF" w:rsidRDefault="00BA4C51" w:rsidP="00BB63BC">
      <w:pPr>
        <w:spacing w:after="0" w:line="240" w:lineRule="auto"/>
        <w:rPr>
          <w:rFonts w:ascii="Arial" w:hAnsi="Arial" w:cs="Arial"/>
        </w:rPr>
      </w:pPr>
      <w:r w:rsidRPr="00C264BF">
        <w:rPr>
          <w:rFonts w:ascii="Arial" w:hAnsi="Arial" w:cs="Arial"/>
        </w:rPr>
        <w:t>Zastoupená: Pavel Bultas</w:t>
      </w:r>
    </w:p>
    <w:p w14:paraId="1E424C7F" w14:textId="1C645384"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w:t>
      </w:r>
      <w:r w:rsidR="00FA7CF2">
        <w:rPr>
          <w:rFonts w:ascii="Arial" w:hAnsi="Arial" w:cs="Arial"/>
        </w:rPr>
        <w:t>„xxxx“</w:t>
      </w:r>
    </w:p>
    <w:p w14:paraId="1523A1DD" w14:textId="4C5C4E61" w:rsidR="00BA4C51" w:rsidRPr="007D20AB" w:rsidRDefault="00BA4C51" w:rsidP="00BB63BC">
      <w:pPr>
        <w:spacing w:after="0" w:line="240" w:lineRule="auto"/>
        <w:rPr>
          <w:rFonts w:ascii="Arial" w:hAnsi="Arial" w:cs="Arial"/>
          <w:color w:val="000000" w:themeColor="text1"/>
        </w:rPr>
      </w:pPr>
      <w:r w:rsidRPr="007D20AB">
        <w:rPr>
          <w:rFonts w:ascii="Arial" w:hAnsi="Arial" w:cs="Arial"/>
          <w:color w:val="000000" w:themeColor="text1"/>
        </w:rPr>
        <w:t>Email:</w:t>
      </w:r>
      <w:r w:rsidR="007D20AB" w:rsidRPr="007D20AB">
        <w:rPr>
          <w:rFonts w:ascii="Arial" w:hAnsi="Arial" w:cs="Arial"/>
          <w:color w:val="000000" w:themeColor="text1"/>
        </w:rPr>
        <w:t xml:space="preserve"> </w:t>
      </w:r>
      <w:hyperlink r:id="rId6" w:history="1">
        <w:r w:rsidR="00FA7CF2">
          <w:rPr>
            <w:rStyle w:val="Hypertextovodkaz"/>
            <w:rFonts w:ascii="Arial" w:hAnsi="Arial" w:cs="Arial"/>
            <w:color w:val="000000" w:themeColor="text1"/>
            <w:u w:val="none"/>
          </w:rPr>
          <w:t>„xxxx“</w:t>
        </w:r>
      </w:hyperlink>
      <w:r w:rsidR="007D20AB" w:rsidRPr="007D20AB">
        <w:rPr>
          <w:rFonts w:ascii="Arial" w:hAnsi="Arial" w:cs="Arial"/>
          <w:color w:val="000000" w:themeColor="text1"/>
        </w:rPr>
        <w:t>, t</w:t>
      </w:r>
      <w:r w:rsidRPr="007D20AB">
        <w:rPr>
          <w:rFonts w:ascii="Arial" w:hAnsi="Arial" w:cs="Arial"/>
          <w:color w:val="000000" w:themeColor="text1"/>
        </w:rPr>
        <w:t>elefon:</w:t>
      </w:r>
      <w:r w:rsidR="007D20AB">
        <w:rPr>
          <w:rFonts w:ascii="Arial" w:hAnsi="Arial" w:cs="Arial"/>
          <w:color w:val="000000" w:themeColor="text1"/>
        </w:rPr>
        <w:t xml:space="preserve"> </w:t>
      </w:r>
      <w:r w:rsidR="00FA7CF2">
        <w:rPr>
          <w:rFonts w:ascii="Arial" w:hAnsi="Arial" w:cs="Arial"/>
          <w:color w:val="000000" w:themeColor="text1"/>
        </w:rPr>
        <w:t>„xxxx“</w:t>
      </w:r>
    </w:p>
    <w:p w14:paraId="71BD19CB" w14:textId="3248AC67" w:rsidR="00BA4C51" w:rsidRPr="00C264BF" w:rsidRDefault="00BA4C51" w:rsidP="00731FF0">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E936E70" w14:textId="77777777" w:rsidR="00BA4C51" w:rsidRPr="00C264BF" w:rsidRDefault="00C61950" w:rsidP="00F03462">
      <w:pPr>
        <w:pStyle w:val="Nadpis1"/>
      </w:pPr>
      <w:r>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77777777" w:rsidR="00BA4C51" w:rsidRPr="00C264BF" w:rsidRDefault="00BA4C51" w:rsidP="00820E79">
      <w:pPr>
        <w:pStyle w:val="Nadpis2"/>
        <w:numPr>
          <w:ilvl w:val="0"/>
          <w:numId w:val="0"/>
        </w:numPr>
        <w:ind w:left="709"/>
      </w:pPr>
      <w:r w:rsidRPr="00C264BF">
        <w:t>Instalace nového zábradlí u dvou poškozených úseků a likvidace původního zábradlí v NPP Borečský vrch.</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PPK-97a/53/23.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lastRenderedPageBreak/>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49 816,- Kč</w:t>
      </w:r>
    </w:p>
    <w:p w14:paraId="1909710B" w14:textId="77777777" w:rsidR="00BA4C51" w:rsidRPr="00C264BF" w:rsidRDefault="00BA4C51" w:rsidP="00820E79">
      <w:pPr>
        <w:pStyle w:val="Nadpis2"/>
        <w:numPr>
          <w:ilvl w:val="0"/>
          <w:numId w:val="0"/>
        </w:numPr>
        <w:ind w:left="709"/>
      </w:pPr>
      <w:r w:rsidRPr="00C264BF">
        <w:t>DPH 21%: 0,- Kč</w:t>
      </w:r>
    </w:p>
    <w:p w14:paraId="1A426FC4" w14:textId="77777777" w:rsidR="00BA4C51" w:rsidRPr="00C264BF" w:rsidRDefault="00BA4C51" w:rsidP="00820E79">
      <w:pPr>
        <w:pStyle w:val="Nadpis2"/>
        <w:numPr>
          <w:ilvl w:val="0"/>
          <w:numId w:val="0"/>
        </w:numPr>
        <w:ind w:left="709"/>
      </w:pPr>
      <w:r w:rsidRPr="00C264BF">
        <w:t>Cena bez DPH: 49 816,- 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550E8ADA"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w:t>
      </w:r>
      <w:r w:rsidR="00981CC0">
        <w:t>3</w:t>
      </w:r>
      <w:r w:rsidR="00B45F6B">
        <w:t xml:space="preserve"> pracovních dnů po předání a </w:t>
      </w:r>
      <w:r w:rsidRPr="00C264BF">
        <w:t xml:space="preserve">převzetí díla (v žádném případě však ne později než do </w:t>
      </w:r>
      <w:r w:rsidR="00981CC0">
        <w:t>27</w:t>
      </w:r>
      <w:r w:rsidRPr="00C264BF">
        <w:t>.</w:t>
      </w:r>
      <w:r w:rsidR="00981CC0">
        <w:t xml:space="preserve"> </w:t>
      </w:r>
      <w:r w:rsidRPr="00C264BF">
        <w:t>11. kalendářního roku) na základě předávacího protokolu (nebo na základě protokolu o kontrole dle čl. 6.2) na adresu: Michalská 260, 41201 Litoměřice.</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4CBF6380" w:rsidR="00BA4C51" w:rsidRPr="00C264BF" w:rsidRDefault="00BA4C51" w:rsidP="00820E79">
      <w:pPr>
        <w:pStyle w:val="Nadpis2"/>
      </w:pPr>
      <w:r w:rsidRPr="00C264BF">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4F13D2E4" w:rsidR="00BA4C51" w:rsidRPr="00C264BF" w:rsidRDefault="00BA4C51" w:rsidP="00820E79">
      <w:pPr>
        <w:pStyle w:val="Nadpis2"/>
      </w:pPr>
      <w:r w:rsidRPr="00C264BF">
        <w:t xml:space="preserve">Zhotovitel se zavazuje provést dílo a předat jej objednateli nejpozději </w:t>
      </w:r>
      <w:proofErr w:type="gramStart"/>
      <w:r w:rsidRPr="00C264BF">
        <w:t>do</w:t>
      </w:r>
      <w:proofErr w:type="gramEnd"/>
      <w:r w:rsidRPr="00C264BF">
        <w:t xml:space="preserve">: </w:t>
      </w:r>
      <w:r w:rsidR="00981CC0">
        <w:t>24</w:t>
      </w:r>
      <w:r w:rsidRPr="00C264BF">
        <w:t>.</w:t>
      </w:r>
      <w:r w:rsidR="00981CC0">
        <w:t xml:space="preserve"> </w:t>
      </w:r>
      <w:r w:rsidRPr="00C264BF">
        <w:t>11.</w:t>
      </w:r>
      <w:r w:rsidR="00981CC0">
        <w:t xml:space="preserve"> </w:t>
      </w:r>
      <w:r w:rsidRPr="00C264BF">
        <w:t>2023.</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k. ú. Boreč u Lovosic, p. č. 232/10, 232/11.</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 xml:space="preserve">Objednatel je oprávněn kontrolovat provádění díla. Zjistí-li objednatel, že zhotovitel provádí dílo v rozporu se svými povinnostmi, je oprávněn zhotovitele na tuto skutečnost </w:t>
      </w:r>
      <w:r w:rsidRPr="00C264BF">
        <w:lastRenderedPageBreak/>
        <w:t>upozornit a dožadovat se provádění díla řádným způsobem. Jestliže tak zhotovitel neučiní ani ve lhůtě mu k tomu poskytnuté, je objednatel oprávněn od této smlouvy odstoupit doručením písemného odstoupení zhotoviteli.</w:t>
      </w:r>
    </w:p>
    <w:p w14:paraId="0C993CCA" w14:textId="134FFDC1" w:rsidR="00BA4C51" w:rsidRPr="00B5182A" w:rsidRDefault="00981CC0" w:rsidP="00981CC0">
      <w:pPr>
        <w:pStyle w:val="Nadpis2"/>
        <w:rPr>
          <w:rStyle w:val="Nadpis2Char"/>
        </w:rPr>
      </w:pPr>
      <w:r w:rsidRPr="00981CC0">
        <w:rPr>
          <w:rStyle w:val="Nadpis2Char"/>
        </w:rPr>
        <w:t>Realizace díla zahrnuje mj. tyto činnosti: vjezdy a setrvání motorových vozidel mimo silnice, místní komunikace a místa vyhrazená se souhlasem orgánu ochrany přírody</w:t>
      </w:r>
      <w:r>
        <w:rPr>
          <w:rStyle w:val="Nadpis2Char"/>
        </w:rPr>
        <w:t xml:space="preserve"> a vstup </w:t>
      </w:r>
      <w:r w:rsidRPr="00981CC0">
        <w:rPr>
          <w:rStyle w:val="Nadpis2Char"/>
        </w:rPr>
        <w:t>mimo cesty vyznačené se souhlasem orgánu ochrany přírody</w:t>
      </w:r>
      <w:r>
        <w:rPr>
          <w:rStyle w:val="Nadpis2Char"/>
        </w:rPr>
        <w:t xml:space="preserve"> v NPR</w:t>
      </w:r>
      <w:r w:rsidRPr="00981CC0">
        <w:rPr>
          <w:rStyle w:val="Nadpis2Char"/>
        </w:rPr>
        <w:t xml:space="preserve"> (dále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provádění činností zhotovitelem se v souladu s § 90 odst. 20 písm. a) zákona č. 114/1992 Sb., o ochraně přírody a krajiny, v platném znění (dále jen „ZOPK“), nevztahují zákazy a omezení dle § 5a odst. 1, § 7 a 8, § 10 odst. 2 a 3, § 16 až 16d, § 26, 29 a 34, § 35 odst. 2, § 36 odst. 2, § 37 odst. 1 až 3, § 44 odst. 3, § 46 odst. 2, § 49 odst. 1 a § 50 odst. 1 a 2 ZOPK.</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12 měsíců. V případě, že délka záruky činí 0 měsíců, ustanovení článků 7.5 až 7.7 se neuplatní.</w:t>
      </w:r>
    </w:p>
    <w:p w14:paraId="68213F5C" w14:textId="77777777" w:rsidR="00BA4C51" w:rsidRPr="00C264BF" w:rsidRDefault="00BA4C51" w:rsidP="00B5182A">
      <w:pPr>
        <w:pStyle w:val="Nadpis2"/>
      </w:pPr>
      <w:r w:rsidRPr="00C264BF">
        <w:lastRenderedPageBreak/>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lastRenderedPageBreak/>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5D2D7542" w:rsidR="00BA4C51" w:rsidRPr="00C264BF" w:rsidRDefault="00BA4C51" w:rsidP="00B5182A">
      <w:pPr>
        <w:pStyle w:val="Nadpis2"/>
        <w:numPr>
          <w:ilvl w:val="0"/>
          <w:numId w:val="0"/>
        </w:numPr>
        <w:ind w:left="709"/>
      </w:pPr>
      <w:r w:rsidRPr="00C264BF">
        <w:t xml:space="preserve">Příloha č. 1 </w:t>
      </w:r>
      <w:r w:rsidR="00AC242B">
        <w:t>-</w:t>
      </w:r>
      <w:r w:rsidRPr="00C264BF">
        <w:t xml:space="preserve"> Rozpočet a specifikace díla PPK-97a/53/23.</w:t>
      </w:r>
      <w:r w:rsidRPr="00C264BF">
        <w:tab/>
      </w:r>
    </w:p>
    <w:p w14:paraId="6D832D07" w14:textId="779471B1"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t>V Litoměřicích</w:t>
            </w:r>
          </w:p>
        </w:tc>
        <w:tc>
          <w:tcPr>
            <w:tcW w:w="2081" w:type="dxa"/>
          </w:tcPr>
          <w:p w14:paraId="682CD135" w14:textId="50B0E7E9" w:rsidR="00890973" w:rsidRDefault="00890973" w:rsidP="00FA7CF2">
            <w:pPr>
              <w:rPr>
                <w:rFonts w:ascii="Arial" w:hAnsi="Arial" w:cs="Arial"/>
              </w:rPr>
            </w:pPr>
            <w:r w:rsidRPr="00C264BF">
              <w:rPr>
                <w:rFonts w:ascii="Arial" w:hAnsi="Arial" w:cs="Arial"/>
              </w:rPr>
              <w:t xml:space="preserve">dne </w:t>
            </w:r>
            <w:r w:rsidR="00FA7CF2">
              <w:rPr>
                <w:rFonts w:ascii="Arial" w:hAnsi="Arial" w:cs="Arial"/>
              </w:rPr>
              <w:t>24. 10. 2023</w:t>
            </w:r>
          </w:p>
        </w:tc>
        <w:tc>
          <w:tcPr>
            <w:tcW w:w="2450" w:type="dxa"/>
          </w:tcPr>
          <w:p w14:paraId="1A62C283" w14:textId="77777777" w:rsidR="00890973" w:rsidRDefault="00890973" w:rsidP="00BA4C51">
            <w:pPr>
              <w:rPr>
                <w:rFonts w:ascii="Arial" w:hAnsi="Arial" w:cs="Arial"/>
              </w:rPr>
            </w:pPr>
            <w:r w:rsidRPr="00C264BF">
              <w:rPr>
                <w:rFonts w:ascii="Arial" w:hAnsi="Arial" w:cs="Arial"/>
              </w:rPr>
              <w:t>V Ústí nad Labem</w:t>
            </w:r>
          </w:p>
        </w:tc>
        <w:tc>
          <w:tcPr>
            <w:tcW w:w="2183" w:type="dxa"/>
          </w:tcPr>
          <w:p w14:paraId="59CCD06A" w14:textId="4CF27BFD" w:rsidR="00890973" w:rsidRDefault="00890973" w:rsidP="00FA7CF2">
            <w:pPr>
              <w:rPr>
                <w:rFonts w:ascii="Arial" w:hAnsi="Arial" w:cs="Arial"/>
              </w:rPr>
            </w:pPr>
            <w:r w:rsidRPr="00C264BF">
              <w:rPr>
                <w:rFonts w:ascii="Arial" w:hAnsi="Arial" w:cs="Arial"/>
              </w:rPr>
              <w:t xml:space="preserve">dne </w:t>
            </w:r>
            <w:r w:rsidR="00FA7CF2">
              <w:rPr>
                <w:rFonts w:ascii="Arial" w:hAnsi="Arial" w:cs="Arial"/>
              </w:rPr>
              <w:t>24. 10. 2023</w:t>
            </w:r>
            <w:bookmarkStart w:id="0" w:name="_GoBack"/>
            <w:bookmarkEnd w:id="0"/>
          </w:p>
        </w:tc>
      </w:tr>
      <w:tr w:rsidR="00981CC0" w14:paraId="1E689EB6" w14:textId="77777777" w:rsidTr="00890973">
        <w:tc>
          <w:tcPr>
            <w:tcW w:w="2348" w:type="dxa"/>
          </w:tcPr>
          <w:p w14:paraId="67BA2BA8" w14:textId="77777777" w:rsidR="00981CC0" w:rsidRPr="00C264BF" w:rsidRDefault="00981CC0" w:rsidP="00BA4C51">
            <w:pPr>
              <w:rPr>
                <w:rFonts w:ascii="Arial" w:hAnsi="Arial" w:cs="Arial"/>
              </w:rPr>
            </w:pPr>
          </w:p>
        </w:tc>
        <w:tc>
          <w:tcPr>
            <w:tcW w:w="2081" w:type="dxa"/>
          </w:tcPr>
          <w:p w14:paraId="6C29C88F" w14:textId="77777777" w:rsidR="00981CC0" w:rsidRPr="00C264BF" w:rsidRDefault="00981CC0" w:rsidP="00BA4C51">
            <w:pPr>
              <w:rPr>
                <w:rFonts w:ascii="Arial" w:hAnsi="Arial" w:cs="Arial"/>
              </w:rPr>
            </w:pPr>
          </w:p>
        </w:tc>
        <w:tc>
          <w:tcPr>
            <w:tcW w:w="2450" w:type="dxa"/>
          </w:tcPr>
          <w:p w14:paraId="1A0011CF" w14:textId="77777777" w:rsidR="00981CC0" w:rsidRPr="00C264BF" w:rsidRDefault="00981CC0" w:rsidP="00BA4C51">
            <w:pPr>
              <w:rPr>
                <w:rFonts w:ascii="Arial" w:hAnsi="Arial" w:cs="Arial"/>
              </w:rPr>
            </w:pPr>
          </w:p>
        </w:tc>
        <w:tc>
          <w:tcPr>
            <w:tcW w:w="2183" w:type="dxa"/>
          </w:tcPr>
          <w:p w14:paraId="0FB7EF6B" w14:textId="77777777" w:rsidR="00981CC0" w:rsidRPr="00C264BF" w:rsidRDefault="00981CC0" w:rsidP="00BA4C51">
            <w:pPr>
              <w:rPr>
                <w:rFonts w:ascii="Arial" w:hAnsi="Arial" w:cs="Arial"/>
              </w:rPr>
            </w:pP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AC242B" w14:paraId="6216C062" w14:textId="77777777" w:rsidTr="00E15EB7">
        <w:trPr>
          <w:trHeight w:val="336"/>
        </w:trPr>
        <w:tc>
          <w:tcPr>
            <w:tcW w:w="4429" w:type="dxa"/>
            <w:gridSpan w:val="2"/>
            <w:vAlign w:val="bottom"/>
          </w:tcPr>
          <w:p w14:paraId="0BA42011" w14:textId="77777777" w:rsidR="00AC242B" w:rsidRPr="00C264BF" w:rsidRDefault="00AC242B" w:rsidP="00E15EB7">
            <w:pPr>
              <w:jc w:val="center"/>
              <w:rPr>
                <w:rFonts w:ascii="Arial" w:hAnsi="Arial" w:cs="Arial"/>
              </w:rPr>
            </w:pPr>
          </w:p>
        </w:tc>
        <w:tc>
          <w:tcPr>
            <w:tcW w:w="4633" w:type="dxa"/>
            <w:gridSpan w:val="2"/>
            <w:vAlign w:val="bottom"/>
          </w:tcPr>
          <w:p w14:paraId="326EDCBB" w14:textId="77777777" w:rsidR="00AC242B" w:rsidRPr="00C264BF" w:rsidRDefault="00AC242B" w:rsidP="00E15EB7">
            <w:pPr>
              <w:jc w:val="center"/>
              <w:rPr>
                <w:rFonts w:ascii="Arial" w:hAnsi="Arial" w:cs="Arial"/>
              </w:rPr>
            </w:pPr>
          </w:p>
        </w:tc>
      </w:tr>
      <w:tr w:rsidR="00AC242B" w14:paraId="0CAE6E44" w14:textId="77777777" w:rsidTr="00E15EB7">
        <w:trPr>
          <w:trHeight w:val="336"/>
        </w:trPr>
        <w:tc>
          <w:tcPr>
            <w:tcW w:w="4429" w:type="dxa"/>
            <w:gridSpan w:val="2"/>
            <w:vAlign w:val="bottom"/>
          </w:tcPr>
          <w:p w14:paraId="1EC16FB0" w14:textId="77777777" w:rsidR="00AC242B" w:rsidRPr="00C264BF" w:rsidRDefault="00AC242B" w:rsidP="00E15EB7">
            <w:pPr>
              <w:jc w:val="center"/>
              <w:rPr>
                <w:rFonts w:ascii="Arial" w:hAnsi="Arial" w:cs="Arial"/>
              </w:rPr>
            </w:pPr>
          </w:p>
        </w:tc>
        <w:tc>
          <w:tcPr>
            <w:tcW w:w="4633" w:type="dxa"/>
            <w:gridSpan w:val="2"/>
            <w:vAlign w:val="bottom"/>
          </w:tcPr>
          <w:p w14:paraId="7DE671F3" w14:textId="77777777" w:rsidR="00AC242B" w:rsidRPr="00C264BF" w:rsidRDefault="00AC242B" w:rsidP="00E15EB7">
            <w:pPr>
              <w:jc w:val="center"/>
              <w:rPr>
                <w:rFonts w:ascii="Arial" w:hAnsi="Arial" w:cs="Arial"/>
              </w:rPr>
            </w:pPr>
          </w:p>
        </w:tc>
      </w:tr>
      <w:tr w:rsidR="00AC242B" w14:paraId="1802B746" w14:textId="77777777" w:rsidTr="00E15EB7">
        <w:trPr>
          <w:trHeight w:val="336"/>
        </w:trPr>
        <w:tc>
          <w:tcPr>
            <w:tcW w:w="4429" w:type="dxa"/>
            <w:gridSpan w:val="2"/>
            <w:vAlign w:val="bottom"/>
          </w:tcPr>
          <w:p w14:paraId="13EEB3C1" w14:textId="77777777" w:rsidR="00AC242B" w:rsidRPr="00C264BF" w:rsidRDefault="00AC242B" w:rsidP="00E15EB7">
            <w:pPr>
              <w:jc w:val="center"/>
              <w:rPr>
                <w:rFonts w:ascii="Arial" w:hAnsi="Arial" w:cs="Arial"/>
              </w:rPr>
            </w:pPr>
          </w:p>
        </w:tc>
        <w:tc>
          <w:tcPr>
            <w:tcW w:w="4633" w:type="dxa"/>
            <w:gridSpan w:val="2"/>
            <w:vAlign w:val="bottom"/>
          </w:tcPr>
          <w:p w14:paraId="4772BE7E" w14:textId="77777777" w:rsidR="00AC242B" w:rsidRPr="00C264BF" w:rsidRDefault="00AC242B" w:rsidP="00E15EB7">
            <w:pPr>
              <w:jc w:val="center"/>
              <w:rPr>
                <w:rFonts w:ascii="Arial" w:hAnsi="Arial" w:cs="Arial"/>
              </w:rPr>
            </w:pPr>
          </w:p>
        </w:tc>
      </w:tr>
      <w:tr w:rsidR="00890973" w14:paraId="74E87DDD" w14:textId="77777777" w:rsidTr="00890973">
        <w:tc>
          <w:tcPr>
            <w:tcW w:w="4429" w:type="dxa"/>
            <w:gridSpan w:val="2"/>
            <w:vAlign w:val="bottom"/>
          </w:tcPr>
          <w:p w14:paraId="79007E79" w14:textId="1B16D9F5" w:rsidR="00890973" w:rsidRDefault="00890973" w:rsidP="00AC242B">
            <w:pPr>
              <w:jc w:val="center"/>
              <w:rPr>
                <w:rFonts w:ascii="Arial" w:hAnsi="Arial" w:cs="Arial"/>
              </w:rPr>
            </w:pPr>
            <w:r w:rsidRPr="00C264BF">
              <w:rPr>
                <w:rFonts w:ascii="Arial" w:hAnsi="Arial" w:cs="Arial"/>
              </w:rPr>
              <w:t>Ing. Vladislav Kopecký</w:t>
            </w:r>
            <w:r w:rsidR="00AC242B">
              <w:rPr>
                <w:rFonts w:ascii="Arial" w:hAnsi="Arial" w:cs="Arial"/>
              </w:rPr>
              <w:t>,</w:t>
            </w:r>
            <w:r w:rsidRPr="00C264BF">
              <w:rPr>
                <w:rFonts w:ascii="Arial" w:hAnsi="Arial" w:cs="Arial"/>
              </w:rPr>
              <w:t xml:space="preserve"> vedoucí oddělení péče o přírodu a krajinu -  RP SCHKO České středohoří</w:t>
            </w:r>
          </w:p>
        </w:tc>
        <w:tc>
          <w:tcPr>
            <w:tcW w:w="4633" w:type="dxa"/>
            <w:gridSpan w:val="2"/>
            <w:vAlign w:val="bottom"/>
          </w:tcPr>
          <w:p w14:paraId="1FC9D414" w14:textId="77777777" w:rsidR="00890973" w:rsidRDefault="00890973" w:rsidP="00890973">
            <w:pPr>
              <w:jc w:val="center"/>
              <w:rPr>
                <w:rFonts w:ascii="Arial" w:hAnsi="Arial" w:cs="Arial"/>
              </w:rPr>
            </w:pPr>
            <w:r w:rsidRPr="00C264BF">
              <w:rPr>
                <w:rFonts w:ascii="Arial" w:hAnsi="Arial" w:cs="Arial"/>
              </w:rPr>
              <w:t>Pavel Bultas</w:t>
            </w:r>
          </w:p>
          <w:p w14:paraId="6A60A4DF" w14:textId="77777777" w:rsidR="00981CC0" w:rsidRDefault="00981CC0" w:rsidP="00890973">
            <w:pPr>
              <w:jc w:val="center"/>
              <w:rPr>
                <w:rFonts w:ascii="Arial" w:hAnsi="Arial" w:cs="Arial"/>
              </w:rPr>
            </w:pPr>
          </w:p>
          <w:p w14:paraId="2300E89C" w14:textId="1CD9CB80" w:rsidR="00981CC0" w:rsidRDefault="00981CC0" w:rsidP="00890973">
            <w:pPr>
              <w:jc w:val="center"/>
              <w:rPr>
                <w:rFonts w:ascii="Arial" w:hAnsi="Arial" w:cs="Arial"/>
              </w:rPr>
            </w:pP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rsidSect="00AC24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22140"/>
    <w:rsid w:val="00150D52"/>
    <w:rsid w:val="00201716"/>
    <w:rsid w:val="00232FCF"/>
    <w:rsid w:val="002537FA"/>
    <w:rsid w:val="00305126"/>
    <w:rsid w:val="0037433A"/>
    <w:rsid w:val="006424FA"/>
    <w:rsid w:val="00656982"/>
    <w:rsid w:val="0066635D"/>
    <w:rsid w:val="006F3682"/>
    <w:rsid w:val="00731FF0"/>
    <w:rsid w:val="00792807"/>
    <w:rsid w:val="007B65FA"/>
    <w:rsid w:val="007D20AB"/>
    <w:rsid w:val="00820E79"/>
    <w:rsid w:val="00890973"/>
    <w:rsid w:val="00981CC0"/>
    <w:rsid w:val="009F14EA"/>
    <w:rsid w:val="00A14B20"/>
    <w:rsid w:val="00AC242B"/>
    <w:rsid w:val="00B413BA"/>
    <w:rsid w:val="00B45F6B"/>
    <w:rsid w:val="00B5182A"/>
    <w:rsid w:val="00B72831"/>
    <w:rsid w:val="00B97286"/>
    <w:rsid w:val="00BA4C51"/>
    <w:rsid w:val="00BB63BC"/>
    <w:rsid w:val="00BE376E"/>
    <w:rsid w:val="00BF571E"/>
    <w:rsid w:val="00C264BF"/>
    <w:rsid w:val="00C61950"/>
    <w:rsid w:val="00E15EB7"/>
    <w:rsid w:val="00E22D1A"/>
    <w:rsid w:val="00E62AC6"/>
    <w:rsid w:val="00ED6D6E"/>
    <w:rsid w:val="00F03462"/>
    <w:rsid w:val="00F10B10"/>
    <w:rsid w:val="00FA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character" w:styleId="Hypertextovodkaz">
    <w:name w:val="Hyperlink"/>
    <w:basedOn w:val="Standardnpsmoodstavce"/>
    <w:uiPriority w:val="99"/>
    <w:unhideWhenUsed/>
    <w:rsid w:val="007D20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hradybultas@centrum.c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1777</Words>
  <Characters>10488</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Vladislav Kopecký</cp:lastModifiedBy>
  <cp:revision>6</cp:revision>
  <dcterms:created xsi:type="dcterms:W3CDTF">2023-10-19T09:31:00Z</dcterms:created>
  <dcterms:modified xsi:type="dcterms:W3CDTF">2023-10-27T04:21:00Z</dcterms:modified>
</cp:coreProperties>
</file>