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756EE80D" w14:textId="77777777" w:rsidR="00B85765" w:rsidRPr="00C32518" w:rsidRDefault="00B85765" w:rsidP="00B85765">
      <w:pPr>
        <w:spacing w:after="0" w:line="240" w:lineRule="auto"/>
        <w:jc w:val="center"/>
        <w:rPr>
          <w:b/>
          <w:bCs/>
          <w:i/>
          <w:iCs/>
          <w:sz w:val="32"/>
          <w:szCs w:val="32"/>
        </w:rPr>
      </w:pPr>
      <w:r>
        <w:rPr>
          <w:b/>
          <w:bCs/>
          <w:i/>
          <w:iCs/>
          <w:sz w:val="32"/>
          <w:szCs w:val="32"/>
        </w:rPr>
        <w:t>IBRANCE</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0DFF497F" w14:textId="77777777" w:rsidR="00417ECC" w:rsidRPr="00327F5C" w:rsidRDefault="00417ECC" w:rsidP="00417ECC">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15B35838"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Drahobejlova 1404/4, 190 03 Praha 9 </w:t>
      </w:r>
    </w:p>
    <w:p w14:paraId="1C4C0FF9"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2D0D7CB4" w14:textId="77777777" w:rsidR="00417ECC" w:rsidRPr="00327F5C" w:rsidRDefault="00417ECC" w:rsidP="00417ECC">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7975D689" w14:textId="77777777" w:rsidR="00417ECC" w:rsidRPr="00327F5C" w:rsidRDefault="00417ECC" w:rsidP="00417ECC">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38B43B1C"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754C6607"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Pr>
          <w:rFonts w:ascii="Calibri" w:hAnsi="Calibri" w:cs="Calibri"/>
        </w:rPr>
        <w:t>Ing. Vladimírem Mattou</w:t>
      </w:r>
      <w:r w:rsidRPr="00327F5C">
        <w:rPr>
          <w:rFonts w:ascii="Calibri" w:hAnsi="Calibri" w:cs="Calibri"/>
        </w:rPr>
        <w:t>, generálním ředitelem</w:t>
      </w:r>
    </w:p>
    <w:p w14:paraId="0EF317FA" w14:textId="77777777" w:rsidR="00417ECC" w:rsidRPr="00327F5C" w:rsidRDefault="00417ECC" w:rsidP="00417ECC">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1EEB87FF" w14:textId="77777777" w:rsidR="00417ECC" w:rsidRPr="00327F5C" w:rsidRDefault="00417ECC" w:rsidP="00417ECC">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4CCD01A0"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6FC4359B"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55497D62" w14:textId="77777777" w:rsidR="00417ECC" w:rsidRPr="00327F5C" w:rsidRDefault="00417ECC" w:rsidP="00417ECC">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7F5BFF06" w14:textId="77777777" w:rsidR="00417ECC" w:rsidRPr="00327F5C" w:rsidRDefault="00417ECC" w:rsidP="00417ECC">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07539500"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2C87D261"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719EA19C" w14:textId="77777777" w:rsidR="00417ECC" w:rsidRPr="00327F5C" w:rsidRDefault="00417ECC" w:rsidP="00417ECC">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6DAADDB9" w14:textId="77777777" w:rsidR="00417ECC" w:rsidRPr="00327F5C" w:rsidRDefault="00417ECC" w:rsidP="00417ECC">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F08EC61"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612DEA"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3F2B3A55" w14:textId="77777777" w:rsidR="00417ECC" w:rsidRPr="00327F5C" w:rsidRDefault="00417ECC" w:rsidP="00417ECC">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78699DED" w14:textId="77777777" w:rsidR="00417ECC" w:rsidRPr="00327F5C" w:rsidRDefault="00417ECC" w:rsidP="00417ECC">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06DC7F24"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54064D3C" w14:textId="77777777" w:rsidR="00417ECC" w:rsidRPr="00327F5C" w:rsidRDefault="00417ECC" w:rsidP="00417ECC">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10CDE9BD" w14:textId="77777777" w:rsidR="00417ECC" w:rsidRPr="00327F5C" w:rsidRDefault="00417ECC" w:rsidP="00417ECC">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5B788425" w14:textId="50B16DB8" w:rsidR="009C19FF" w:rsidRPr="00327F5C" w:rsidRDefault="00C55E57" w:rsidP="009C19FF">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0C99B6D1" w14:textId="77777777" w:rsidR="009C19FF" w:rsidRDefault="009C19FF" w:rsidP="009C19FF">
      <w:pPr>
        <w:spacing w:after="120"/>
        <w:jc w:val="both"/>
        <w:rPr>
          <w:rFonts w:ascii="Calibri" w:hAnsi="Calibri" w:cs="Calibri"/>
          <w:i/>
        </w:rPr>
      </w:pPr>
      <w:r>
        <w:rPr>
          <w:rFonts w:ascii="Calibri" w:hAnsi="Calibri" w:cs="Calibri"/>
          <w:i/>
        </w:rPr>
        <w:t>zastoupené Svazem zdravotních pojišťoven ČR, z. s., nám. W. Churchilla 2, 130 00 Praha 3, na základě plné moci,</w:t>
      </w:r>
    </w:p>
    <w:p w14:paraId="78F35598" w14:textId="77777777" w:rsidR="00887827" w:rsidRPr="00EC5F1D" w:rsidRDefault="00887827" w:rsidP="00887827">
      <w:pPr>
        <w:spacing w:after="120"/>
        <w:jc w:val="both"/>
        <w:rPr>
          <w:rFonts w:ascii="Calibri" w:hAnsi="Calibri" w:cs="Calibri"/>
          <w:iCs/>
        </w:rPr>
      </w:pPr>
      <w:r>
        <w:rPr>
          <w:rFonts w:ascii="Calibri" w:hAnsi="Calibri" w:cs="Calibri"/>
          <w:iCs/>
        </w:rPr>
        <w:t xml:space="preserve">jehož jménem </w:t>
      </w:r>
      <w:r w:rsidRPr="00B92405">
        <w:rPr>
          <w:rFonts w:ascii="Calibri" w:hAnsi="Calibri" w:cs="Calibri"/>
          <w:iCs/>
        </w:rPr>
        <w:t>na základě pověření</w:t>
      </w:r>
      <w:r>
        <w:rPr>
          <w:rFonts w:ascii="Calibri" w:hAnsi="Calibri" w:cs="Calibri"/>
          <w:iCs/>
        </w:rPr>
        <w:t xml:space="preserve"> jedná Ing. Magdalena Vondráčková, Ph.D., pověřená řízením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DF233C" w:rsidRDefault="00510BB5" w:rsidP="00DE11BD">
      <w:pPr>
        <w:jc w:val="both"/>
        <w:rPr>
          <w:rFonts w:cstheme="minorHAnsi"/>
        </w:rPr>
      </w:pPr>
      <w:r w:rsidRPr="00DF233C">
        <w:rPr>
          <w:rFonts w:cstheme="minorHAnsi"/>
        </w:rPr>
        <w:t>a</w:t>
      </w:r>
    </w:p>
    <w:p w14:paraId="3AA327EF" w14:textId="2891C8DB" w:rsidR="00CE2EC5" w:rsidRPr="000E572D" w:rsidRDefault="00DF233C" w:rsidP="00DE11BD">
      <w:pPr>
        <w:jc w:val="both"/>
        <w:rPr>
          <w:rFonts w:cstheme="minorHAnsi"/>
          <w:b/>
          <w:i/>
          <w:iCs/>
          <w:color w:val="4472C4" w:themeColor="accent1"/>
        </w:rPr>
      </w:pPr>
      <w:r w:rsidRPr="000E572D">
        <w:rPr>
          <w:rFonts w:cstheme="minorHAnsi"/>
          <w:b/>
        </w:rPr>
        <w:lastRenderedPageBreak/>
        <w:t>Pfizer MA EEIG</w:t>
      </w:r>
      <w:r w:rsidRPr="000E572D">
        <w:rPr>
          <w:rFonts w:cstheme="minorHAnsi"/>
          <w:b/>
          <w:i/>
          <w:iCs/>
          <w:color w:val="4472C4" w:themeColor="accent1"/>
        </w:rPr>
        <w:t xml:space="preserve"> </w:t>
      </w:r>
    </w:p>
    <w:p w14:paraId="78E16D4A" w14:textId="55A57BEE" w:rsidR="00CE2EC5" w:rsidRPr="000E572D" w:rsidRDefault="00F3444A" w:rsidP="00DE11BD">
      <w:pPr>
        <w:jc w:val="both"/>
        <w:rPr>
          <w:rFonts w:cstheme="minorHAnsi"/>
        </w:rPr>
      </w:pPr>
      <w:r w:rsidRPr="000E572D">
        <w:rPr>
          <w:rFonts w:cstheme="minorHAnsi"/>
        </w:rPr>
        <w:t>Sídlo:</w:t>
      </w:r>
      <w:r w:rsidR="00DF233C" w:rsidRPr="000E572D">
        <w:rPr>
          <w:rFonts w:cstheme="minorHAnsi"/>
        </w:rPr>
        <w:t xml:space="preserve"> </w:t>
      </w:r>
      <w:r w:rsidR="00DF233C" w:rsidRPr="000E572D">
        <w:rPr>
          <w:rFonts w:cstheme="minorHAnsi"/>
          <w:bCs/>
        </w:rPr>
        <w:t>Boulevard de la Plaine 17, 1050 Bruxelles, Belgie</w:t>
      </w:r>
    </w:p>
    <w:p w14:paraId="03E73E88" w14:textId="14779A7D" w:rsidR="00DF233C" w:rsidRPr="000E572D" w:rsidRDefault="00DF233C" w:rsidP="00DE11BD">
      <w:pPr>
        <w:jc w:val="both"/>
        <w:rPr>
          <w:rFonts w:cstheme="minorHAnsi"/>
        </w:rPr>
      </w:pPr>
      <w:r w:rsidRPr="000E572D">
        <w:rPr>
          <w:rFonts w:cstheme="minorHAnsi"/>
          <w:bCs/>
        </w:rPr>
        <w:t>Registrovan</w:t>
      </w:r>
      <w:r w:rsidR="000E572D">
        <w:rPr>
          <w:rFonts w:cstheme="minorHAnsi"/>
          <w:bCs/>
        </w:rPr>
        <w:t>ý</w:t>
      </w:r>
      <w:r w:rsidRPr="000E572D">
        <w:rPr>
          <w:rFonts w:cstheme="minorHAnsi"/>
          <w:bCs/>
        </w:rPr>
        <w:t xml:space="preserve"> v belgickém obchodním rejstříku Xerius pod číslem 0696.658.156</w:t>
      </w:r>
    </w:p>
    <w:p w14:paraId="7364531A" w14:textId="2A4A6A92" w:rsidR="00CE2EC5" w:rsidRPr="000E572D" w:rsidRDefault="00F3444A" w:rsidP="00DE11BD">
      <w:pPr>
        <w:jc w:val="both"/>
        <w:rPr>
          <w:rFonts w:cstheme="minorHAnsi"/>
        </w:rPr>
      </w:pPr>
      <w:r w:rsidRPr="000E572D">
        <w:rPr>
          <w:rFonts w:cstheme="minorHAnsi"/>
        </w:rPr>
        <w:t xml:space="preserve">Zastoupena na základě plné moci </w:t>
      </w:r>
      <w:r w:rsidR="004A50A0" w:rsidRPr="000E572D">
        <w:rPr>
          <w:rFonts w:cstheme="minorHAnsi"/>
        </w:rPr>
        <w:t>Z</w:t>
      </w:r>
      <w:r w:rsidRPr="000E572D">
        <w:rPr>
          <w:rFonts w:cstheme="minorHAnsi"/>
        </w:rPr>
        <w:t>ástupcem:</w:t>
      </w:r>
    </w:p>
    <w:p w14:paraId="5D1E2C00" w14:textId="77777777" w:rsidR="00DF233C" w:rsidRPr="000E572D" w:rsidRDefault="00DF233C" w:rsidP="00DF233C">
      <w:pPr>
        <w:tabs>
          <w:tab w:val="left" w:pos="2835"/>
        </w:tabs>
        <w:spacing w:before="120"/>
        <w:rPr>
          <w:rFonts w:cstheme="minorHAnsi"/>
          <w:bCs/>
        </w:rPr>
      </w:pPr>
      <w:r w:rsidRPr="000E572D">
        <w:rPr>
          <w:rFonts w:cstheme="minorHAnsi"/>
          <w:bCs/>
        </w:rPr>
        <w:t xml:space="preserve">Pfizer spol. s r.o., </w:t>
      </w:r>
    </w:p>
    <w:p w14:paraId="3C124CA9" w14:textId="22CAABAC" w:rsidR="00CE2EC5" w:rsidRPr="000E572D" w:rsidRDefault="00F3444A" w:rsidP="00DE11BD">
      <w:pPr>
        <w:jc w:val="both"/>
        <w:rPr>
          <w:rFonts w:cstheme="minorHAnsi"/>
        </w:rPr>
      </w:pPr>
      <w:r w:rsidRPr="000E572D">
        <w:rPr>
          <w:rFonts w:cstheme="minorHAnsi"/>
        </w:rPr>
        <w:t xml:space="preserve">Sídlo: </w:t>
      </w:r>
      <w:r w:rsidR="000E572D" w:rsidRPr="000E572D">
        <w:rPr>
          <w:rFonts w:cstheme="minorHAnsi"/>
        </w:rPr>
        <w:t>Stroupežnického 17, 150 00, Praha 5</w:t>
      </w:r>
    </w:p>
    <w:p w14:paraId="3D09E085" w14:textId="2A65CDB8" w:rsidR="00CE2EC5" w:rsidRPr="000E572D" w:rsidRDefault="00F3444A" w:rsidP="00DE11BD">
      <w:pPr>
        <w:jc w:val="both"/>
        <w:rPr>
          <w:rFonts w:cstheme="minorHAnsi"/>
        </w:rPr>
      </w:pPr>
      <w:r w:rsidRPr="000E572D">
        <w:rPr>
          <w:rFonts w:cstheme="minorHAnsi"/>
        </w:rPr>
        <w:t xml:space="preserve">Zapsaná: </w:t>
      </w:r>
      <w:r w:rsidR="000E572D" w:rsidRPr="000E572D">
        <w:rPr>
          <w:rFonts w:cstheme="minorHAnsi"/>
        </w:rPr>
        <w:t>Městský soud v Praze, sp.</w:t>
      </w:r>
      <w:r w:rsidR="00C13522">
        <w:rPr>
          <w:rFonts w:cstheme="minorHAnsi"/>
        </w:rPr>
        <w:t xml:space="preserve"> </w:t>
      </w:r>
      <w:r w:rsidR="000E572D" w:rsidRPr="000E572D">
        <w:rPr>
          <w:rFonts w:cstheme="minorHAnsi"/>
        </w:rPr>
        <w:t>zn. C 20616</w:t>
      </w:r>
    </w:p>
    <w:p w14:paraId="5E1EAB9C" w14:textId="7F2C9644" w:rsidR="00CE2EC5" w:rsidRPr="000E572D" w:rsidRDefault="00F3444A" w:rsidP="00DE11BD">
      <w:pPr>
        <w:jc w:val="both"/>
        <w:rPr>
          <w:rFonts w:cstheme="minorHAnsi"/>
        </w:rPr>
      </w:pPr>
      <w:r w:rsidRPr="000E572D">
        <w:rPr>
          <w:rFonts w:cstheme="minorHAnsi"/>
        </w:rPr>
        <w:t xml:space="preserve">IČO: </w:t>
      </w:r>
      <w:r w:rsidR="00DF233C" w:rsidRPr="000E572D">
        <w:rPr>
          <w:rFonts w:cstheme="minorHAnsi"/>
          <w:bCs/>
        </w:rPr>
        <w:t>49244809</w:t>
      </w:r>
    </w:p>
    <w:p w14:paraId="0D5ED90F" w14:textId="41A1DF55" w:rsidR="00653B15" w:rsidRPr="000E572D" w:rsidRDefault="00653B15" w:rsidP="00653B15">
      <w:pPr>
        <w:jc w:val="both"/>
        <w:rPr>
          <w:rFonts w:cstheme="minorHAnsi"/>
        </w:rPr>
      </w:pPr>
      <w:r w:rsidRPr="00A26161">
        <w:rPr>
          <w:rFonts w:cstheme="minorHAnsi"/>
        </w:rPr>
        <w:t xml:space="preserve">Zastoupena: </w:t>
      </w:r>
      <w:r w:rsidR="00A26161" w:rsidRPr="00A26161">
        <w:rPr>
          <w:rFonts w:ascii="Calibri" w:hAnsi="Calibri" w:cs="Calibri"/>
          <w:highlight w:val="black"/>
        </w:rPr>
        <w:t>xxxxxxxxxxxxxxxxxxxxxxxxxxxxx</w:t>
      </w:r>
      <w:r w:rsidRPr="00A26161">
        <w:rPr>
          <w:rFonts w:cstheme="minorHAnsi"/>
        </w:rPr>
        <w:t>, jednatel společnosti</w:t>
      </w:r>
    </w:p>
    <w:p w14:paraId="0F4ECB40" w14:textId="69A157EE" w:rsidR="00CE2EC5" w:rsidRPr="000E572D" w:rsidRDefault="00F3444A" w:rsidP="00DE11BD">
      <w:pPr>
        <w:jc w:val="both"/>
        <w:rPr>
          <w:rFonts w:cstheme="minorHAnsi"/>
        </w:rPr>
      </w:pPr>
      <w:r w:rsidRPr="000E572D">
        <w:rPr>
          <w:rFonts w:cstheme="minorHAnsi"/>
        </w:rPr>
        <w:t>(dále jen „</w:t>
      </w:r>
      <w:r w:rsidR="00A87750" w:rsidRPr="000E572D">
        <w:rPr>
          <w:rFonts w:cstheme="minorHAnsi"/>
          <w:b/>
          <w:bCs/>
        </w:rPr>
        <w:t>Držitel</w:t>
      </w:r>
      <w:r w:rsidR="00F257A9" w:rsidRPr="000E572D">
        <w:rPr>
          <w:rFonts w:cstheme="minorHAnsi"/>
          <w:b/>
          <w:bCs/>
        </w:rPr>
        <w:t xml:space="preserve"> </w:t>
      </w:r>
      <w:r w:rsidRPr="000E572D">
        <w:rPr>
          <w:rFonts w:cstheme="minorHAnsi"/>
        </w:rPr>
        <w:t>“) na straně druhé</w:t>
      </w:r>
    </w:p>
    <w:p w14:paraId="6A8C0D1D" w14:textId="23650155" w:rsidR="00CE2EC5" w:rsidRPr="000E572D" w:rsidRDefault="00F3444A" w:rsidP="00DE11BD">
      <w:pPr>
        <w:jc w:val="center"/>
        <w:rPr>
          <w:rFonts w:cstheme="minorHAnsi"/>
          <w:b/>
          <w:bCs/>
        </w:rPr>
      </w:pPr>
      <w:r w:rsidRPr="000E572D">
        <w:rPr>
          <w:rFonts w:cstheme="minorHAnsi"/>
          <w:b/>
          <w:bCs/>
        </w:rPr>
        <w:t>u z a v í r a j í</w:t>
      </w:r>
    </w:p>
    <w:p w14:paraId="452D4643" w14:textId="7C5224FE" w:rsidR="00CE2EC5" w:rsidRPr="000E572D" w:rsidRDefault="00F3444A" w:rsidP="00AF7167">
      <w:pPr>
        <w:spacing w:after="0" w:line="240" w:lineRule="auto"/>
        <w:jc w:val="both"/>
        <w:rPr>
          <w:rFonts w:cstheme="minorHAnsi"/>
        </w:rPr>
      </w:pPr>
      <w:r w:rsidRPr="000E572D">
        <w:rPr>
          <w:rFonts w:cstheme="minorHAns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0E572D">
        <w:rPr>
          <w:rFonts w:cstheme="minorHAnsi"/>
          <w:b/>
          <w:bCs/>
        </w:rPr>
        <w:t xml:space="preserve">Smlouvu o </w:t>
      </w:r>
      <w:r w:rsidR="00D62DA1" w:rsidRPr="000E572D">
        <w:rPr>
          <w:rFonts w:cstheme="minorHAnsi"/>
          <w:b/>
          <w:bCs/>
        </w:rPr>
        <w:t xml:space="preserve">dohodnuté </w:t>
      </w:r>
      <w:r w:rsidRPr="000E572D">
        <w:rPr>
          <w:rFonts w:cstheme="minorHAnsi"/>
          <w:b/>
          <w:bCs/>
        </w:rPr>
        <w:t>ceně léčivého přípravku</w:t>
      </w:r>
      <w:r w:rsidRPr="000E572D">
        <w:rPr>
          <w:rFonts w:cstheme="minorHAnsi"/>
        </w:rPr>
        <w:t xml:space="preserve"> (dále jen „</w:t>
      </w:r>
      <w:r w:rsidRPr="000E572D">
        <w:rPr>
          <w:rFonts w:cstheme="minorHAnsi"/>
          <w:b/>
          <w:bCs/>
        </w:rPr>
        <w:t>Smlouva</w:t>
      </w:r>
      <w:r w:rsidRPr="000E572D">
        <w:rPr>
          <w:rFonts w:cstheme="minorHAnsi"/>
        </w:rPr>
        <w:t>“).</w:t>
      </w:r>
    </w:p>
    <w:p w14:paraId="37E60D9B" w14:textId="77777777" w:rsidR="00CA3537" w:rsidRPr="000E572D" w:rsidRDefault="00CA3537" w:rsidP="00DE11BD">
      <w:pPr>
        <w:jc w:val="both"/>
        <w:rPr>
          <w:rFonts w:cstheme="minorHAnsi"/>
        </w:rPr>
      </w:pPr>
    </w:p>
    <w:p w14:paraId="193C909E" w14:textId="77777777" w:rsidR="00826CDF" w:rsidRPr="000E572D" w:rsidRDefault="00F3444A" w:rsidP="00DE11BD">
      <w:pPr>
        <w:jc w:val="both"/>
        <w:rPr>
          <w:rFonts w:cstheme="minorHAnsi"/>
          <w:b/>
          <w:bCs/>
        </w:rPr>
      </w:pPr>
      <w:r w:rsidRPr="000E572D">
        <w:rPr>
          <w:rFonts w:cstheme="minorHAnsi"/>
          <w:b/>
          <w:bCs/>
        </w:rPr>
        <w:t>Článek I. – Účel Smlouvy</w:t>
      </w:r>
    </w:p>
    <w:p w14:paraId="5F404451" w14:textId="650BBEB5" w:rsidR="00826CDF" w:rsidRPr="000E572D" w:rsidRDefault="00F3444A" w:rsidP="005E6505">
      <w:pPr>
        <w:pStyle w:val="ListParagraph"/>
        <w:numPr>
          <w:ilvl w:val="0"/>
          <w:numId w:val="2"/>
        </w:numPr>
        <w:ind w:left="567" w:hanging="567"/>
        <w:jc w:val="both"/>
        <w:rPr>
          <w:rFonts w:cstheme="minorHAnsi"/>
          <w:b/>
          <w:bCs/>
        </w:rPr>
      </w:pPr>
      <w:r w:rsidRPr="000E572D">
        <w:rPr>
          <w:rFonts w:cstheme="minorHAns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0E572D" w:rsidRDefault="00F3444A" w:rsidP="005E6505">
      <w:pPr>
        <w:pStyle w:val="ListParagraph"/>
        <w:numPr>
          <w:ilvl w:val="0"/>
          <w:numId w:val="2"/>
        </w:numPr>
        <w:ind w:left="567" w:hanging="567"/>
        <w:jc w:val="both"/>
        <w:rPr>
          <w:rFonts w:cstheme="minorHAnsi"/>
        </w:rPr>
      </w:pPr>
      <w:r w:rsidRPr="000E572D">
        <w:rPr>
          <w:rFonts w:cstheme="minorHAnsi"/>
        </w:rPr>
        <w:t>Sjednáním této Smlouvy se určuje výše maximální možné úhrady.</w:t>
      </w:r>
    </w:p>
    <w:p w14:paraId="2653B773" w14:textId="77777777" w:rsidR="00C55E57" w:rsidRPr="000E572D" w:rsidRDefault="00C55E57" w:rsidP="00DE11BD">
      <w:pPr>
        <w:jc w:val="both"/>
        <w:rPr>
          <w:rFonts w:cstheme="minorHAnsi"/>
          <w:b/>
          <w:bCs/>
        </w:rPr>
      </w:pPr>
    </w:p>
    <w:p w14:paraId="3E0357A3" w14:textId="7AEB0CB7" w:rsidR="00CA3537" w:rsidRPr="000E572D" w:rsidRDefault="00F3444A" w:rsidP="00DE11BD">
      <w:pPr>
        <w:jc w:val="both"/>
        <w:rPr>
          <w:rFonts w:cstheme="minorHAnsi"/>
          <w:b/>
          <w:bCs/>
        </w:rPr>
      </w:pPr>
      <w:r w:rsidRPr="000E572D">
        <w:rPr>
          <w:rFonts w:cstheme="minorHAnsi"/>
          <w:b/>
          <w:bCs/>
        </w:rPr>
        <w:t xml:space="preserve">Článek II. - Definice pojmů </w:t>
      </w:r>
    </w:p>
    <w:p w14:paraId="0C39693C" w14:textId="77777777" w:rsidR="00CA3537" w:rsidRPr="000E572D" w:rsidRDefault="00F3444A" w:rsidP="00DE11BD">
      <w:pPr>
        <w:pStyle w:val="ListParagraph"/>
        <w:ind w:left="0"/>
        <w:jc w:val="both"/>
        <w:rPr>
          <w:rFonts w:cstheme="minorHAnsi"/>
        </w:rPr>
      </w:pPr>
      <w:r w:rsidRPr="000E572D">
        <w:rPr>
          <w:rFonts w:cstheme="minorHAnsi"/>
        </w:rPr>
        <w:t>Pro účely této Smlouvy se rozumí:</w:t>
      </w:r>
    </w:p>
    <w:p w14:paraId="6F168382" w14:textId="286F7F38" w:rsidR="00CA3537" w:rsidRPr="000E572D" w:rsidRDefault="00F3444A" w:rsidP="00DE11BD">
      <w:pPr>
        <w:pStyle w:val="ListParagraph"/>
        <w:numPr>
          <w:ilvl w:val="0"/>
          <w:numId w:val="3"/>
        </w:numPr>
        <w:spacing w:after="240"/>
        <w:ind w:left="426" w:hanging="426"/>
        <w:jc w:val="both"/>
        <w:rPr>
          <w:rFonts w:cstheme="minorHAnsi"/>
          <w:b/>
          <w:bCs/>
        </w:rPr>
      </w:pPr>
      <w:r w:rsidRPr="000E572D">
        <w:rPr>
          <w:rFonts w:cstheme="minorHAnsi"/>
          <w:b/>
          <w:bCs/>
        </w:rPr>
        <w:t>Dohodnutou cenou</w:t>
      </w:r>
      <w:r w:rsidRPr="000E572D">
        <w:rPr>
          <w:rFonts w:cstheme="minorHAnsi"/>
        </w:rPr>
        <w:t xml:space="preserve"> cena </w:t>
      </w:r>
      <w:r w:rsidR="003A76AA" w:rsidRPr="000E572D">
        <w:rPr>
          <w:rFonts w:cstheme="minorHAnsi"/>
        </w:rPr>
        <w:t xml:space="preserve">Přípravku </w:t>
      </w:r>
      <w:r w:rsidRPr="000E572D">
        <w:rPr>
          <w:rFonts w:cstheme="minorHAnsi"/>
        </w:rPr>
        <w:t>dále specifikovaná v Příloze č. 1. Pojištěnec se na úhradě Přípravku finančně nijak nepodílí;</w:t>
      </w:r>
    </w:p>
    <w:p w14:paraId="738C3072" w14:textId="7760C8B3" w:rsidR="00CA3537" w:rsidRPr="000E572D" w:rsidRDefault="004A50A0" w:rsidP="00DE11BD">
      <w:pPr>
        <w:pStyle w:val="ListParagraph"/>
        <w:numPr>
          <w:ilvl w:val="0"/>
          <w:numId w:val="3"/>
        </w:numPr>
        <w:spacing w:after="240"/>
        <w:ind w:left="426" w:hanging="426"/>
        <w:jc w:val="both"/>
        <w:rPr>
          <w:rFonts w:cstheme="minorHAnsi"/>
          <w:b/>
          <w:bCs/>
        </w:rPr>
      </w:pPr>
      <w:r w:rsidRPr="000E572D">
        <w:rPr>
          <w:rFonts w:cstheme="minorHAnsi"/>
          <w:b/>
          <w:bCs/>
        </w:rPr>
        <w:t>Z</w:t>
      </w:r>
      <w:r w:rsidR="00F3444A" w:rsidRPr="000E572D">
        <w:rPr>
          <w:rFonts w:cstheme="minorHAnsi"/>
          <w:b/>
          <w:bCs/>
        </w:rPr>
        <w:t>ástupcem</w:t>
      </w:r>
      <w:r w:rsidR="00F3444A" w:rsidRPr="000E572D">
        <w:rPr>
          <w:rFonts w:cstheme="minorHAns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0E572D" w:rsidRDefault="00F3444A" w:rsidP="00DE11BD">
      <w:pPr>
        <w:pStyle w:val="ListParagraph"/>
        <w:numPr>
          <w:ilvl w:val="0"/>
          <w:numId w:val="3"/>
        </w:numPr>
        <w:spacing w:after="240"/>
        <w:ind w:left="426" w:hanging="426"/>
        <w:jc w:val="both"/>
        <w:rPr>
          <w:rFonts w:cstheme="minorHAnsi"/>
          <w:b/>
          <w:bCs/>
        </w:rPr>
      </w:pPr>
      <w:r w:rsidRPr="000E572D">
        <w:rPr>
          <w:rFonts w:cstheme="minorHAnsi"/>
          <w:b/>
          <w:bCs/>
        </w:rPr>
        <w:t>Pojištěncem</w:t>
      </w:r>
      <w:r w:rsidRPr="000E572D">
        <w:rPr>
          <w:rFonts w:cstheme="minorHAnsi"/>
        </w:rPr>
        <w:t xml:space="preserve"> osoba dle zákona o veřejném zdravotním pojištění registrovaná u Pojišťovny ke dni poskytnutí zdravotní péče;</w:t>
      </w:r>
    </w:p>
    <w:p w14:paraId="6296B32D" w14:textId="2F5A18DF" w:rsidR="00CA3537" w:rsidRPr="000E572D" w:rsidRDefault="00F3444A" w:rsidP="00DE11BD">
      <w:pPr>
        <w:pStyle w:val="ListParagraph"/>
        <w:numPr>
          <w:ilvl w:val="0"/>
          <w:numId w:val="3"/>
        </w:numPr>
        <w:spacing w:after="240"/>
        <w:ind w:left="426" w:hanging="426"/>
        <w:jc w:val="both"/>
        <w:rPr>
          <w:rFonts w:cstheme="minorHAnsi"/>
          <w:b/>
          <w:bCs/>
        </w:rPr>
      </w:pPr>
      <w:r w:rsidRPr="000E572D">
        <w:rPr>
          <w:rFonts w:cstheme="minorHAnsi"/>
          <w:b/>
          <w:bCs/>
        </w:rPr>
        <w:t>Poskytovatelem</w:t>
      </w:r>
      <w:r w:rsidRPr="000E572D">
        <w:rPr>
          <w:rFonts w:cstheme="minorHAnsi"/>
        </w:rPr>
        <w:t xml:space="preserve"> poskytovatel zdravotních služeb, který má v den poskytnutí péče Pojištěnci s Pojišťovnou uzavřenou platnou smlouvu o poskytování a úhradě hrazených služeb </w:t>
      </w:r>
      <w:r w:rsidR="00F67FFB" w:rsidRPr="000E572D">
        <w:rPr>
          <w:rFonts w:cstheme="minorHAnsi"/>
        </w:rPr>
        <w:t>z</w:t>
      </w:r>
      <w:r w:rsidRPr="000E572D">
        <w:rPr>
          <w:rFonts w:cstheme="minorHAnsi"/>
        </w:rPr>
        <w:t>e zákona o veřejném zdravotním pojištění;</w:t>
      </w:r>
    </w:p>
    <w:p w14:paraId="78091568" w14:textId="68935773" w:rsidR="00CA3537" w:rsidRPr="000E572D" w:rsidRDefault="00F3444A" w:rsidP="003A76AA">
      <w:pPr>
        <w:pStyle w:val="ListParagraph"/>
        <w:numPr>
          <w:ilvl w:val="0"/>
          <w:numId w:val="3"/>
        </w:numPr>
        <w:spacing w:after="240"/>
        <w:ind w:left="426" w:hanging="426"/>
        <w:jc w:val="both"/>
        <w:rPr>
          <w:rFonts w:cstheme="minorHAnsi"/>
          <w:b/>
          <w:bCs/>
        </w:rPr>
      </w:pPr>
      <w:r w:rsidRPr="000E572D">
        <w:rPr>
          <w:rFonts w:cstheme="minorHAnsi"/>
          <w:b/>
          <w:bCs/>
        </w:rPr>
        <w:t>Přípravkem</w:t>
      </w:r>
      <w:r w:rsidRPr="000E572D">
        <w:rPr>
          <w:rFonts w:cstheme="minorHAnsi"/>
        </w:rPr>
        <w:t xml:space="preserve"> léčivý přípravek specifikovaný Přílohou č. 1 této Smlouvy;</w:t>
      </w:r>
      <w:r w:rsidR="003A76AA" w:rsidRPr="000E572D">
        <w:rPr>
          <w:rFonts w:cstheme="minorHAnsi"/>
        </w:rPr>
        <w:t xml:space="preserve"> hrazený z veřejného zdravotního pojištění při poskytování zdravotní péče Poskytovatelem. Přípravkem se rozumí </w:t>
      </w:r>
      <w:r w:rsidR="003A76AA" w:rsidRPr="000E572D">
        <w:rPr>
          <w:rFonts w:cstheme="minorHAns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sidRPr="000E572D">
        <w:rPr>
          <w:rFonts w:cstheme="minorHAnsi"/>
        </w:rPr>
        <w:t>y</w:t>
      </w:r>
      <w:r w:rsidR="003A76AA" w:rsidRPr="000E572D">
        <w:rPr>
          <w:rFonts w:cstheme="minorHAnsi"/>
        </w:rPr>
        <w:t>, cest</w:t>
      </w:r>
      <w:r w:rsidR="007C26D2" w:rsidRPr="000E572D">
        <w:rPr>
          <w:rFonts w:cstheme="minorHAnsi"/>
        </w:rPr>
        <w:t>y</w:t>
      </w:r>
      <w:r w:rsidR="003A76AA" w:rsidRPr="000E572D">
        <w:rPr>
          <w:rFonts w:cstheme="minorHAnsi"/>
        </w:rPr>
        <w:t xml:space="preserve"> </w:t>
      </w:r>
      <w:r w:rsidR="003A76AA" w:rsidRPr="000E572D">
        <w:rPr>
          <w:rFonts w:cstheme="minorHAnsi"/>
        </w:rPr>
        <w:lastRenderedPageBreak/>
        <w:t>podání a lékov</w:t>
      </w:r>
      <w:r w:rsidR="007C26D2" w:rsidRPr="000E572D">
        <w:rPr>
          <w:rFonts w:cstheme="minorHAnsi"/>
        </w:rPr>
        <w:t>é</w:t>
      </w:r>
      <w:r w:rsidR="003A76AA" w:rsidRPr="000E572D">
        <w:rPr>
          <w:rFonts w:cstheme="minorHAnsi"/>
        </w:rPr>
        <w:t xml:space="preserve"> form</w:t>
      </w:r>
      <w:r w:rsidR="007C26D2" w:rsidRPr="000E572D">
        <w:rPr>
          <w:rFonts w:cstheme="minorHAnsi"/>
        </w:rPr>
        <w:t>y</w:t>
      </w:r>
      <w:r w:rsidR="003A76AA" w:rsidRPr="000E572D">
        <w:rPr>
          <w:rFonts w:cstheme="minorHAnsi"/>
        </w:rPr>
        <w:t xml:space="preserve"> léčivého přípravku u shodné léčivé látky), tudíž taková změna registrace léčivého přípravku nemá vliv na stanovenou maximální cenu a výši a podmínky úhrady;</w:t>
      </w:r>
    </w:p>
    <w:p w14:paraId="4D0F64B7" w14:textId="02B15879" w:rsidR="00B2528C" w:rsidRPr="000E572D" w:rsidRDefault="00B2528C" w:rsidP="00DE11BD">
      <w:pPr>
        <w:pStyle w:val="ListParagraph"/>
        <w:numPr>
          <w:ilvl w:val="0"/>
          <w:numId w:val="3"/>
        </w:numPr>
        <w:spacing w:after="240"/>
        <w:ind w:left="426" w:hanging="426"/>
        <w:jc w:val="both"/>
        <w:rPr>
          <w:rFonts w:cstheme="minorHAnsi"/>
          <w:b/>
          <w:bCs/>
        </w:rPr>
      </w:pPr>
      <w:r w:rsidRPr="000E572D">
        <w:rPr>
          <w:rFonts w:cstheme="minorHAnsi"/>
          <w:b/>
          <w:bCs/>
        </w:rPr>
        <w:t>Předmětným správním řízením</w:t>
      </w:r>
      <w:r w:rsidRPr="000E572D">
        <w:rPr>
          <w:rFonts w:cstheme="minorHAnsi"/>
        </w:rPr>
        <w:t xml:space="preserve"> správní řízení zahájené dne  </w:t>
      </w:r>
      <w:r w:rsidR="000E572D" w:rsidRPr="000E572D">
        <w:rPr>
          <w:rFonts w:cstheme="minorHAnsi"/>
        </w:rPr>
        <w:t xml:space="preserve">23.2.2022 </w:t>
      </w:r>
      <w:r w:rsidRPr="000E572D">
        <w:rPr>
          <w:rFonts w:cstheme="minorHAnsi"/>
        </w:rPr>
        <w:t xml:space="preserve">a vedené Ústavem pod sp. zn. </w:t>
      </w:r>
      <w:r w:rsidR="000E572D" w:rsidRPr="000E572D">
        <w:rPr>
          <w:rFonts w:cstheme="minorHAnsi"/>
        </w:rPr>
        <w:t>SUKLS40700/2022</w:t>
      </w:r>
      <w:r w:rsidRPr="000E572D">
        <w:rPr>
          <w:rFonts w:cstheme="minorHAnsi"/>
        </w:rPr>
        <w:t>;</w:t>
      </w:r>
    </w:p>
    <w:p w14:paraId="0DEE56FB" w14:textId="794712C8" w:rsidR="00510BB5" w:rsidRPr="000E572D" w:rsidRDefault="00F3444A" w:rsidP="00DE11BD">
      <w:pPr>
        <w:pStyle w:val="ListParagraph"/>
        <w:numPr>
          <w:ilvl w:val="0"/>
          <w:numId w:val="3"/>
        </w:numPr>
        <w:spacing w:after="240"/>
        <w:ind w:left="426" w:hanging="426"/>
        <w:jc w:val="both"/>
        <w:rPr>
          <w:rFonts w:cstheme="minorHAnsi"/>
        </w:rPr>
      </w:pPr>
      <w:r w:rsidRPr="000E572D">
        <w:rPr>
          <w:rFonts w:cstheme="minorHAnsi"/>
          <w:b/>
          <w:bCs/>
        </w:rPr>
        <w:t>Ústavem</w:t>
      </w:r>
      <w:r w:rsidRPr="000E572D">
        <w:rPr>
          <w:rFonts w:cstheme="minorHAns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lastRenderedPageBreak/>
        <w:t>neprodleně informovat Pojišťovnu v případě, kdy je Držitelem podána žádost o stanovení (změnu) maximální ceny a výše a podmínek úhrady varianty Přípravku s novým SÚKL kódem;</w:t>
      </w:r>
    </w:p>
    <w:p w14:paraId="2747E791" w14:textId="736D1BD5" w:rsidR="00B82E11" w:rsidRDefault="00F3444A" w:rsidP="00B82E11">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7C99DAD6" w14:textId="77777777" w:rsidR="00B82E11" w:rsidRPr="00C46AC6" w:rsidRDefault="00B82E11" w:rsidP="00C46AC6">
      <w:pPr>
        <w:pStyle w:val="ListParagraph"/>
        <w:ind w:left="993"/>
        <w:jc w:val="both"/>
        <w:rPr>
          <w:rFonts w:ascii="Calibri" w:hAnsi="Calibri" w:cs="Calibri"/>
        </w:rPr>
      </w:pPr>
    </w:p>
    <w:p w14:paraId="70619EA5" w14:textId="77777777" w:rsidR="001D05A6" w:rsidRPr="001D05A6" w:rsidRDefault="001D05A6" w:rsidP="00C46AC6">
      <w:pPr>
        <w:pStyle w:val="ListParagraph"/>
        <w:numPr>
          <w:ilvl w:val="0"/>
          <w:numId w:val="6"/>
        </w:numPr>
        <w:ind w:left="567" w:hanging="720"/>
        <w:jc w:val="both"/>
        <w:rPr>
          <w:rFonts w:ascii="Calibri" w:hAnsi="Calibri" w:cs="Calibri"/>
        </w:rPr>
      </w:pPr>
      <w:r w:rsidRPr="001D05A6">
        <w:rPr>
          <w:rFonts w:ascii="Calibri" w:hAnsi="Calibri" w:cs="Calibri"/>
        </w:rPr>
        <w:t>Pojišťovna se zavazuje</w:t>
      </w:r>
    </w:p>
    <w:p w14:paraId="62873456" w14:textId="11B8E56C" w:rsidR="001D05A6" w:rsidRPr="001D05A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učinit opatření ve vztahu k vnitřním účtovacím systémům Pojišťovny, čímž se rozumí publikování </w:t>
      </w:r>
      <w:r w:rsidR="00B82E11">
        <w:rPr>
          <w:rFonts w:ascii="Calibri" w:hAnsi="Calibri" w:cs="Calibri"/>
        </w:rPr>
        <w:t>Dohodnuté ce</w:t>
      </w:r>
      <w:r w:rsidRPr="001D05A6">
        <w:rPr>
          <w:rFonts w:ascii="Calibri" w:hAnsi="Calibri" w:cs="Calibri"/>
        </w:rPr>
        <w:t>ny Přípravku v číselníku ve verzi určené výhradně pro poskytovatele zdravotních služeb</w:t>
      </w:r>
      <w:r w:rsidR="00B82E11">
        <w:rPr>
          <w:rFonts w:ascii="Calibri" w:hAnsi="Calibri" w:cs="Calibri"/>
        </w:rPr>
        <w:t xml:space="preserve"> </w:t>
      </w:r>
      <w:r w:rsidRPr="001D05A6">
        <w:rPr>
          <w:rFonts w:ascii="Calibri" w:hAnsi="Calibri" w:cs="Calibri"/>
        </w:rPr>
        <w:t xml:space="preserve">tak, aby Přípravek Poskytovateli uhradila za podmínek stanovených touto Smlouvou ve sjednaném rozsahu, tj. maximálně do výše </w:t>
      </w:r>
      <w:r w:rsidR="00B82E11">
        <w:rPr>
          <w:rFonts w:ascii="Calibri" w:hAnsi="Calibri" w:cs="Calibri"/>
        </w:rPr>
        <w:t>Dohodnuté ce</w:t>
      </w:r>
      <w:r w:rsidR="00B82E11" w:rsidRPr="001D05A6">
        <w:rPr>
          <w:rFonts w:ascii="Calibri" w:hAnsi="Calibri" w:cs="Calibri"/>
        </w:rPr>
        <w:t xml:space="preserve">ny </w:t>
      </w:r>
      <w:r w:rsidRPr="001D05A6">
        <w:rPr>
          <w:rFonts w:ascii="Calibri" w:hAnsi="Calibri" w:cs="Calibri"/>
        </w:rPr>
        <w:t>Přípravku specifikované</w:t>
      </w:r>
      <w:r>
        <w:rPr>
          <w:rFonts w:ascii="Calibri" w:hAnsi="Calibri" w:cs="Calibri"/>
        </w:rPr>
        <w:t xml:space="preserve"> </w:t>
      </w:r>
      <w:r w:rsidRPr="001D05A6">
        <w:rPr>
          <w:rFonts w:ascii="Calibri" w:hAnsi="Calibri" w:cs="Calibri"/>
        </w:rPr>
        <w:t>Přílohou č. 1 Smlouvy;</w:t>
      </w:r>
    </w:p>
    <w:p w14:paraId="04267D78" w14:textId="0737FEF2" w:rsidR="00485C8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nepublikovat </w:t>
      </w:r>
      <w:r w:rsidR="00B82E11">
        <w:rPr>
          <w:rFonts w:ascii="Calibri" w:hAnsi="Calibri" w:cs="Calibri"/>
        </w:rPr>
        <w:t>Dohodnutou ce</w:t>
      </w:r>
      <w:r w:rsidR="00B82E11" w:rsidRPr="001D05A6">
        <w:rPr>
          <w:rFonts w:ascii="Calibri" w:hAnsi="Calibri" w:cs="Calibri"/>
        </w:rPr>
        <w:t>n</w:t>
      </w:r>
      <w:r w:rsidR="00B82E11">
        <w:rPr>
          <w:rFonts w:ascii="Calibri" w:hAnsi="Calibri" w:cs="Calibri"/>
        </w:rPr>
        <w:t>u</w:t>
      </w:r>
      <w:r w:rsidRPr="001D05A6">
        <w:rPr>
          <w:rFonts w:ascii="Calibri" w:hAnsi="Calibri" w:cs="Calibri"/>
        </w:rPr>
        <w:t xml:space="preserve"> Přípravku v </w:t>
      </w:r>
      <w:r w:rsidR="00004B09">
        <w:rPr>
          <w:rFonts w:ascii="Calibri" w:hAnsi="Calibri" w:cs="Calibri"/>
        </w:rPr>
        <w:t>č</w:t>
      </w:r>
      <w:r w:rsidRPr="001D05A6">
        <w:rPr>
          <w:rFonts w:ascii="Calibri" w:hAnsi="Calibri" w:cs="Calibri"/>
        </w:rPr>
        <w:t>íselníku HVLP veřejně dostupném na webových</w:t>
      </w:r>
      <w:r w:rsidR="00B82E11">
        <w:rPr>
          <w:rFonts w:ascii="Calibri" w:hAnsi="Calibri" w:cs="Calibri"/>
        </w:rPr>
        <w:t xml:space="preserve"> </w:t>
      </w:r>
      <w:r w:rsidRPr="001D05A6">
        <w:rPr>
          <w:rFonts w:ascii="Calibri" w:hAnsi="Calibri" w:cs="Calibri"/>
        </w:rPr>
        <w:t>stránkách Pojišťovny</w:t>
      </w:r>
      <w:r w:rsidR="00004B09">
        <w:rPr>
          <w:rFonts w:ascii="Calibri" w:hAnsi="Calibri" w:cs="Calibri"/>
        </w:rPr>
        <w:t xml:space="preserve"> nebo Svazu zdravotních pojišťoven České republiky</w:t>
      </w:r>
      <w:r w:rsidRPr="001D05A6">
        <w:rPr>
          <w:rFonts w:ascii="Calibri" w:hAnsi="Calibri" w:cs="Calibri"/>
        </w:rPr>
        <w:t>.</w:t>
      </w:r>
      <w:r w:rsidRPr="001D05A6">
        <w:rPr>
          <w:rFonts w:ascii="Calibri" w:hAnsi="Calibri" w:cs="Calibri"/>
        </w:rPr>
        <w:cr/>
      </w: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6F45A36" w14:textId="01CD98E0" w:rsidR="001A4BD7"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r w:rsidR="00CC6219">
        <w:rPr>
          <w:rFonts w:ascii="Calibri" w:hAnsi="Calibri" w:cs="Calibri"/>
        </w:rPr>
        <w:t xml:space="preserve"> </w:t>
      </w:r>
      <w:r w:rsidR="00935243">
        <w:t xml:space="preserve">Držitel výslovně souhlasí s publikací </w:t>
      </w:r>
      <w:r w:rsidR="00935243">
        <w:rPr>
          <w:rFonts w:ascii="Calibri" w:hAnsi="Calibri" w:cs="Calibri"/>
        </w:rPr>
        <w:t>Dohodnuté ce</w:t>
      </w:r>
      <w:r w:rsidR="00935243" w:rsidRPr="001D05A6">
        <w:rPr>
          <w:rFonts w:ascii="Calibri" w:hAnsi="Calibri" w:cs="Calibri"/>
        </w:rPr>
        <w:t xml:space="preserve">ny </w:t>
      </w:r>
      <w:r w:rsidR="00446BFB" w:rsidRPr="001D05A6">
        <w:rPr>
          <w:rFonts w:ascii="Calibri" w:hAnsi="Calibri" w:cs="Calibri"/>
        </w:rPr>
        <w:t>ve verzi určené výhradně pro poskytovatele zdravotních služeb</w:t>
      </w:r>
      <w:r w:rsidR="00446BFB">
        <w:t xml:space="preserve"> </w:t>
      </w:r>
      <w:r w:rsidR="00935243">
        <w:t>dle článku V. odst. 2 písm. a</w:t>
      </w:r>
      <w:r w:rsidR="00841791">
        <w:t xml:space="preserve">) této </w:t>
      </w:r>
      <w:r w:rsidR="00935243">
        <w:t xml:space="preserve">Smlouvy. Publikaci </w:t>
      </w:r>
      <w:r w:rsidR="00841791">
        <w:rPr>
          <w:rFonts w:ascii="Calibri" w:hAnsi="Calibri" w:cs="Calibri"/>
        </w:rPr>
        <w:t>Dohodnuté ce</w:t>
      </w:r>
      <w:r w:rsidR="00841791" w:rsidRPr="001D05A6">
        <w:rPr>
          <w:rFonts w:ascii="Calibri" w:hAnsi="Calibri" w:cs="Calibri"/>
        </w:rPr>
        <w:t xml:space="preserve">ny </w:t>
      </w:r>
      <w:r w:rsidR="00935243">
        <w:t>dle předchozí věty nepovažuje Držitel za porušení svého obchodního tajemství.</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lastRenderedPageBreak/>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w:t>
      </w:r>
      <w:r w:rsidRPr="00AF22F3">
        <w:rPr>
          <w:rFonts w:ascii="Calibri" w:hAnsi="Calibri" w:cs="Calibri"/>
        </w:rPr>
        <w:lastRenderedPageBreak/>
        <w:t xml:space="preserve">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29138E20"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D81006">
        <w:rPr>
          <w:rFonts w:ascii="Calibri" w:hAnsi="Calibri" w:cs="Calibri"/>
        </w:rPr>
        <w:t xml:space="preserve"> </w:t>
      </w:r>
      <w:bookmarkStart w:id="3" w:name="_Hlk149215145"/>
      <w:r w:rsidR="00D81006" w:rsidRPr="00D81006">
        <w:rPr>
          <w:rFonts w:ascii="Calibri" w:hAnsi="Calibri" w:cs="Calibri"/>
          <w:highlight w:val="black"/>
        </w:rPr>
        <w:t>xxxxxxxxxxxxxxxxxxxxxxxxxxxxx</w:t>
      </w:r>
      <w:bookmarkEnd w:id="3"/>
    </w:p>
    <w:p w14:paraId="43501A48" w14:textId="6E402D26"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0E572D">
        <w:rPr>
          <w:rFonts w:ascii="Calibri" w:hAnsi="Calibri" w:cs="Calibri"/>
        </w:rPr>
        <w:t xml:space="preserve"> </w:t>
      </w:r>
      <w:r w:rsidR="00D81006" w:rsidRPr="00D81006">
        <w:rPr>
          <w:rFonts w:ascii="Calibri" w:hAnsi="Calibri" w:cs="Calibri"/>
          <w:highlight w:val="black"/>
        </w:rPr>
        <w:t>xxxxxxxxxxxx</w:t>
      </w:r>
      <w:r w:rsidR="005C60D2">
        <w:rPr>
          <w:rFonts w:ascii="Calibri" w:hAnsi="Calibri" w:cs="Calibri"/>
          <w:highlight w:val="black"/>
        </w:rPr>
        <w:t>XXXXXXXXXXXXXXX</w:t>
      </w:r>
      <w:r w:rsidR="00D81006" w:rsidRPr="00D81006">
        <w:rPr>
          <w:rFonts w:ascii="Calibri" w:hAnsi="Calibri" w:cs="Calibri"/>
          <w:highlight w:val="black"/>
        </w:rPr>
        <w:t>x</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7AF7C848"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8115BD" w:rsidRPr="008115BD">
        <w:rPr>
          <w:rFonts w:ascii="Calibri" w:hAnsi="Calibri" w:cs="Calibri"/>
          <w:highlight w:val="black"/>
        </w:rPr>
        <w:t>xxxxxxxxxxxxxxxxxxxxxx</w:t>
      </w:r>
    </w:p>
    <w:p w14:paraId="00B4E681" w14:textId="4330B41A"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0E572D">
        <w:rPr>
          <w:rFonts w:ascii="Calibri" w:hAnsi="Calibri" w:cs="Calibri"/>
        </w:rPr>
        <w:t xml:space="preserve"> </w:t>
      </w:r>
      <w:r w:rsidR="008115BD" w:rsidRPr="008115BD">
        <w:rPr>
          <w:rFonts w:ascii="Calibri" w:hAnsi="Calibri" w:cs="Calibri"/>
          <w:highlight w:val="black"/>
        </w:rPr>
        <w:t>xxxxxxxxxxxxxxxxxxxxxxxxx</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32BE4912" w:rsidR="00DD0A09" w:rsidRPr="000E572D"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 </w:t>
      </w:r>
      <w:r w:rsidR="00AD229B">
        <w:rPr>
          <w:rFonts w:ascii="Calibri" w:hAnsi="Calibri" w:cs="Calibri"/>
        </w:rPr>
        <w:t>u</w:t>
      </w:r>
      <w:r w:rsidRPr="00AF22F3">
        <w:rPr>
          <w:rFonts w:ascii="Calibri" w:hAnsi="Calibri" w:cs="Calibri"/>
        </w:rPr>
        <w:t xml:space="preserve">veřejnění Smlouvy v registru </w:t>
      </w:r>
      <w:r w:rsidRPr="000E572D">
        <w:rPr>
          <w:rFonts w:ascii="Calibri" w:hAnsi="Calibri" w:cs="Calibri"/>
        </w:rPr>
        <w:t>smluv</w:t>
      </w:r>
      <w:r w:rsidR="00E815E6" w:rsidRPr="000E572D">
        <w:rPr>
          <w:rFonts w:ascii="Calibri" w:hAnsi="Calibri" w:cs="Calibri"/>
        </w:rPr>
        <w:t>,</w:t>
      </w:r>
      <w:r w:rsidR="00E815E6" w:rsidRPr="000E572D">
        <w:t xml:space="preserve"> </w:t>
      </w:r>
      <w:r w:rsidR="00E815E6" w:rsidRPr="000E572D">
        <w:rPr>
          <w:rFonts w:ascii="Calibri" w:hAnsi="Calibri" w:cs="Calibri"/>
        </w:rPr>
        <w:t>nebo dnem předběžné vykonatelnosti rozhodnutí či vykonatelnosti rozhodnutí, není-li předběžně vykonatelné, Ústavu v Předmětném správním řízení</w:t>
      </w:r>
      <w:r w:rsidR="005B3950" w:rsidRPr="000E572D">
        <w:rPr>
          <w:rFonts w:ascii="Calibri" w:hAnsi="Calibri" w:cs="Calibri"/>
        </w:rPr>
        <w:t xml:space="preserve">, </w:t>
      </w:r>
      <w:r w:rsidR="00E815E6" w:rsidRPr="000E572D">
        <w:rPr>
          <w:rFonts w:ascii="Calibri" w:hAnsi="Calibri" w:cs="Calibri"/>
        </w:rPr>
        <w:t xml:space="preserve">nastane-li tento okamžik později. </w:t>
      </w:r>
    </w:p>
    <w:p w14:paraId="3E7EC91A" w14:textId="77777777" w:rsidR="0084226A" w:rsidRPr="0007541B" w:rsidRDefault="0084226A" w:rsidP="0084226A">
      <w:pPr>
        <w:pStyle w:val="ListParagraph"/>
        <w:ind w:left="567"/>
        <w:jc w:val="both"/>
        <w:rPr>
          <w:rFonts w:ascii="Calibri" w:hAnsi="Calibri" w:cs="Calibri"/>
        </w:rPr>
      </w:pPr>
    </w:p>
    <w:p w14:paraId="30698536" w14:textId="1DF9324B" w:rsidR="00825317" w:rsidRDefault="00F410FD" w:rsidP="0084226A">
      <w:pPr>
        <w:pStyle w:val="ListParagraph"/>
        <w:numPr>
          <w:ilvl w:val="0"/>
          <w:numId w:val="24"/>
        </w:numPr>
        <w:ind w:left="567" w:hanging="567"/>
        <w:jc w:val="both"/>
        <w:rPr>
          <w:rFonts w:ascii="Calibri" w:hAnsi="Calibri" w:cs="Calibri"/>
        </w:rPr>
      </w:pPr>
      <w:r w:rsidRPr="00F410FD">
        <w:rPr>
          <w:rFonts w:ascii="Calibri" w:hAnsi="Calibri" w:cs="Calibri"/>
        </w:rPr>
        <w:t>Před koncem</w:t>
      </w:r>
      <w:r w:rsidR="00AD229B" w:rsidRPr="00F410FD">
        <w:rPr>
          <w:rFonts w:ascii="Calibri" w:hAnsi="Calibri" w:cs="Calibri"/>
        </w:rPr>
        <w:t xml:space="preserve"> doby trvání Smlouvy ve smyslu Článku XI. odst. 1 Smlouvy pozby</w:t>
      </w:r>
      <w:r w:rsidRPr="00F410FD">
        <w:rPr>
          <w:rFonts w:ascii="Calibri" w:hAnsi="Calibri" w:cs="Calibri"/>
        </w:rPr>
        <w:t xml:space="preserve">de </w:t>
      </w:r>
      <w:r w:rsidR="00D708D8" w:rsidRPr="0054457A">
        <w:rPr>
          <w:rFonts w:ascii="Calibri" w:hAnsi="Calibri" w:cs="Calibri"/>
        </w:rPr>
        <w:t xml:space="preserve">Smlouva </w:t>
      </w:r>
      <w:r w:rsidRPr="00F410FD">
        <w:rPr>
          <w:rFonts w:ascii="Calibri" w:hAnsi="Calibri" w:cs="Calibri"/>
        </w:rPr>
        <w:t>rovněž</w:t>
      </w:r>
      <w:r w:rsidR="00AD229B" w:rsidRPr="00F410FD">
        <w:rPr>
          <w:rFonts w:ascii="Calibri" w:hAnsi="Calibri" w:cs="Calibri"/>
        </w:rPr>
        <w:t xml:space="preserve"> </w:t>
      </w:r>
      <w:r w:rsidR="00F427D3" w:rsidRPr="00F410FD">
        <w:rPr>
          <w:rFonts w:ascii="Calibri" w:hAnsi="Calibri" w:cs="Calibri"/>
        </w:rPr>
        <w:t>platnosti</w:t>
      </w:r>
      <w:r w:rsidR="00AD229B" w:rsidRPr="00F410FD">
        <w:rPr>
          <w:rFonts w:ascii="Calibri" w:hAnsi="Calibri" w:cs="Calibri"/>
        </w:rPr>
        <w:t xml:space="preserve"> v případě, kdy</w:t>
      </w:r>
      <w:r w:rsidRPr="00F410FD">
        <w:rPr>
          <w:rFonts w:ascii="Calibri" w:hAnsi="Calibri" w:cs="Calibri"/>
        </w:rPr>
        <w:t xml:space="preserve"> </w:t>
      </w:r>
      <w:r w:rsidR="00AD229B" w:rsidRPr="00F410FD">
        <w:rPr>
          <w:rFonts w:ascii="Calibri" w:hAnsi="Calibri" w:cs="Calibri"/>
        </w:rPr>
        <w:t xml:space="preserve">dojde </w:t>
      </w:r>
      <w:r w:rsidR="00F427D3" w:rsidRPr="00F410FD">
        <w:rPr>
          <w:rFonts w:ascii="Calibri" w:hAnsi="Calibri" w:cs="Calibri"/>
        </w:rPr>
        <w:t>ke snížení ceny pro konečného spotřebitele nebo úhrady</w:t>
      </w:r>
      <w:r w:rsidR="00561DF2" w:rsidRPr="00F410FD">
        <w:rPr>
          <w:rFonts w:ascii="Calibri" w:hAnsi="Calibri" w:cs="Calibri"/>
        </w:rPr>
        <w:t xml:space="preserve"> pro konečného spotřebitele</w:t>
      </w:r>
      <w:r w:rsidR="00F427D3" w:rsidRPr="00F410FD">
        <w:rPr>
          <w:rFonts w:ascii="Calibri" w:hAnsi="Calibri" w:cs="Calibri"/>
        </w:rPr>
        <w:t xml:space="preserve"> z prostředků veřejného zdravotního pojištění předmětného </w:t>
      </w:r>
      <w:r w:rsidR="00AD229B" w:rsidRPr="00F410FD">
        <w:rPr>
          <w:rFonts w:ascii="Calibri" w:hAnsi="Calibri" w:cs="Calibri"/>
        </w:rPr>
        <w:t>Přípravku, a to</w:t>
      </w:r>
      <w:r w:rsidR="00F427D3" w:rsidRPr="00F410FD">
        <w:rPr>
          <w:rFonts w:ascii="Calibri" w:hAnsi="Calibri" w:cs="Calibri"/>
        </w:rPr>
        <w:t xml:space="preserve"> pod hodnotu </w:t>
      </w:r>
      <w:r w:rsidR="00AD229B" w:rsidRPr="00F410FD">
        <w:rPr>
          <w:rFonts w:ascii="Calibri" w:hAnsi="Calibri" w:cs="Calibri"/>
        </w:rPr>
        <w:t>Dohodnuté ceny</w:t>
      </w:r>
      <w:r w:rsidR="00F427D3" w:rsidRPr="00F410FD">
        <w:rPr>
          <w:rFonts w:ascii="Calibri" w:hAnsi="Calibri" w:cs="Calibri"/>
        </w:rPr>
        <w:t xml:space="preserve">. </w:t>
      </w:r>
      <w:r w:rsidRPr="00F410FD">
        <w:rPr>
          <w:rFonts w:ascii="Calibri" w:hAnsi="Calibri" w:cs="Calibri"/>
        </w:rPr>
        <w:t>V takovém případě se p</w:t>
      </w:r>
      <w:r w:rsidR="00F427D3" w:rsidRPr="00F410FD">
        <w:rPr>
          <w:rFonts w:ascii="Calibri" w:hAnsi="Calibri" w:cs="Calibri"/>
        </w:rPr>
        <w:t xml:space="preserve">latnost </w:t>
      </w:r>
      <w:r w:rsidR="007F2A1C" w:rsidRPr="00F410FD">
        <w:rPr>
          <w:rFonts w:ascii="Calibri" w:hAnsi="Calibri" w:cs="Calibri"/>
        </w:rPr>
        <w:t>této Smlouvy</w:t>
      </w:r>
      <w:r w:rsidRPr="00F410FD">
        <w:rPr>
          <w:rFonts w:ascii="Calibri" w:hAnsi="Calibri" w:cs="Calibri"/>
        </w:rPr>
        <w:t xml:space="preserve"> bude považovat za ukončenou</w:t>
      </w:r>
      <w:r w:rsidR="00F427D3" w:rsidRPr="00F410FD">
        <w:rPr>
          <w:rFonts w:ascii="Calibri" w:hAnsi="Calibri" w:cs="Calibri"/>
        </w:rPr>
        <w:t xml:space="preserve"> ke dni účinnosti </w:t>
      </w:r>
      <w:r w:rsidRPr="00F410FD">
        <w:rPr>
          <w:rFonts w:ascii="Calibri" w:hAnsi="Calibri" w:cs="Calibri"/>
        </w:rPr>
        <w:t xml:space="preserve">příslušného rozhodnutí o </w:t>
      </w:r>
      <w:r w:rsidR="00F427D3" w:rsidRPr="00F410FD">
        <w:rPr>
          <w:rFonts w:ascii="Calibri" w:hAnsi="Calibri" w:cs="Calibri"/>
        </w:rPr>
        <w:t>snížen</w:t>
      </w:r>
      <w:r w:rsidR="00640F2B" w:rsidRPr="00F410FD">
        <w:rPr>
          <w:rFonts w:ascii="Calibri" w:hAnsi="Calibri" w:cs="Calibri"/>
        </w:rPr>
        <w:t>í</w:t>
      </w:r>
      <w:r w:rsidR="00F427D3" w:rsidRPr="00F410FD">
        <w:rPr>
          <w:rFonts w:ascii="Calibri" w:hAnsi="Calibri" w:cs="Calibri"/>
        </w:rPr>
        <w:t xml:space="preserve"> ceny nebo úhrady</w:t>
      </w:r>
      <w:r w:rsidRPr="00F410FD">
        <w:rPr>
          <w:rFonts w:ascii="Calibri" w:hAnsi="Calibri" w:cs="Calibri"/>
        </w:rPr>
        <w:t xml:space="preserve"> Přípravku</w:t>
      </w:r>
      <w:r>
        <w:rPr>
          <w:rFonts w:ascii="Calibri" w:hAnsi="Calibri" w:cs="Calibri"/>
        </w:rPr>
        <w:t xml:space="preserve"> pod Dohodnutou cenu</w:t>
      </w:r>
      <w:r w:rsidR="00F427D3" w:rsidRPr="00F410FD">
        <w:rPr>
          <w:rFonts w:ascii="Calibri" w:hAnsi="Calibri" w:cs="Calibri"/>
        </w:rPr>
        <w:t>.</w:t>
      </w:r>
    </w:p>
    <w:p w14:paraId="3063B252" w14:textId="77777777" w:rsidR="0084226A" w:rsidRPr="00F410FD" w:rsidRDefault="0084226A" w:rsidP="0084226A">
      <w:pPr>
        <w:pStyle w:val="ListParagraph"/>
        <w:ind w:left="567"/>
        <w:jc w:val="both"/>
        <w:rPr>
          <w:rFonts w:ascii="Calibri" w:hAnsi="Calibri" w:cs="Calibri"/>
        </w:rPr>
      </w:pPr>
    </w:p>
    <w:p w14:paraId="4A6CF81D" w14:textId="3329A7BC"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7FC3A7B7" w14:textId="77777777" w:rsidR="0084226A" w:rsidRPr="00AF22F3" w:rsidRDefault="0084226A" w:rsidP="0084226A">
      <w:pPr>
        <w:pStyle w:val="ListParagraph"/>
        <w:ind w:left="567"/>
        <w:jc w:val="both"/>
        <w:rPr>
          <w:rFonts w:ascii="Calibri" w:hAnsi="Calibri" w:cs="Calibri"/>
        </w:rPr>
      </w:pPr>
    </w:p>
    <w:p w14:paraId="1A99A734" w14:textId="6014A452"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C059711" w14:textId="77777777" w:rsidR="0084226A" w:rsidRPr="00AF22F3" w:rsidRDefault="0084226A" w:rsidP="0084226A">
      <w:pPr>
        <w:pStyle w:val="ListParagraph"/>
        <w:ind w:left="567"/>
        <w:jc w:val="both"/>
        <w:rPr>
          <w:rFonts w:ascii="Calibri" w:hAnsi="Calibri" w:cs="Calibri"/>
        </w:rPr>
      </w:pPr>
    </w:p>
    <w:p w14:paraId="2A3B2108" w14:textId="65E507F5" w:rsidR="007F102F"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lastRenderedPageBreak/>
        <w:t>Smluvní strany si před podpisem tuto Smlouvu řádně přečetly a svůj souhlas s obsahem jednotlivých ustanovení této Smlouvy stvrzují podpisem svých zástupců.</w:t>
      </w:r>
    </w:p>
    <w:p w14:paraId="58EB1C6B" w14:textId="77777777" w:rsidR="0084226A" w:rsidRPr="00AF22F3" w:rsidRDefault="0084226A" w:rsidP="0084226A">
      <w:pPr>
        <w:pStyle w:val="ListParagraph"/>
        <w:ind w:left="567"/>
        <w:jc w:val="both"/>
        <w:rPr>
          <w:rFonts w:ascii="Calibri" w:hAnsi="Calibri" w:cs="Calibri"/>
        </w:rPr>
      </w:pP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A2C52D8" w14:textId="77777777" w:rsidR="008E1321"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p>
    <w:p w14:paraId="4F2367A1" w14:textId="410C41F2" w:rsidR="00DD0A09" w:rsidRPr="00AF22F3" w:rsidRDefault="008E1321" w:rsidP="007F102F">
      <w:pPr>
        <w:pStyle w:val="ListParagraph"/>
        <w:ind w:left="567"/>
        <w:jc w:val="both"/>
        <w:rPr>
          <w:rFonts w:ascii="Calibri" w:hAnsi="Calibri" w:cs="Calibri"/>
        </w:rPr>
      </w:pPr>
      <w:r>
        <w:rPr>
          <w:rFonts w:ascii="Calibri" w:hAnsi="Calibri" w:cs="Calibri"/>
        </w:rPr>
        <w:t>Příloha č.2</w:t>
      </w:r>
      <w:r w:rsidR="008452D8">
        <w:rPr>
          <w:rFonts w:ascii="Calibri" w:hAnsi="Calibri" w:cs="Calibri"/>
        </w:rPr>
        <w:t xml:space="preserve"> Mezinárodní zásady společnosti Pfizer </w:t>
      </w:r>
      <w:r w:rsidR="00B43D97">
        <w:rPr>
          <w:rFonts w:ascii="Calibri" w:hAnsi="Calibri" w:cs="Calibri"/>
        </w:rPr>
        <w:t>pro předcházení úplatkářství a korupci</w:t>
      </w:r>
      <w:r w:rsidR="008452D8">
        <w:rPr>
          <w:rFonts w:ascii="Calibri" w:hAnsi="Calibri" w:cs="Calibri"/>
        </w:rPr>
        <w:t xml:space="preserve"> </w:t>
      </w:r>
      <w:r w:rsidR="00F3444A"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5542F8BF"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9E1A90">
        <w:rPr>
          <w:rFonts w:ascii="Calibri" w:hAnsi="Calibri" w:cs="Calibri"/>
        </w:rPr>
        <w:t>24. 10. 2023</w:t>
      </w:r>
      <w:r w:rsidR="00DD0A09" w:rsidRPr="00AF22F3">
        <w:rPr>
          <w:rFonts w:ascii="Calibri" w:hAnsi="Calibri" w:cs="Calibri"/>
        </w:rPr>
        <w:tab/>
      </w:r>
      <w:r w:rsidRPr="00AF22F3">
        <w:rPr>
          <w:rFonts w:ascii="Calibri" w:hAnsi="Calibri" w:cs="Calibri"/>
        </w:rPr>
        <w:t xml:space="preserve">V Praze dne </w:t>
      </w:r>
      <w:r w:rsidR="009E1A90">
        <w:rPr>
          <w:rFonts w:ascii="Calibri" w:hAnsi="Calibri" w:cs="Calibri"/>
        </w:rPr>
        <w:t>18. 10. 2023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2326FFD3" w14:textId="5D6C7A82" w:rsidR="00622B20" w:rsidRPr="00AF22F3" w:rsidRDefault="00622B20" w:rsidP="00622B20">
      <w:pPr>
        <w:tabs>
          <w:tab w:val="left" w:pos="4820"/>
        </w:tabs>
        <w:spacing w:line="240" w:lineRule="exact"/>
        <w:rPr>
          <w:rFonts w:ascii="Calibri" w:hAnsi="Calibri" w:cs="Calibri"/>
          <w:b/>
        </w:rPr>
      </w:pPr>
      <w:r>
        <w:rPr>
          <w:rFonts w:ascii="Calibri" w:hAnsi="Calibri" w:cs="Calibri"/>
          <w:b/>
        </w:rPr>
        <w:t>Ing. Magdalena Vondráčk</w:t>
      </w:r>
      <w:r w:rsidRPr="00AF22F3">
        <w:rPr>
          <w:rFonts w:ascii="Calibri" w:hAnsi="Calibri" w:cs="Calibri"/>
          <w:b/>
        </w:rPr>
        <w:t>ová, Ph.D.</w:t>
      </w:r>
      <w:r w:rsidRPr="00AF22F3">
        <w:rPr>
          <w:rFonts w:ascii="Calibri" w:hAnsi="Calibri" w:cs="Calibri"/>
          <w:b/>
        </w:rPr>
        <w:tab/>
      </w:r>
      <w:r w:rsidR="00A26161" w:rsidRPr="00A26161">
        <w:rPr>
          <w:rFonts w:ascii="Calibri" w:hAnsi="Calibri" w:cs="Calibri"/>
          <w:b/>
          <w:highlight w:val="black"/>
        </w:rPr>
        <w:t>xxxxxxxxxxxxxxxxxxxxxxxxxxxxx</w:t>
      </w:r>
    </w:p>
    <w:p w14:paraId="74C3B732" w14:textId="74760E80"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p</w:t>
      </w:r>
      <w:r w:rsidR="00CF5329">
        <w:rPr>
          <w:rFonts w:ascii="Calibri" w:hAnsi="Calibri" w:cs="Calibri"/>
        </w:rPr>
        <w:t>ověřena řízením</w:t>
      </w:r>
      <w:r w:rsidRPr="00AF22F3">
        <w:rPr>
          <w:rFonts w:ascii="Calibri" w:hAnsi="Calibri" w:cs="Calibri"/>
        </w:rPr>
        <w:t xml:space="preserve"> Lékové komise </w:t>
      </w:r>
      <w:r w:rsidRPr="00AF22F3">
        <w:rPr>
          <w:rFonts w:ascii="Calibri" w:hAnsi="Calibri" w:cs="Calibri"/>
        </w:rPr>
        <w:tab/>
      </w:r>
      <w:r w:rsidR="000E572D">
        <w:rPr>
          <w:rFonts w:ascii="Calibri" w:hAnsi="Calibri" w:cs="Calibri"/>
        </w:rPr>
        <w:t xml:space="preserve">jednatel </w:t>
      </w:r>
    </w:p>
    <w:p w14:paraId="79726EEF" w14:textId="0AF88BD4"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r w:rsidR="009F5AC8">
        <w:rPr>
          <w:rFonts w:ascii="Calibri" w:hAnsi="Calibri" w:cs="Calibri"/>
        </w:rPr>
        <w:tab/>
      </w:r>
      <w:r w:rsidR="009F5AC8">
        <w:rPr>
          <w:rFonts w:ascii="Calibri" w:hAnsi="Calibri" w:cs="Calibri"/>
        </w:rPr>
        <w:tab/>
      </w:r>
      <w:r w:rsidR="009F5AC8">
        <w:rPr>
          <w:rFonts w:ascii="Calibri" w:hAnsi="Calibri" w:cs="Calibri"/>
        </w:rPr>
        <w:tab/>
        <w:t>Pfizer spol. s r. o.</w:t>
      </w:r>
    </w:p>
    <w:p w14:paraId="3C0E45F7" w14:textId="77777777" w:rsidR="009E1A90" w:rsidRDefault="009E1A90" w:rsidP="00C32518">
      <w:pPr>
        <w:tabs>
          <w:tab w:val="left" w:pos="4253"/>
          <w:tab w:val="left" w:pos="4536"/>
          <w:tab w:val="left" w:pos="4820"/>
        </w:tabs>
        <w:spacing w:after="0" w:line="240" w:lineRule="auto"/>
        <w:rPr>
          <w:rFonts w:ascii="Calibri" w:hAnsi="Calibri" w:cs="Calibri"/>
        </w:rPr>
      </w:pPr>
    </w:p>
    <w:p w14:paraId="0D9DAF70" w14:textId="77777777" w:rsidR="009E1A90" w:rsidRDefault="009E1A90" w:rsidP="00C32518">
      <w:pPr>
        <w:tabs>
          <w:tab w:val="left" w:pos="4253"/>
          <w:tab w:val="left" w:pos="4536"/>
          <w:tab w:val="left" w:pos="4820"/>
        </w:tabs>
        <w:spacing w:after="0" w:line="240" w:lineRule="auto"/>
        <w:rPr>
          <w:rFonts w:ascii="Calibri" w:hAnsi="Calibri" w:cs="Calibri"/>
        </w:rPr>
      </w:pPr>
    </w:p>
    <w:p w14:paraId="047FA9E9" w14:textId="77777777" w:rsidR="009E1A90" w:rsidRDefault="009E1A90" w:rsidP="00C32518">
      <w:pPr>
        <w:tabs>
          <w:tab w:val="left" w:pos="4253"/>
          <w:tab w:val="left" w:pos="4536"/>
          <w:tab w:val="left" w:pos="4820"/>
        </w:tabs>
        <w:spacing w:after="0" w:line="240" w:lineRule="auto"/>
        <w:rPr>
          <w:rFonts w:ascii="Calibri" w:hAnsi="Calibri" w:cs="Calibri"/>
        </w:rPr>
      </w:pPr>
    </w:p>
    <w:p w14:paraId="0F736E53" w14:textId="77777777" w:rsidR="009E1A90" w:rsidRDefault="009E1A90" w:rsidP="00C32518">
      <w:pPr>
        <w:tabs>
          <w:tab w:val="left" w:pos="4253"/>
          <w:tab w:val="left" w:pos="4536"/>
          <w:tab w:val="left" w:pos="4820"/>
        </w:tabs>
        <w:spacing w:after="0" w:line="240" w:lineRule="auto"/>
        <w:rPr>
          <w:rFonts w:ascii="Calibri" w:hAnsi="Calibri" w:cs="Calibri"/>
        </w:rPr>
      </w:pPr>
    </w:p>
    <w:p w14:paraId="19980F71" w14:textId="77777777" w:rsidR="009E1A90" w:rsidRDefault="009E1A90" w:rsidP="00C32518">
      <w:pPr>
        <w:tabs>
          <w:tab w:val="left" w:pos="4253"/>
          <w:tab w:val="left" w:pos="4536"/>
          <w:tab w:val="left" w:pos="4820"/>
        </w:tabs>
        <w:spacing w:after="0" w:line="240" w:lineRule="auto"/>
        <w:rPr>
          <w:rFonts w:ascii="Calibri" w:hAnsi="Calibri" w:cs="Calibri"/>
        </w:rPr>
      </w:pPr>
    </w:p>
    <w:p w14:paraId="669E76C4" w14:textId="77777777" w:rsidR="009E1A90" w:rsidRDefault="009E1A90" w:rsidP="00C32518">
      <w:pPr>
        <w:tabs>
          <w:tab w:val="left" w:pos="4253"/>
          <w:tab w:val="left" w:pos="4536"/>
          <w:tab w:val="left" w:pos="4820"/>
        </w:tabs>
        <w:spacing w:after="0" w:line="240" w:lineRule="auto"/>
        <w:rPr>
          <w:rFonts w:ascii="Calibri" w:hAnsi="Calibri" w:cs="Calibri"/>
        </w:rPr>
      </w:pPr>
    </w:p>
    <w:p w14:paraId="5A4F310B" w14:textId="77777777" w:rsidR="009E1A90" w:rsidRDefault="009E1A90" w:rsidP="00C32518">
      <w:pPr>
        <w:tabs>
          <w:tab w:val="left" w:pos="4253"/>
          <w:tab w:val="left" w:pos="4536"/>
          <w:tab w:val="left" w:pos="4820"/>
        </w:tabs>
        <w:spacing w:after="0" w:line="240" w:lineRule="auto"/>
        <w:rPr>
          <w:rFonts w:ascii="Calibri" w:hAnsi="Calibri" w:cs="Calibri"/>
        </w:rPr>
      </w:pPr>
    </w:p>
    <w:p w14:paraId="04FBBB8A" w14:textId="77777777" w:rsidR="009E1A90" w:rsidRDefault="009E1A90" w:rsidP="00C32518">
      <w:pPr>
        <w:tabs>
          <w:tab w:val="left" w:pos="4253"/>
          <w:tab w:val="left" w:pos="4536"/>
          <w:tab w:val="left" w:pos="4820"/>
        </w:tabs>
        <w:spacing w:after="0" w:line="240" w:lineRule="auto"/>
        <w:rPr>
          <w:rFonts w:ascii="Calibri" w:hAnsi="Calibri" w:cs="Calibri"/>
        </w:rPr>
      </w:pPr>
    </w:p>
    <w:p w14:paraId="310651DD" w14:textId="77777777" w:rsidR="009E1A90" w:rsidRDefault="009E1A90" w:rsidP="00C32518">
      <w:pPr>
        <w:tabs>
          <w:tab w:val="left" w:pos="4253"/>
          <w:tab w:val="left" w:pos="4536"/>
          <w:tab w:val="left" w:pos="4820"/>
        </w:tabs>
        <w:spacing w:after="0" w:line="240" w:lineRule="auto"/>
        <w:rPr>
          <w:rFonts w:ascii="Calibri" w:hAnsi="Calibri" w:cs="Calibri"/>
        </w:rPr>
      </w:pPr>
    </w:p>
    <w:p w14:paraId="63A51650" w14:textId="77777777" w:rsidR="009E1A90" w:rsidRDefault="009E1A90" w:rsidP="00C32518">
      <w:pPr>
        <w:tabs>
          <w:tab w:val="left" w:pos="4253"/>
          <w:tab w:val="left" w:pos="4536"/>
          <w:tab w:val="left" w:pos="4820"/>
        </w:tabs>
        <w:spacing w:after="0" w:line="240" w:lineRule="auto"/>
        <w:rPr>
          <w:rFonts w:ascii="Calibri" w:hAnsi="Calibri" w:cs="Calibri"/>
        </w:rPr>
      </w:pPr>
    </w:p>
    <w:p w14:paraId="2E8FC8A8" w14:textId="77777777" w:rsidR="009E1A90" w:rsidRDefault="009E1A90" w:rsidP="00C32518">
      <w:pPr>
        <w:tabs>
          <w:tab w:val="left" w:pos="4253"/>
          <w:tab w:val="left" w:pos="4536"/>
          <w:tab w:val="left" w:pos="4820"/>
        </w:tabs>
        <w:spacing w:after="0" w:line="240" w:lineRule="auto"/>
        <w:rPr>
          <w:rFonts w:ascii="Calibri" w:hAnsi="Calibri" w:cs="Calibri"/>
        </w:rPr>
      </w:pPr>
    </w:p>
    <w:p w14:paraId="068BDF6F" w14:textId="77777777" w:rsidR="009E1A90" w:rsidRDefault="009E1A90" w:rsidP="00C32518">
      <w:pPr>
        <w:tabs>
          <w:tab w:val="left" w:pos="4253"/>
          <w:tab w:val="left" w:pos="4536"/>
          <w:tab w:val="left" w:pos="4820"/>
        </w:tabs>
        <w:spacing w:after="0" w:line="240" w:lineRule="auto"/>
        <w:rPr>
          <w:rFonts w:ascii="Calibri" w:hAnsi="Calibri" w:cs="Calibri"/>
        </w:rPr>
      </w:pPr>
    </w:p>
    <w:p w14:paraId="18CC77CD" w14:textId="77777777" w:rsidR="009E1A90" w:rsidRDefault="009E1A90" w:rsidP="00C32518">
      <w:pPr>
        <w:tabs>
          <w:tab w:val="left" w:pos="4253"/>
          <w:tab w:val="left" w:pos="4536"/>
          <w:tab w:val="left" w:pos="4820"/>
        </w:tabs>
        <w:spacing w:after="0" w:line="240" w:lineRule="auto"/>
        <w:rPr>
          <w:rFonts w:ascii="Calibri" w:hAnsi="Calibri" w:cs="Calibri"/>
        </w:rPr>
      </w:pPr>
    </w:p>
    <w:p w14:paraId="23822FD4" w14:textId="77777777" w:rsidR="009E1A90" w:rsidRDefault="009E1A90" w:rsidP="00C32518">
      <w:pPr>
        <w:tabs>
          <w:tab w:val="left" w:pos="4253"/>
          <w:tab w:val="left" w:pos="4536"/>
          <w:tab w:val="left" w:pos="4820"/>
        </w:tabs>
        <w:spacing w:after="0" w:line="240" w:lineRule="auto"/>
        <w:rPr>
          <w:rFonts w:ascii="Calibri" w:hAnsi="Calibri" w:cs="Calibri"/>
        </w:rPr>
      </w:pPr>
    </w:p>
    <w:p w14:paraId="24AA9F4F" w14:textId="77777777" w:rsidR="009E1A90" w:rsidRDefault="009E1A90" w:rsidP="00C32518">
      <w:pPr>
        <w:tabs>
          <w:tab w:val="left" w:pos="4253"/>
          <w:tab w:val="left" w:pos="4536"/>
          <w:tab w:val="left" w:pos="4820"/>
        </w:tabs>
        <w:spacing w:after="0" w:line="240" w:lineRule="auto"/>
        <w:rPr>
          <w:rFonts w:ascii="Calibri" w:hAnsi="Calibri" w:cs="Calibri"/>
        </w:rPr>
      </w:pPr>
    </w:p>
    <w:p w14:paraId="7A57C311" w14:textId="77777777" w:rsidR="009E1A90" w:rsidRDefault="009E1A90" w:rsidP="00C32518">
      <w:pPr>
        <w:tabs>
          <w:tab w:val="left" w:pos="4253"/>
          <w:tab w:val="left" w:pos="4536"/>
          <w:tab w:val="left" w:pos="4820"/>
        </w:tabs>
        <w:spacing w:after="0" w:line="240" w:lineRule="auto"/>
        <w:rPr>
          <w:rFonts w:ascii="Calibri" w:hAnsi="Calibri" w:cs="Calibri"/>
        </w:rPr>
      </w:pPr>
    </w:p>
    <w:p w14:paraId="15AD4EE2" w14:textId="77777777" w:rsidR="009E1A90" w:rsidRDefault="009E1A90" w:rsidP="00C32518">
      <w:pPr>
        <w:tabs>
          <w:tab w:val="left" w:pos="4253"/>
          <w:tab w:val="left" w:pos="4536"/>
          <w:tab w:val="left" w:pos="4820"/>
        </w:tabs>
        <w:spacing w:after="0" w:line="240" w:lineRule="auto"/>
        <w:rPr>
          <w:rFonts w:ascii="Calibri" w:hAnsi="Calibri" w:cs="Calibri"/>
        </w:rPr>
      </w:pPr>
    </w:p>
    <w:p w14:paraId="11A2E341" w14:textId="77777777" w:rsidR="009E1A90" w:rsidRDefault="009E1A90" w:rsidP="00C32518">
      <w:pPr>
        <w:tabs>
          <w:tab w:val="left" w:pos="4253"/>
          <w:tab w:val="left" w:pos="4536"/>
          <w:tab w:val="left" w:pos="4820"/>
        </w:tabs>
        <w:spacing w:after="0" w:line="240" w:lineRule="auto"/>
        <w:rPr>
          <w:rFonts w:ascii="Calibri" w:hAnsi="Calibri" w:cs="Calibri"/>
        </w:rPr>
      </w:pPr>
    </w:p>
    <w:p w14:paraId="40FF4EEE" w14:textId="77777777" w:rsidR="009E1A90" w:rsidRDefault="009E1A90" w:rsidP="00C32518">
      <w:pPr>
        <w:tabs>
          <w:tab w:val="left" w:pos="4253"/>
          <w:tab w:val="left" w:pos="4536"/>
          <w:tab w:val="left" w:pos="4820"/>
        </w:tabs>
        <w:spacing w:after="0" w:line="240" w:lineRule="auto"/>
        <w:rPr>
          <w:rFonts w:ascii="Calibri" w:hAnsi="Calibri" w:cs="Calibri"/>
        </w:rPr>
      </w:pPr>
    </w:p>
    <w:p w14:paraId="654F39AB" w14:textId="77777777" w:rsidR="009E1A90" w:rsidRDefault="009E1A90" w:rsidP="00C32518">
      <w:pPr>
        <w:tabs>
          <w:tab w:val="left" w:pos="4253"/>
          <w:tab w:val="left" w:pos="4536"/>
          <w:tab w:val="left" w:pos="4820"/>
        </w:tabs>
        <w:spacing w:after="0" w:line="240" w:lineRule="auto"/>
        <w:rPr>
          <w:rFonts w:ascii="Calibri" w:hAnsi="Calibri" w:cs="Calibri"/>
        </w:rPr>
      </w:pPr>
    </w:p>
    <w:p w14:paraId="430A843F" w14:textId="77777777" w:rsidR="009E1A90" w:rsidRDefault="009E1A90" w:rsidP="00C32518">
      <w:pPr>
        <w:tabs>
          <w:tab w:val="left" w:pos="4253"/>
          <w:tab w:val="left" w:pos="4536"/>
          <w:tab w:val="left" w:pos="4820"/>
        </w:tabs>
        <w:spacing w:after="0" w:line="240" w:lineRule="auto"/>
        <w:rPr>
          <w:rFonts w:ascii="Calibri" w:hAnsi="Calibri" w:cs="Calibri"/>
        </w:rPr>
      </w:pPr>
    </w:p>
    <w:p w14:paraId="6E287308" w14:textId="77777777" w:rsidR="009E1A90" w:rsidRDefault="009E1A90" w:rsidP="00C32518">
      <w:pPr>
        <w:tabs>
          <w:tab w:val="left" w:pos="4253"/>
          <w:tab w:val="left" w:pos="4536"/>
          <w:tab w:val="left" w:pos="4820"/>
        </w:tabs>
        <w:spacing w:after="0" w:line="240" w:lineRule="auto"/>
        <w:rPr>
          <w:rFonts w:ascii="Calibri" w:hAnsi="Calibri" w:cs="Calibri"/>
        </w:rPr>
      </w:pPr>
    </w:p>
    <w:p w14:paraId="3069AD75" w14:textId="77777777" w:rsidR="009E1A90" w:rsidRDefault="009E1A90" w:rsidP="00C32518">
      <w:pPr>
        <w:tabs>
          <w:tab w:val="left" w:pos="4253"/>
          <w:tab w:val="left" w:pos="4536"/>
          <w:tab w:val="left" w:pos="4820"/>
        </w:tabs>
        <w:spacing w:after="0" w:line="240" w:lineRule="auto"/>
        <w:rPr>
          <w:rFonts w:ascii="Calibri" w:hAnsi="Calibri" w:cs="Calibri"/>
        </w:rPr>
      </w:pPr>
    </w:p>
    <w:p w14:paraId="10C66323" w14:textId="77777777" w:rsidR="009E1A90" w:rsidRDefault="009E1A90" w:rsidP="00C32518">
      <w:pPr>
        <w:tabs>
          <w:tab w:val="left" w:pos="4253"/>
          <w:tab w:val="left" w:pos="4536"/>
          <w:tab w:val="left" w:pos="4820"/>
        </w:tabs>
        <w:spacing w:after="0" w:line="240" w:lineRule="auto"/>
        <w:rPr>
          <w:rFonts w:ascii="Calibri" w:hAnsi="Calibri" w:cs="Calibri"/>
        </w:rPr>
      </w:pPr>
    </w:p>
    <w:p w14:paraId="1C625753" w14:textId="77777777" w:rsidR="009E1A90" w:rsidRDefault="009E1A90" w:rsidP="00C32518">
      <w:pPr>
        <w:tabs>
          <w:tab w:val="left" w:pos="4253"/>
          <w:tab w:val="left" w:pos="4536"/>
          <w:tab w:val="left" w:pos="4820"/>
        </w:tabs>
        <w:spacing w:after="0" w:line="240" w:lineRule="auto"/>
        <w:rPr>
          <w:rFonts w:ascii="Calibri" w:hAnsi="Calibri" w:cs="Calibri"/>
        </w:rPr>
      </w:pPr>
    </w:p>
    <w:tbl>
      <w:tblPr>
        <w:tblW w:w="9928" w:type="dxa"/>
        <w:tblCellMar>
          <w:left w:w="70" w:type="dxa"/>
          <w:right w:w="70" w:type="dxa"/>
        </w:tblCellMar>
        <w:tblLook w:val="04A0" w:firstRow="1" w:lastRow="0" w:firstColumn="1" w:lastColumn="0" w:noHBand="0" w:noVBand="1"/>
      </w:tblPr>
      <w:tblGrid>
        <w:gridCol w:w="201"/>
        <w:gridCol w:w="664"/>
        <w:gridCol w:w="1687"/>
        <w:gridCol w:w="2699"/>
        <w:gridCol w:w="2567"/>
        <w:gridCol w:w="508"/>
        <w:gridCol w:w="545"/>
        <w:gridCol w:w="1176"/>
      </w:tblGrid>
      <w:tr w:rsidR="005307A3" w:rsidRPr="00A91544" w14:paraId="6223B2EA" w14:textId="77777777" w:rsidTr="00626404">
        <w:trPr>
          <w:trHeight w:val="295"/>
        </w:trPr>
        <w:tc>
          <w:tcPr>
            <w:tcW w:w="201" w:type="dxa"/>
            <w:tcBorders>
              <w:top w:val="nil"/>
              <w:left w:val="nil"/>
              <w:bottom w:val="nil"/>
              <w:right w:val="nil"/>
            </w:tcBorders>
            <w:shd w:val="clear" w:color="auto" w:fill="auto"/>
            <w:noWrap/>
            <w:vAlign w:val="bottom"/>
            <w:hideMark/>
          </w:tcPr>
          <w:p w14:paraId="6BF1D5E4" w14:textId="77777777" w:rsidR="005307A3" w:rsidRPr="00A91544" w:rsidRDefault="005307A3" w:rsidP="00626404">
            <w:pPr>
              <w:spacing w:after="0" w:line="240" w:lineRule="auto"/>
              <w:rPr>
                <w:rFonts w:ascii="Times New Roman" w:eastAsia="Times New Roman" w:hAnsi="Times New Roman" w:cs="Times New Roman"/>
                <w:sz w:val="24"/>
                <w:szCs w:val="24"/>
                <w:lang w:eastAsia="cs-CZ"/>
              </w:rPr>
            </w:pPr>
          </w:p>
        </w:tc>
        <w:tc>
          <w:tcPr>
            <w:tcW w:w="664" w:type="dxa"/>
            <w:tcBorders>
              <w:top w:val="nil"/>
              <w:left w:val="nil"/>
              <w:bottom w:val="nil"/>
              <w:right w:val="nil"/>
            </w:tcBorders>
            <w:shd w:val="clear" w:color="auto" w:fill="auto"/>
            <w:noWrap/>
            <w:vAlign w:val="bottom"/>
            <w:hideMark/>
          </w:tcPr>
          <w:p w14:paraId="37A776D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2E86652E"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74E4581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77148E5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6AA6C3E0"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1AB561D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3B771314"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04EFA1B1" w14:textId="77777777" w:rsidTr="00626404">
        <w:trPr>
          <w:trHeight w:val="295"/>
        </w:trPr>
        <w:tc>
          <w:tcPr>
            <w:tcW w:w="201" w:type="dxa"/>
            <w:tcBorders>
              <w:top w:val="nil"/>
              <w:left w:val="nil"/>
              <w:bottom w:val="nil"/>
              <w:right w:val="nil"/>
            </w:tcBorders>
            <w:shd w:val="clear" w:color="auto" w:fill="auto"/>
            <w:noWrap/>
            <w:vAlign w:val="bottom"/>
            <w:hideMark/>
          </w:tcPr>
          <w:p w14:paraId="0E93B43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5376845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04BEF07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2C1AF0C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2094A27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01299FB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34E0622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1F2260FE"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35907EA2" w14:textId="77777777" w:rsidTr="00626404">
        <w:trPr>
          <w:trHeight w:val="295"/>
        </w:trPr>
        <w:tc>
          <w:tcPr>
            <w:tcW w:w="9928" w:type="dxa"/>
            <w:gridSpan w:val="8"/>
            <w:tcBorders>
              <w:top w:val="nil"/>
              <w:left w:val="nil"/>
              <w:bottom w:val="nil"/>
              <w:right w:val="nil"/>
            </w:tcBorders>
            <w:shd w:val="clear" w:color="auto" w:fill="auto"/>
            <w:noWrap/>
            <w:vAlign w:val="bottom"/>
            <w:hideMark/>
          </w:tcPr>
          <w:p w14:paraId="781AC1FA" w14:textId="77777777" w:rsidR="005307A3" w:rsidRPr="00A91544" w:rsidRDefault="005307A3" w:rsidP="00626404">
            <w:pPr>
              <w:spacing w:after="0" w:line="240" w:lineRule="auto"/>
              <w:jc w:val="center"/>
              <w:rPr>
                <w:rFonts w:ascii="Calibri" w:eastAsia="Times New Roman" w:hAnsi="Calibri" w:cs="Calibri"/>
                <w:b/>
                <w:bCs/>
                <w:lang w:eastAsia="cs-CZ"/>
              </w:rPr>
            </w:pPr>
            <w:r w:rsidRPr="00A91544">
              <w:rPr>
                <w:rFonts w:ascii="Calibri" w:eastAsia="Times New Roman" w:hAnsi="Calibri" w:cs="Calibri"/>
                <w:b/>
                <w:bCs/>
                <w:lang w:eastAsia="cs-CZ"/>
              </w:rPr>
              <w:t>PŘÍLOHA Č. 1</w:t>
            </w:r>
          </w:p>
        </w:tc>
      </w:tr>
      <w:tr w:rsidR="005307A3" w:rsidRPr="00A91544" w14:paraId="363C24B8" w14:textId="77777777" w:rsidTr="00626404">
        <w:trPr>
          <w:trHeight w:val="295"/>
        </w:trPr>
        <w:tc>
          <w:tcPr>
            <w:tcW w:w="201" w:type="dxa"/>
            <w:tcBorders>
              <w:top w:val="nil"/>
              <w:left w:val="nil"/>
              <w:bottom w:val="nil"/>
              <w:right w:val="nil"/>
            </w:tcBorders>
            <w:shd w:val="clear" w:color="auto" w:fill="auto"/>
            <w:noWrap/>
            <w:vAlign w:val="bottom"/>
            <w:hideMark/>
          </w:tcPr>
          <w:p w14:paraId="0356D0D1" w14:textId="77777777" w:rsidR="005307A3" w:rsidRPr="00A91544" w:rsidRDefault="005307A3" w:rsidP="00626404">
            <w:pPr>
              <w:spacing w:after="0" w:line="240" w:lineRule="auto"/>
              <w:jc w:val="center"/>
              <w:rPr>
                <w:rFonts w:ascii="Calibri" w:eastAsia="Times New Roman" w:hAnsi="Calibri" w:cs="Calibri"/>
                <w:b/>
                <w:bCs/>
                <w:lang w:eastAsia="cs-CZ"/>
              </w:rPr>
            </w:pPr>
          </w:p>
        </w:tc>
        <w:tc>
          <w:tcPr>
            <w:tcW w:w="664" w:type="dxa"/>
            <w:tcBorders>
              <w:top w:val="nil"/>
              <w:left w:val="nil"/>
              <w:bottom w:val="nil"/>
              <w:right w:val="nil"/>
            </w:tcBorders>
            <w:shd w:val="clear" w:color="auto" w:fill="auto"/>
            <w:noWrap/>
            <w:vAlign w:val="bottom"/>
            <w:hideMark/>
          </w:tcPr>
          <w:p w14:paraId="34958BB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681E92C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77F189D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0842347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6EE3324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1D0C124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7326E56B"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50CD09B2" w14:textId="77777777" w:rsidTr="00626404">
        <w:trPr>
          <w:trHeight w:val="370"/>
        </w:trPr>
        <w:tc>
          <w:tcPr>
            <w:tcW w:w="9928" w:type="dxa"/>
            <w:gridSpan w:val="8"/>
            <w:tcBorders>
              <w:top w:val="nil"/>
              <w:left w:val="nil"/>
              <w:bottom w:val="nil"/>
              <w:right w:val="nil"/>
            </w:tcBorders>
            <w:shd w:val="clear" w:color="auto" w:fill="auto"/>
            <w:vAlign w:val="bottom"/>
            <w:hideMark/>
          </w:tcPr>
          <w:p w14:paraId="3C598195" w14:textId="77777777" w:rsidR="005307A3" w:rsidRPr="00A91544" w:rsidRDefault="005307A3" w:rsidP="00626404">
            <w:pPr>
              <w:spacing w:after="0" w:line="240" w:lineRule="auto"/>
              <w:jc w:val="center"/>
              <w:rPr>
                <w:rFonts w:ascii="Calibri" w:eastAsia="Times New Roman" w:hAnsi="Calibri" w:cs="Calibri"/>
                <w:b/>
                <w:bCs/>
                <w:sz w:val="28"/>
                <w:szCs w:val="28"/>
                <w:lang w:eastAsia="cs-CZ"/>
              </w:rPr>
            </w:pPr>
            <w:r w:rsidRPr="00A91544">
              <w:rPr>
                <w:rFonts w:ascii="Calibri" w:eastAsia="Times New Roman" w:hAnsi="Calibri" w:cs="Calibri"/>
                <w:b/>
                <w:bCs/>
                <w:sz w:val="28"/>
                <w:szCs w:val="28"/>
                <w:lang w:eastAsia="cs-CZ"/>
              </w:rPr>
              <w:t>SMLOUVY O DOHODNUTÉ CENĚ LÉČIVÉHO PŘÍPRAVKU</w:t>
            </w:r>
          </w:p>
        </w:tc>
      </w:tr>
      <w:tr w:rsidR="005307A3" w:rsidRPr="00A91544" w14:paraId="5C463973" w14:textId="77777777" w:rsidTr="00626404">
        <w:trPr>
          <w:trHeight w:val="295"/>
        </w:trPr>
        <w:tc>
          <w:tcPr>
            <w:tcW w:w="9928" w:type="dxa"/>
            <w:gridSpan w:val="8"/>
            <w:tcBorders>
              <w:top w:val="nil"/>
              <w:left w:val="nil"/>
              <w:bottom w:val="nil"/>
              <w:right w:val="nil"/>
            </w:tcBorders>
            <w:shd w:val="clear" w:color="auto" w:fill="auto"/>
            <w:noWrap/>
            <w:vAlign w:val="bottom"/>
            <w:hideMark/>
          </w:tcPr>
          <w:p w14:paraId="64F9BFF6" w14:textId="77777777" w:rsidR="005307A3" w:rsidRPr="00A91544" w:rsidRDefault="005307A3" w:rsidP="00626404">
            <w:pPr>
              <w:spacing w:after="0" w:line="240" w:lineRule="auto"/>
              <w:jc w:val="center"/>
              <w:rPr>
                <w:rFonts w:ascii="Calibri" w:eastAsia="Times New Roman" w:hAnsi="Calibri" w:cs="Calibri"/>
                <w:b/>
                <w:bCs/>
                <w:sz w:val="28"/>
                <w:szCs w:val="28"/>
                <w:lang w:eastAsia="cs-CZ"/>
              </w:rPr>
            </w:pPr>
          </w:p>
        </w:tc>
      </w:tr>
      <w:tr w:rsidR="005307A3" w:rsidRPr="00A91544" w14:paraId="4175BDE5" w14:textId="77777777" w:rsidTr="00626404">
        <w:trPr>
          <w:trHeight w:val="295"/>
        </w:trPr>
        <w:tc>
          <w:tcPr>
            <w:tcW w:w="9928" w:type="dxa"/>
            <w:gridSpan w:val="8"/>
            <w:tcBorders>
              <w:top w:val="nil"/>
              <w:left w:val="nil"/>
              <w:bottom w:val="nil"/>
              <w:right w:val="nil"/>
            </w:tcBorders>
            <w:shd w:val="clear" w:color="auto" w:fill="auto"/>
            <w:noWrap/>
            <w:vAlign w:val="center"/>
            <w:hideMark/>
          </w:tcPr>
          <w:p w14:paraId="0D16DF00" w14:textId="77777777" w:rsidR="005307A3" w:rsidRPr="00A91544" w:rsidRDefault="005307A3" w:rsidP="00626404">
            <w:pPr>
              <w:spacing w:after="0" w:line="240" w:lineRule="auto"/>
              <w:jc w:val="center"/>
              <w:rPr>
                <w:rFonts w:ascii="Calibri" w:eastAsia="Times New Roman" w:hAnsi="Calibri" w:cs="Calibri"/>
                <w:color w:val="000000"/>
                <w:lang w:eastAsia="cs-CZ"/>
              </w:rPr>
            </w:pPr>
            <w:r w:rsidRPr="00A91544">
              <w:rPr>
                <w:rFonts w:ascii="Calibri" w:eastAsia="Times New Roman" w:hAnsi="Calibri" w:cs="Calibri"/>
                <w:color w:val="000000"/>
                <w:lang w:eastAsia="cs-CZ"/>
              </w:rPr>
              <w:t xml:space="preserve">uzavřená dohodou smluvních stran </w:t>
            </w:r>
          </w:p>
        </w:tc>
      </w:tr>
      <w:tr w:rsidR="005307A3" w:rsidRPr="00A91544" w14:paraId="543CF040" w14:textId="77777777" w:rsidTr="00626404">
        <w:trPr>
          <w:trHeight w:val="395"/>
        </w:trPr>
        <w:tc>
          <w:tcPr>
            <w:tcW w:w="201" w:type="dxa"/>
            <w:tcBorders>
              <w:top w:val="nil"/>
              <w:left w:val="nil"/>
              <w:bottom w:val="nil"/>
              <w:right w:val="nil"/>
            </w:tcBorders>
            <w:shd w:val="clear" w:color="auto" w:fill="auto"/>
            <w:noWrap/>
            <w:vAlign w:val="center"/>
            <w:hideMark/>
          </w:tcPr>
          <w:p w14:paraId="5D02CB30" w14:textId="77777777" w:rsidR="005307A3" w:rsidRPr="00A91544" w:rsidRDefault="005307A3" w:rsidP="00626404">
            <w:pPr>
              <w:spacing w:after="0" w:line="240" w:lineRule="auto"/>
              <w:jc w:val="center"/>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center"/>
            <w:hideMark/>
          </w:tcPr>
          <w:p w14:paraId="4F39D7D7"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center"/>
            <w:hideMark/>
          </w:tcPr>
          <w:p w14:paraId="791A200E"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center"/>
            <w:hideMark/>
          </w:tcPr>
          <w:p w14:paraId="7A4CA7D4"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center"/>
            <w:hideMark/>
          </w:tcPr>
          <w:p w14:paraId="69CF5BD6"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center"/>
            <w:hideMark/>
          </w:tcPr>
          <w:p w14:paraId="53030944"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center"/>
            <w:hideMark/>
          </w:tcPr>
          <w:p w14:paraId="36875E74"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023F5F70"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50855344" w14:textId="77777777" w:rsidTr="00626404">
        <w:trPr>
          <w:trHeight w:val="340"/>
        </w:trPr>
        <w:tc>
          <w:tcPr>
            <w:tcW w:w="201" w:type="dxa"/>
            <w:tcBorders>
              <w:top w:val="nil"/>
              <w:left w:val="nil"/>
              <w:bottom w:val="nil"/>
              <w:right w:val="nil"/>
            </w:tcBorders>
            <w:shd w:val="clear" w:color="auto" w:fill="auto"/>
            <w:noWrap/>
            <w:vAlign w:val="center"/>
            <w:hideMark/>
          </w:tcPr>
          <w:p w14:paraId="40D9B9AB"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center"/>
            <w:hideMark/>
          </w:tcPr>
          <w:p w14:paraId="7BB4AD9C"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5D75275E"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727417F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6AC932C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43ACFB0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5E27A23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31882F2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r>
      <w:tr w:rsidR="005307A3" w:rsidRPr="00A91544" w14:paraId="0674C2DF" w14:textId="77777777" w:rsidTr="00626404">
        <w:trPr>
          <w:trHeight w:val="310"/>
        </w:trPr>
        <w:tc>
          <w:tcPr>
            <w:tcW w:w="201" w:type="dxa"/>
            <w:tcBorders>
              <w:top w:val="nil"/>
              <w:left w:val="nil"/>
              <w:bottom w:val="nil"/>
              <w:right w:val="nil"/>
            </w:tcBorders>
            <w:shd w:val="clear" w:color="auto" w:fill="auto"/>
            <w:noWrap/>
            <w:vAlign w:val="bottom"/>
            <w:hideMark/>
          </w:tcPr>
          <w:p w14:paraId="25D833B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7244CF6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54D610D7"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3350E15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40E1D39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32804EC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7F5A33B3"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427E6851"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3FB577AB" w14:textId="77777777" w:rsidTr="00626404">
        <w:trPr>
          <w:trHeight w:val="606"/>
        </w:trPr>
        <w:tc>
          <w:tcPr>
            <w:tcW w:w="201" w:type="dxa"/>
            <w:tcBorders>
              <w:top w:val="nil"/>
              <w:left w:val="nil"/>
              <w:bottom w:val="nil"/>
              <w:right w:val="nil"/>
            </w:tcBorders>
            <w:shd w:val="clear" w:color="auto" w:fill="auto"/>
            <w:vAlign w:val="bottom"/>
            <w:hideMark/>
          </w:tcPr>
          <w:p w14:paraId="48649783"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61566C3" w14:textId="77777777" w:rsidR="005307A3" w:rsidRPr="00A91544" w:rsidRDefault="005307A3" w:rsidP="00626404">
            <w:pPr>
              <w:spacing w:after="0" w:line="240" w:lineRule="auto"/>
              <w:rPr>
                <w:rFonts w:ascii="Calibri" w:eastAsia="Times New Roman" w:hAnsi="Calibri" w:cs="Calibri"/>
                <w:b/>
                <w:bCs/>
                <w:lang w:eastAsia="cs-CZ"/>
              </w:rPr>
            </w:pPr>
            <w:r w:rsidRPr="00A91544">
              <w:rPr>
                <w:rFonts w:ascii="Calibri" w:eastAsia="Times New Roman" w:hAnsi="Calibri" w:cs="Calibri"/>
                <w:b/>
                <w:bCs/>
                <w:lang w:eastAsia="cs-CZ"/>
              </w:rPr>
              <w:t>Poř.č.</w:t>
            </w:r>
          </w:p>
        </w:tc>
        <w:tc>
          <w:tcPr>
            <w:tcW w:w="1687" w:type="dxa"/>
            <w:tcBorders>
              <w:top w:val="single" w:sz="8" w:space="0" w:color="auto"/>
              <w:left w:val="nil"/>
              <w:bottom w:val="single" w:sz="8" w:space="0" w:color="auto"/>
              <w:right w:val="single" w:sz="4" w:space="0" w:color="auto"/>
            </w:tcBorders>
            <w:shd w:val="clear" w:color="000000" w:fill="D9D9D9"/>
            <w:vAlign w:val="center"/>
            <w:hideMark/>
          </w:tcPr>
          <w:p w14:paraId="0E142F71" w14:textId="77777777" w:rsidR="005307A3" w:rsidRPr="00A91544" w:rsidRDefault="005307A3" w:rsidP="00626404">
            <w:pPr>
              <w:spacing w:after="0" w:line="240" w:lineRule="auto"/>
              <w:jc w:val="center"/>
              <w:rPr>
                <w:rFonts w:ascii="Calibri" w:eastAsia="Times New Roman" w:hAnsi="Calibri" w:cs="Calibri"/>
                <w:b/>
                <w:bCs/>
                <w:lang w:eastAsia="cs-CZ"/>
              </w:rPr>
            </w:pPr>
            <w:r w:rsidRPr="00A91544">
              <w:rPr>
                <w:rFonts w:ascii="Calibri" w:eastAsia="Times New Roman" w:hAnsi="Calibri" w:cs="Calibri"/>
                <w:b/>
                <w:bCs/>
                <w:lang w:eastAsia="cs-CZ"/>
              </w:rPr>
              <w:t>KOD</w:t>
            </w:r>
          </w:p>
        </w:tc>
        <w:tc>
          <w:tcPr>
            <w:tcW w:w="2699" w:type="dxa"/>
            <w:tcBorders>
              <w:top w:val="single" w:sz="8" w:space="0" w:color="auto"/>
              <w:left w:val="nil"/>
              <w:bottom w:val="single" w:sz="8" w:space="0" w:color="auto"/>
              <w:right w:val="single" w:sz="4" w:space="0" w:color="auto"/>
            </w:tcBorders>
            <w:shd w:val="clear" w:color="000000" w:fill="D9D9D9"/>
            <w:vAlign w:val="center"/>
            <w:hideMark/>
          </w:tcPr>
          <w:p w14:paraId="376CCB68" w14:textId="77777777" w:rsidR="005307A3" w:rsidRPr="00A91544" w:rsidRDefault="005307A3" w:rsidP="00626404">
            <w:pPr>
              <w:spacing w:after="0" w:line="240" w:lineRule="auto"/>
              <w:rPr>
                <w:rFonts w:ascii="Calibri" w:eastAsia="Times New Roman" w:hAnsi="Calibri" w:cs="Calibri"/>
                <w:b/>
                <w:bCs/>
                <w:lang w:eastAsia="cs-CZ"/>
              </w:rPr>
            </w:pPr>
            <w:r w:rsidRPr="00A91544">
              <w:rPr>
                <w:rFonts w:ascii="Calibri" w:eastAsia="Times New Roman" w:hAnsi="Calibri" w:cs="Calibri"/>
                <w:b/>
                <w:bCs/>
                <w:lang w:eastAsia="cs-CZ"/>
              </w:rPr>
              <w:t>NAZ</w:t>
            </w:r>
          </w:p>
        </w:tc>
        <w:tc>
          <w:tcPr>
            <w:tcW w:w="2448" w:type="dxa"/>
            <w:tcBorders>
              <w:top w:val="single" w:sz="8" w:space="0" w:color="auto"/>
              <w:left w:val="nil"/>
              <w:bottom w:val="single" w:sz="8" w:space="0" w:color="auto"/>
              <w:right w:val="single" w:sz="4" w:space="0" w:color="auto"/>
            </w:tcBorders>
            <w:shd w:val="clear" w:color="000000" w:fill="D9D9D9"/>
            <w:vAlign w:val="center"/>
            <w:hideMark/>
          </w:tcPr>
          <w:p w14:paraId="63C427F3" w14:textId="77777777" w:rsidR="005307A3" w:rsidRPr="00A91544" w:rsidRDefault="005307A3" w:rsidP="00626404">
            <w:pPr>
              <w:spacing w:after="0" w:line="240" w:lineRule="auto"/>
              <w:rPr>
                <w:rFonts w:ascii="Calibri" w:eastAsia="Times New Roman" w:hAnsi="Calibri" w:cs="Calibri"/>
                <w:b/>
                <w:bCs/>
                <w:lang w:eastAsia="cs-CZ"/>
              </w:rPr>
            </w:pPr>
            <w:r w:rsidRPr="00A91544">
              <w:rPr>
                <w:rFonts w:ascii="Calibri" w:eastAsia="Times New Roman" w:hAnsi="Calibri" w:cs="Calibri"/>
                <w:b/>
                <w:bCs/>
                <w:lang w:eastAsia="cs-CZ"/>
              </w:rPr>
              <w:t>DOP</w:t>
            </w:r>
          </w:p>
        </w:tc>
        <w:tc>
          <w:tcPr>
            <w:tcW w:w="508" w:type="dxa"/>
            <w:tcBorders>
              <w:top w:val="single" w:sz="8" w:space="0" w:color="auto"/>
              <w:left w:val="nil"/>
              <w:bottom w:val="single" w:sz="8" w:space="0" w:color="auto"/>
              <w:right w:val="single" w:sz="4" w:space="0" w:color="auto"/>
            </w:tcBorders>
            <w:shd w:val="clear" w:color="000000" w:fill="D9D9D9"/>
            <w:vAlign w:val="center"/>
            <w:hideMark/>
          </w:tcPr>
          <w:p w14:paraId="773D86F1" w14:textId="77777777" w:rsidR="005307A3" w:rsidRPr="00A91544" w:rsidRDefault="005307A3" w:rsidP="00626404">
            <w:pPr>
              <w:spacing w:after="0" w:line="240" w:lineRule="auto"/>
              <w:jc w:val="center"/>
              <w:rPr>
                <w:rFonts w:ascii="Calibri" w:eastAsia="Times New Roman" w:hAnsi="Calibri" w:cs="Calibri"/>
                <w:b/>
                <w:bCs/>
                <w:lang w:eastAsia="cs-CZ"/>
              </w:rPr>
            </w:pPr>
            <w:r w:rsidRPr="00A91544">
              <w:rPr>
                <w:rFonts w:ascii="Calibri" w:eastAsia="Times New Roman" w:hAnsi="Calibri" w:cs="Calibri"/>
                <w:b/>
                <w:bCs/>
                <w:lang w:eastAsia="cs-CZ"/>
              </w:rPr>
              <w:t>DRZ</w:t>
            </w:r>
          </w:p>
        </w:tc>
        <w:tc>
          <w:tcPr>
            <w:tcW w:w="545" w:type="dxa"/>
            <w:tcBorders>
              <w:top w:val="single" w:sz="8" w:space="0" w:color="auto"/>
              <w:left w:val="nil"/>
              <w:bottom w:val="single" w:sz="8" w:space="0" w:color="auto"/>
              <w:right w:val="single" w:sz="4" w:space="0" w:color="auto"/>
            </w:tcBorders>
            <w:shd w:val="clear" w:color="000000" w:fill="D9D9D9"/>
            <w:vAlign w:val="center"/>
            <w:hideMark/>
          </w:tcPr>
          <w:p w14:paraId="0E6EBA73" w14:textId="77777777" w:rsidR="005307A3" w:rsidRPr="00A91544" w:rsidRDefault="005307A3" w:rsidP="00626404">
            <w:pPr>
              <w:spacing w:after="0" w:line="240" w:lineRule="auto"/>
              <w:jc w:val="center"/>
              <w:rPr>
                <w:rFonts w:ascii="Calibri" w:eastAsia="Times New Roman" w:hAnsi="Calibri" w:cs="Calibri"/>
                <w:b/>
                <w:bCs/>
                <w:lang w:eastAsia="cs-CZ"/>
              </w:rPr>
            </w:pPr>
            <w:r w:rsidRPr="00A91544">
              <w:rPr>
                <w:rFonts w:ascii="Calibri" w:eastAsia="Times New Roman" w:hAnsi="Calibri" w:cs="Calibri"/>
                <w:b/>
                <w:bCs/>
                <w:lang w:eastAsia="cs-CZ"/>
              </w:rPr>
              <w:t>ZEM</w:t>
            </w:r>
          </w:p>
        </w:tc>
        <w:tc>
          <w:tcPr>
            <w:tcW w:w="1176" w:type="dxa"/>
            <w:tcBorders>
              <w:top w:val="single" w:sz="8" w:space="0" w:color="auto"/>
              <w:left w:val="nil"/>
              <w:bottom w:val="single" w:sz="8" w:space="0" w:color="auto"/>
              <w:right w:val="single" w:sz="8" w:space="0" w:color="auto"/>
            </w:tcBorders>
            <w:shd w:val="clear" w:color="000000" w:fill="D9D9D9"/>
            <w:vAlign w:val="center"/>
            <w:hideMark/>
          </w:tcPr>
          <w:p w14:paraId="48F37AA9" w14:textId="77777777" w:rsidR="005307A3" w:rsidRPr="00A91544" w:rsidRDefault="005307A3" w:rsidP="00626404">
            <w:pPr>
              <w:spacing w:after="0" w:line="240" w:lineRule="auto"/>
              <w:jc w:val="center"/>
              <w:rPr>
                <w:rFonts w:ascii="Calibri" w:eastAsia="Times New Roman" w:hAnsi="Calibri" w:cs="Calibri"/>
                <w:b/>
                <w:bCs/>
                <w:color w:val="000000"/>
                <w:lang w:eastAsia="cs-CZ"/>
              </w:rPr>
            </w:pPr>
            <w:r w:rsidRPr="00A91544">
              <w:rPr>
                <w:rFonts w:ascii="Calibri" w:eastAsia="Times New Roman" w:hAnsi="Calibri" w:cs="Calibri"/>
                <w:b/>
                <w:bCs/>
                <w:color w:val="000000"/>
                <w:lang w:eastAsia="cs-CZ"/>
              </w:rPr>
              <w:t>SDC</w:t>
            </w:r>
          </w:p>
        </w:tc>
      </w:tr>
      <w:tr w:rsidR="005307A3" w:rsidRPr="00A91544" w14:paraId="708BABDC" w14:textId="77777777" w:rsidTr="00626404">
        <w:trPr>
          <w:trHeight w:val="295"/>
        </w:trPr>
        <w:tc>
          <w:tcPr>
            <w:tcW w:w="201" w:type="dxa"/>
            <w:tcBorders>
              <w:top w:val="nil"/>
              <w:left w:val="nil"/>
              <w:bottom w:val="nil"/>
              <w:right w:val="nil"/>
            </w:tcBorders>
            <w:shd w:val="clear" w:color="auto" w:fill="auto"/>
            <w:vAlign w:val="center"/>
            <w:hideMark/>
          </w:tcPr>
          <w:p w14:paraId="2FBC9F88" w14:textId="77777777" w:rsidR="005307A3" w:rsidRPr="00A91544" w:rsidRDefault="005307A3" w:rsidP="00626404">
            <w:pPr>
              <w:spacing w:after="0" w:line="240" w:lineRule="auto"/>
              <w:jc w:val="center"/>
              <w:rPr>
                <w:rFonts w:ascii="Calibri" w:eastAsia="Times New Roman" w:hAnsi="Calibri" w:cs="Calibri"/>
                <w:b/>
                <w:bCs/>
                <w:color w:val="000000"/>
                <w:lang w:eastAsia="cs-CZ"/>
              </w:rPr>
            </w:pPr>
          </w:p>
        </w:tc>
        <w:tc>
          <w:tcPr>
            <w:tcW w:w="664" w:type="dxa"/>
            <w:tcBorders>
              <w:top w:val="nil"/>
              <w:left w:val="nil"/>
              <w:bottom w:val="nil"/>
              <w:right w:val="nil"/>
            </w:tcBorders>
            <w:shd w:val="clear" w:color="auto" w:fill="auto"/>
            <w:vAlign w:val="center"/>
            <w:hideMark/>
          </w:tcPr>
          <w:p w14:paraId="7240F80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vAlign w:val="center"/>
            <w:hideMark/>
          </w:tcPr>
          <w:p w14:paraId="4177F34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vAlign w:val="center"/>
            <w:hideMark/>
          </w:tcPr>
          <w:p w14:paraId="31BD5A7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vAlign w:val="center"/>
            <w:hideMark/>
          </w:tcPr>
          <w:p w14:paraId="484549D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vAlign w:val="center"/>
            <w:hideMark/>
          </w:tcPr>
          <w:p w14:paraId="252FCF6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vAlign w:val="center"/>
            <w:hideMark/>
          </w:tcPr>
          <w:p w14:paraId="3634384C"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vAlign w:val="center"/>
            <w:hideMark/>
          </w:tcPr>
          <w:p w14:paraId="0C6096F3"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6A77610C" w14:textId="77777777" w:rsidTr="00626404">
        <w:trPr>
          <w:trHeight w:val="295"/>
        </w:trPr>
        <w:tc>
          <w:tcPr>
            <w:tcW w:w="201" w:type="dxa"/>
            <w:tcBorders>
              <w:top w:val="nil"/>
              <w:left w:val="nil"/>
              <w:bottom w:val="nil"/>
              <w:right w:val="nil"/>
            </w:tcBorders>
            <w:shd w:val="clear" w:color="auto" w:fill="auto"/>
            <w:noWrap/>
            <w:vAlign w:val="bottom"/>
            <w:hideMark/>
          </w:tcPr>
          <w:p w14:paraId="394D10FB"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5C9142FA" w14:textId="77777777" w:rsidR="005307A3" w:rsidRPr="00A91544" w:rsidRDefault="005307A3" w:rsidP="00626404">
            <w:pPr>
              <w:spacing w:after="0" w:line="240" w:lineRule="auto"/>
              <w:jc w:val="center"/>
              <w:rPr>
                <w:rFonts w:ascii="Calibri" w:eastAsia="Times New Roman" w:hAnsi="Calibri" w:cs="Calibri"/>
                <w:lang w:eastAsia="cs-CZ"/>
              </w:rPr>
            </w:pPr>
            <w:r w:rsidRPr="00A91544">
              <w:rPr>
                <w:rFonts w:ascii="Calibri" w:eastAsia="Times New Roman" w:hAnsi="Calibri" w:cs="Calibri"/>
                <w:lang w:eastAsia="cs-CZ"/>
              </w:rPr>
              <w:t>1.</w:t>
            </w:r>
          </w:p>
        </w:tc>
        <w:tc>
          <w:tcPr>
            <w:tcW w:w="1687" w:type="dxa"/>
            <w:tcBorders>
              <w:top w:val="nil"/>
              <w:left w:val="nil"/>
              <w:bottom w:val="nil"/>
              <w:right w:val="nil"/>
            </w:tcBorders>
            <w:shd w:val="clear" w:color="auto" w:fill="auto"/>
            <w:noWrap/>
            <w:vAlign w:val="bottom"/>
            <w:hideMark/>
          </w:tcPr>
          <w:p w14:paraId="4BC349D6" w14:textId="77777777" w:rsidR="005307A3" w:rsidRPr="00A91544" w:rsidRDefault="005307A3" w:rsidP="00626404">
            <w:pPr>
              <w:spacing w:after="0" w:line="240" w:lineRule="auto"/>
              <w:jc w:val="right"/>
              <w:rPr>
                <w:rFonts w:ascii="Arial" w:eastAsia="Times New Roman" w:hAnsi="Arial" w:cs="Arial"/>
                <w:color w:val="000000"/>
                <w:sz w:val="20"/>
                <w:szCs w:val="20"/>
                <w:lang w:eastAsia="cs-CZ"/>
              </w:rPr>
            </w:pPr>
            <w:r w:rsidRPr="00A91544">
              <w:rPr>
                <w:rFonts w:ascii="Arial" w:eastAsia="Times New Roman" w:hAnsi="Arial" w:cs="Arial"/>
                <w:color w:val="000000"/>
                <w:sz w:val="20"/>
                <w:szCs w:val="20"/>
                <w:lang w:eastAsia="cs-CZ"/>
              </w:rPr>
              <w:t>0238818</w:t>
            </w:r>
          </w:p>
        </w:tc>
        <w:tc>
          <w:tcPr>
            <w:tcW w:w="2699" w:type="dxa"/>
            <w:tcBorders>
              <w:top w:val="nil"/>
              <w:left w:val="nil"/>
              <w:bottom w:val="nil"/>
              <w:right w:val="nil"/>
            </w:tcBorders>
            <w:shd w:val="clear" w:color="auto" w:fill="auto"/>
            <w:vAlign w:val="center"/>
            <w:hideMark/>
          </w:tcPr>
          <w:p w14:paraId="1DF4687E" w14:textId="77777777" w:rsidR="005307A3" w:rsidRPr="00A91544" w:rsidRDefault="005307A3" w:rsidP="00626404">
            <w:pPr>
              <w:spacing w:after="0" w:line="240" w:lineRule="auto"/>
              <w:rPr>
                <w:rFonts w:ascii="Calibri" w:eastAsia="Times New Roman" w:hAnsi="Calibri" w:cs="Calibri"/>
                <w:lang w:eastAsia="cs-CZ"/>
              </w:rPr>
            </w:pPr>
            <w:r w:rsidRPr="00A91544">
              <w:rPr>
                <w:rFonts w:ascii="Calibri" w:eastAsia="Times New Roman" w:hAnsi="Calibri" w:cs="Calibri"/>
                <w:lang w:eastAsia="cs-CZ"/>
              </w:rPr>
              <w:t>IBRANCE</w:t>
            </w:r>
          </w:p>
        </w:tc>
        <w:tc>
          <w:tcPr>
            <w:tcW w:w="2448" w:type="dxa"/>
            <w:tcBorders>
              <w:top w:val="nil"/>
              <w:left w:val="nil"/>
              <w:bottom w:val="nil"/>
              <w:right w:val="nil"/>
            </w:tcBorders>
            <w:shd w:val="clear" w:color="auto" w:fill="auto"/>
            <w:noWrap/>
            <w:vAlign w:val="bottom"/>
            <w:hideMark/>
          </w:tcPr>
          <w:p w14:paraId="445963C5" w14:textId="77777777" w:rsidR="005307A3" w:rsidRPr="00A91544" w:rsidRDefault="005307A3" w:rsidP="00626404">
            <w:pPr>
              <w:spacing w:after="0" w:line="240" w:lineRule="auto"/>
              <w:rPr>
                <w:rFonts w:ascii="Arial" w:eastAsia="Times New Roman" w:hAnsi="Arial" w:cs="Arial"/>
                <w:color w:val="000000"/>
                <w:sz w:val="20"/>
                <w:szCs w:val="20"/>
                <w:lang w:eastAsia="cs-CZ"/>
              </w:rPr>
            </w:pPr>
            <w:r w:rsidRPr="00A91544">
              <w:rPr>
                <w:rFonts w:ascii="Arial" w:eastAsia="Times New Roman" w:hAnsi="Arial" w:cs="Arial"/>
                <w:color w:val="000000"/>
                <w:sz w:val="20"/>
                <w:szCs w:val="20"/>
                <w:lang w:eastAsia="cs-CZ"/>
              </w:rPr>
              <w:t>100MG TBL FLM 21 I</w:t>
            </w:r>
          </w:p>
        </w:tc>
        <w:tc>
          <w:tcPr>
            <w:tcW w:w="508" w:type="dxa"/>
            <w:tcBorders>
              <w:top w:val="nil"/>
              <w:left w:val="nil"/>
              <w:bottom w:val="nil"/>
              <w:right w:val="nil"/>
            </w:tcBorders>
            <w:shd w:val="clear" w:color="auto" w:fill="auto"/>
            <w:vAlign w:val="center"/>
            <w:hideMark/>
          </w:tcPr>
          <w:p w14:paraId="345546AC" w14:textId="77777777" w:rsidR="005307A3" w:rsidRPr="00A91544" w:rsidRDefault="005307A3" w:rsidP="00626404">
            <w:pPr>
              <w:spacing w:after="0" w:line="240" w:lineRule="auto"/>
              <w:jc w:val="center"/>
              <w:rPr>
                <w:rFonts w:ascii="Calibri" w:eastAsia="Times New Roman" w:hAnsi="Calibri" w:cs="Calibri"/>
                <w:lang w:eastAsia="cs-CZ"/>
              </w:rPr>
            </w:pPr>
            <w:r w:rsidRPr="00A91544">
              <w:rPr>
                <w:rFonts w:ascii="Calibri" w:eastAsia="Times New Roman" w:hAnsi="Calibri" w:cs="Calibri"/>
                <w:lang w:eastAsia="cs-CZ"/>
              </w:rPr>
              <w:t>PFJ</w:t>
            </w:r>
          </w:p>
        </w:tc>
        <w:tc>
          <w:tcPr>
            <w:tcW w:w="545" w:type="dxa"/>
            <w:tcBorders>
              <w:top w:val="nil"/>
              <w:left w:val="nil"/>
              <w:bottom w:val="nil"/>
              <w:right w:val="nil"/>
            </w:tcBorders>
            <w:shd w:val="clear" w:color="auto" w:fill="auto"/>
            <w:vAlign w:val="center"/>
            <w:hideMark/>
          </w:tcPr>
          <w:p w14:paraId="4685009D" w14:textId="77777777" w:rsidR="005307A3" w:rsidRPr="00A91544" w:rsidRDefault="005307A3" w:rsidP="00626404">
            <w:pPr>
              <w:spacing w:after="0" w:line="240" w:lineRule="auto"/>
              <w:jc w:val="center"/>
              <w:rPr>
                <w:rFonts w:ascii="Calibri" w:eastAsia="Times New Roman" w:hAnsi="Calibri" w:cs="Calibri"/>
                <w:lang w:eastAsia="cs-CZ"/>
              </w:rPr>
            </w:pPr>
            <w:r w:rsidRPr="00A91544">
              <w:rPr>
                <w:rFonts w:ascii="Calibri" w:eastAsia="Times New Roman" w:hAnsi="Calibri" w:cs="Calibri"/>
                <w:lang w:eastAsia="cs-CZ"/>
              </w:rPr>
              <w:t>B</w:t>
            </w:r>
          </w:p>
        </w:tc>
        <w:tc>
          <w:tcPr>
            <w:tcW w:w="1176" w:type="dxa"/>
            <w:tcBorders>
              <w:top w:val="nil"/>
              <w:left w:val="nil"/>
              <w:bottom w:val="nil"/>
              <w:right w:val="nil"/>
            </w:tcBorders>
            <w:shd w:val="clear" w:color="auto" w:fill="auto"/>
            <w:noWrap/>
            <w:vAlign w:val="bottom"/>
            <w:hideMark/>
          </w:tcPr>
          <w:p w14:paraId="77754F7D" w14:textId="77777777" w:rsidR="005307A3" w:rsidRPr="00A91544" w:rsidRDefault="005307A3" w:rsidP="00626404">
            <w:pPr>
              <w:spacing w:after="0" w:line="240" w:lineRule="auto"/>
              <w:jc w:val="right"/>
              <w:rPr>
                <w:rFonts w:ascii="Arial" w:eastAsia="Times New Roman" w:hAnsi="Arial" w:cs="Arial"/>
                <w:color w:val="000000"/>
                <w:sz w:val="20"/>
                <w:szCs w:val="20"/>
                <w:highlight w:val="black"/>
                <w:lang w:eastAsia="cs-CZ"/>
              </w:rPr>
            </w:pPr>
            <w:r w:rsidRPr="00A91544">
              <w:rPr>
                <w:rFonts w:ascii="Arial" w:eastAsia="Times New Roman" w:hAnsi="Arial" w:cs="Arial"/>
                <w:color w:val="000000"/>
                <w:sz w:val="20"/>
                <w:szCs w:val="20"/>
                <w:highlight w:val="black"/>
                <w:lang w:eastAsia="cs-CZ"/>
              </w:rPr>
              <w:t>XXXXX</w:t>
            </w:r>
          </w:p>
        </w:tc>
      </w:tr>
      <w:tr w:rsidR="005307A3" w:rsidRPr="00A91544" w14:paraId="5B0BC591" w14:textId="77777777" w:rsidTr="00626404">
        <w:trPr>
          <w:trHeight w:val="295"/>
        </w:trPr>
        <w:tc>
          <w:tcPr>
            <w:tcW w:w="201" w:type="dxa"/>
            <w:tcBorders>
              <w:top w:val="nil"/>
              <w:left w:val="nil"/>
              <w:bottom w:val="nil"/>
              <w:right w:val="nil"/>
            </w:tcBorders>
            <w:shd w:val="clear" w:color="auto" w:fill="auto"/>
            <w:hideMark/>
          </w:tcPr>
          <w:p w14:paraId="00D30645" w14:textId="77777777" w:rsidR="005307A3" w:rsidRPr="00A91544" w:rsidRDefault="005307A3" w:rsidP="00626404">
            <w:pPr>
              <w:spacing w:after="0" w:line="240" w:lineRule="auto"/>
              <w:jc w:val="right"/>
              <w:rPr>
                <w:rFonts w:ascii="Arial" w:eastAsia="Times New Roman" w:hAnsi="Arial" w:cs="Arial"/>
                <w:color w:val="000000"/>
                <w:sz w:val="20"/>
                <w:szCs w:val="20"/>
                <w:lang w:eastAsia="cs-CZ"/>
              </w:rPr>
            </w:pPr>
          </w:p>
        </w:tc>
        <w:tc>
          <w:tcPr>
            <w:tcW w:w="664" w:type="dxa"/>
            <w:tcBorders>
              <w:top w:val="nil"/>
              <w:left w:val="nil"/>
              <w:bottom w:val="nil"/>
              <w:right w:val="nil"/>
            </w:tcBorders>
            <w:shd w:val="clear" w:color="auto" w:fill="auto"/>
            <w:vAlign w:val="center"/>
            <w:hideMark/>
          </w:tcPr>
          <w:p w14:paraId="3AA430AD" w14:textId="77777777" w:rsidR="005307A3" w:rsidRPr="00A91544" w:rsidRDefault="005307A3" w:rsidP="00626404">
            <w:pPr>
              <w:spacing w:after="0" w:line="240" w:lineRule="auto"/>
              <w:jc w:val="center"/>
              <w:rPr>
                <w:rFonts w:ascii="Calibri" w:eastAsia="Times New Roman" w:hAnsi="Calibri" w:cs="Calibri"/>
                <w:lang w:eastAsia="cs-CZ"/>
              </w:rPr>
            </w:pPr>
            <w:r w:rsidRPr="00A91544">
              <w:rPr>
                <w:rFonts w:ascii="Calibri" w:eastAsia="Times New Roman" w:hAnsi="Calibri" w:cs="Calibri"/>
                <w:lang w:eastAsia="cs-CZ"/>
              </w:rPr>
              <w:t>2.</w:t>
            </w:r>
          </w:p>
        </w:tc>
        <w:tc>
          <w:tcPr>
            <w:tcW w:w="1687" w:type="dxa"/>
            <w:tcBorders>
              <w:top w:val="nil"/>
              <w:left w:val="nil"/>
              <w:bottom w:val="nil"/>
              <w:right w:val="nil"/>
            </w:tcBorders>
            <w:shd w:val="clear" w:color="auto" w:fill="auto"/>
            <w:noWrap/>
            <w:vAlign w:val="bottom"/>
            <w:hideMark/>
          </w:tcPr>
          <w:p w14:paraId="47EC2BC0" w14:textId="77777777" w:rsidR="005307A3" w:rsidRPr="00A91544" w:rsidRDefault="005307A3" w:rsidP="00626404">
            <w:pPr>
              <w:spacing w:after="0" w:line="240" w:lineRule="auto"/>
              <w:jc w:val="right"/>
              <w:rPr>
                <w:rFonts w:ascii="Arial" w:eastAsia="Times New Roman" w:hAnsi="Arial" w:cs="Arial"/>
                <w:color w:val="000000"/>
                <w:sz w:val="20"/>
                <w:szCs w:val="20"/>
                <w:lang w:eastAsia="cs-CZ"/>
              </w:rPr>
            </w:pPr>
            <w:r w:rsidRPr="00A91544">
              <w:rPr>
                <w:rFonts w:ascii="Arial" w:eastAsia="Times New Roman" w:hAnsi="Arial" w:cs="Arial"/>
                <w:color w:val="000000"/>
                <w:sz w:val="20"/>
                <w:szCs w:val="20"/>
                <w:lang w:eastAsia="cs-CZ"/>
              </w:rPr>
              <w:t>0238820</w:t>
            </w:r>
          </w:p>
        </w:tc>
        <w:tc>
          <w:tcPr>
            <w:tcW w:w="2699" w:type="dxa"/>
            <w:tcBorders>
              <w:top w:val="nil"/>
              <w:left w:val="nil"/>
              <w:bottom w:val="nil"/>
              <w:right w:val="nil"/>
            </w:tcBorders>
            <w:shd w:val="clear" w:color="auto" w:fill="auto"/>
            <w:vAlign w:val="center"/>
            <w:hideMark/>
          </w:tcPr>
          <w:p w14:paraId="4A572DF4" w14:textId="77777777" w:rsidR="005307A3" w:rsidRPr="00A91544" w:rsidRDefault="005307A3" w:rsidP="00626404">
            <w:pPr>
              <w:spacing w:after="0" w:line="240" w:lineRule="auto"/>
              <w:rPr>
                <w:rFonts w:ascii="Calibri" w:eastAsia="Times New Roman" w:hAnsi="Calibri" w:cs="Calibri"/>
                <w:lang w:eastAsia="cs-CZ"/>
              </w:rPr>
            </w:pPr>
            <w:r w:rsidRPr="00A91544">
              <w:rPr>
                <w:rFonts w:ascii="Calibri" w:eastAsia="Times New Roman" w:hAnsi="Calibri" w:cs="Calibri"/>
                <w:lang w:eastAsia="cs-CZ"/>
              </w:rPr>
              <w:t>IBRANCE</w:t>
            </w:r>
          </w:p>
        </w:tc>
        <w:tc>
          <w:tcPr>
            <w:tcW w:w="2448" w:type="dxa"/>
            <w:tcBorders>
              <w:top w:val="nil"/>
              <w:left w:val="nil"/>
              <w:bottom w:val="nil"/>
              <w:right w:val="nil"/>
            </w:tcBorders>
            <w:shd w:val="clear" w:color="auto" w:fill="auto"/>
            <w:noWrap/>
            <w:vAlign w:val="bottom"/>
            <w:hideMark/>
          </w:tcPr>
          <w:p w14:paraId="0D8AD53E" w14:textId="77777777" w:rsidR="005307A3" w:rsidRPr="00A91544" w:rsidRDefault="005307A3" w:rsidP="00626404">
            <w:pPr>
              <w:spacing w:after="0" w:line="240" w:lineRule="auto"/>
              <w:rPr>
                <w:rFonts w:ascii="Arial" w:eastAsia="Times New Roman" w:hAnsi="Arial" w:cs="Arial"/>
                <w:color w:val="000000"/>
                <w:sz w:val="20"/>
                <w:szCs w:val="20"/>
                <w:lang w:eastAsia="cs-CZ"/>
              </w:rPr>
            </w:pPr>
            <w:r w:rsidRPr="00A91544">
              <w:rPr>
                <w:rFonts w:ascii="Arial" w:eastAsia="Times New Roman" w:hAnsi="Arial" w:cs="Arial"/>
                <w:color w:val="000000"/>
                <w:sz w:val="20"/>
                <w:szCs w:val="20"/>
                <w:lang w:eastAsia="cs-CZ"/>
              </w:rPr>
              <w:t>125MG TBL FLM 21 I</w:t>
            </w:r>
          </w:p>
        </w:tc>
        <w:tc>
          <w:tcPr>
            <w:tcW w:w="508" w:type="dxa"/>
            <w:tcBorders>
              <w:top w:val="nil"/>
              <w:left w:val="nil"/>
              <w:bottom w:val="nil"/>
              <w:right w:val="nil"/>
            </w:tcBorders>
            <w:shd w:val="clear" w:color="auto" w:fill="auto"/>
            <w:vAlign w:val="center"/>
            <w:hideMark/>
          </w:tcPr>
          <w:p w14:paraId="222358B5" w14:textId="77777777" w:rsidR="005307A3" w:rsidRPr="00A91544" w:rsidRDefault="005307A3" w:rsidP="00626404">
            <w:pPr>
              <w:spacing w:after="0" w:line="240" w:lineRule="auto"/>
              <w:jc w:val="center"/>
              <w:rPr>
                <w:rFonts w:ascii="Calibri" w:eastAsia="Times New Roman" w:hAnsi="Calibri" w:cs="Calibri"/>
                <w:lang w:eastAsia="cs-CZ"/>
              </w:rPr>
            </w:pPr>
            <w:r w:rsidRPr="00A91544">
              <w:rPr>
                <w:rFonts w:ascii="Calibri" w:eastAsia="Times New Roman" w:hAnsi="Calibri" w:cs="Calibri"/>
                <w:lang w:eastAsia="cs-CZ"/>
              </w:rPr>
              <w:t>PFJ</w:t>
            </w:r>
          </w:p>
        </w:tc>
        <w:tc>
          <w:tcPr>
            <w:tcW w:w="545" w:type="dxa"/>
            <w:tcBorders>
              <w:top w:val="nil"/>
              <w:left w:val="nil"/>
              <w:bottom w:val="nil"/>
              <w:right w:val="nil"/>
            </w:tcBorders>
            <w:shd w:val="clear" w:color="auto" w:fill="auto"/>
            <w:vAlign w:val="center"/>
            <w:hideMark/>
          </w:tcPr>
          <w:p w14:paraId="410EDF89" w14:textId="77777777" w:rsidR="005307A3" w:rsidRPr="00A91544" w:rsidRDefault="005307A3" w:rsidP="00626404">
            <w:pPr>
              <w:spacing w:after="0" w:line="240" w:lineRule="auto"/>
              <w:jc w:val="center"/>
              <w:rPr>
                <w:rFonts w:ascii="Calibri" w:eastAsia="Times New Roman" w:hAnsi="Calibri" w:cs="Calibri"/>
                <w:lang w:eastAsia="cs-CZ"/>
              </w:rPr>
            </w:pPr>
            <w:r w:rsidRPr="00A91544">
              <w:rPr>
                <w:rFonts w:ascii="Calibri" w:eastAsia="Times New Roman" w:hAnsi="Calibri" w:cs="Calibri"/>
                <w:lang w:eastAsia="cs-CZ"/>
              </w:rPr>
              <w:t>B</w:t>
            </w:r>
          </w:p>
        </w:tc>
        <w:tc>
          <w:tcPr>
            <w:tcW w:w="1176" w:type="dxa"/>
            <w:tcBorders>
              <w:top w:val="nil"/>
              <w:left w:val="nil"/>
              <w:bottom w:val="nil"/>
              <w:right w:val="nil"/>
            </w:tcBorders>
            <w:shd w:val="clear" w:color="auto" w:fill="auto"/>
            <w:noWrap/>
            <w:vAlign w:val="bottom"/>
            <w:hideMark/>
          </w:tcPr>
          <w:p w14:paraId="72A2650E" w14:textId="77777777" w:rsidR="005307A3" w:rsidRPr="00A91544" w:rsidRDefault="005307A3" w:rsidP="00626404">
            <w:pPr>
              <w:spacing w:after="0" w:line="240" w:lineRule="auto"/>
              <w:jc w:val="right"/>
              <w:rPr>
                <w:rFonts w:ascii="Arial" w:eastAsia="Times New Roman" w:hAnsi="Arial" w:cs="Arial"/>
                <w:color w:val="000000"/>
                <w:sz w:val="20"/>
                <w:szCs w:val="20"/>
                <w:highlight w:val="black"/>
                <w:lang w:eastAsia="cs-CZ"/>
              </w:rPr>
            </w:pPr>
            <w:r w:rsidRPr="00A91544">
              <w:rPr>
                <w:rFonts w:ascii="Arial" w:eastAsia="Times New Roman" w:hAnsi="Arial" w:cs="Arial"/>
                <w:color w:val="000000"/>
                <w:sz w:val="20"/>
                <w:szCs w:val="20"/>
                <w:highlight w:val="black"/>
                <w:lang w:eastAsia="cs-CZ"/>
              </w:rPr>
              <w:t>XXXXX</w:t>
            </w:r>
          </w:p>
        </w:tc>
      </w:tr>
      <w:tr w:rsidR="005307A3" w:rsidRPr="00A91544" w14:paraId="2C08895F" w14:textId="77777777" w:rsidTr="00626404">
        <w:trPr>
          <w:trHeight w:val="295"/>
        </w:trPr>
        <w:tc>
          <w:tcPr>
            <w:tcW w:w="201" w:type="dxa"/>
            <w:tcBorders>
              <w:top w:val="nil"/>
              <w:left w:val="nil"/>
              <w:bottom w:val="nil"/>
              <w:right w:val="nil"/>
            </w:tcBorders>
            <w:shd w:val="clear" w:color="auto" w:fill="auto"/>
            <w:hideMark/>
          </w:tcPr>
          <w:p w14:paraId="6DA732B3" w14:textId="77777777" w:rsidR="005307A3" w:rsidRPr="00A91544" w:rsidRDefault="005307A3" w:rsidP="00626404">
            <w:pPr>
              <w:spacing w:after="0" w:line="240" w:lineRule="auto"/>
              <w:jc w:val="right"/>
              <w:rPr>
                <w:rFonts w:ascii="Arial" w:eastAsia="Times New Roman" w:hAnsi="Arial" w:cs="Arial"/>
                <w:color w:val="000000"/>
                <w:sz w:val="20"/>
                <w:szCs w:val="20"/>
                <w:lang w:eastAsia="cs-CZ"/>
              </w:rPr>
            </w:pPr>
          </w:p>
        </w:tc>
        <w:tc>
          <w:tcPr>
            <w:tcW w:w="664" w:type="dxa"/>
            <w:tcBorders>
              <w:top w:val="nil"/>
              <w:left w:val="nil"/>
              <w:bottom w:val="nil"/>
              <w:right w:val="nil"/>
            </w:tcBorders>
            <w:shd w:val="clear" w:color="auto" w:fill="auto"/>
            <w:vAlign w:val="center"/>
            <w:hideMark/>
          </w:tcPr>
          <w:p w14:paraId="4250F3DD"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vAlign w:val="center"/>
            <w:hideMark/>
          </w:tcPr>
          <w:p w14:paraId="36A8426C"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vAlign w:val="center"/>
            <w:hideMark/>
          </w:tcPr>
          <w:p w14:paraId="7008FA9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vAlign w:val="center"/>
            <w:hideMark/>
          </w:tcPr>
          <w:p w14:paraId="2382F03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vAlign w:val="center"/>
            <w:hideMark/>
          </w:tcPr>
          <w:p w14:paraId="7145403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vAlign w:val="center"/>
            <w:hideMark/>
          </w:tcPr>
          <w:p w14:paraId="08BD9BE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vAlign w:val="center"/>
            <w:hideMark/>
          </w:tcPr>
          <w:p w14:paraId="6D13CF67"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265AC3B2" w14:textId="77777777" w:rsidTr="00626404">
        <w:trPr>
          <w:trHeight w:val="295"/>
        </w:trPr>
        <w:tc>
          <w:tcPr>
            <w:tcW w:w="201" w:type="dxa"/>
            <w:tcBorders>
              <w:top w:val="nil"/>
              <w:left w:val="nil"/>
              <w:bottom w:val="nil"/>
              <w:right w:val="nil"/>
            </w:tcBorders>
            <w:shd w:val="clear" w:color="auto" w:fill="auto"/>
            <w:hideMark/>
          </w:tcPr>
          <w:p w14:paraId="5E8ACB2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0DA0F94E"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vAlign w:val="center"/>
            <w:hideMark/>
          </w:tcPr>
          <w:p w14:paraId="7388E02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vAlign w:val="center"/>
            <w:hideMark/>
          </w:tcPr>
          <w:p w14:paraId="650C288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vAlign w:val="center"/>
            <w:hideMark/>
          </w:tcPr>
          <w:p w14:paraId="1E7CE17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vAlign w:val="center"/>
            <w:hideMark/>
          </w:tcPr>
          <w:p w14:paraId="37E2AB8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vAlign w:val="center"/>
            <w:hideMark/>
          </w:tcPr>
          <w:p w14:paraId="0DDB72A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vAlign w:val="center"/>
            <w:hideMark/>
          </w:tcPr>
          <w:p w14:paraId="36CB0A66"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378471D5" w14:textId="77777777" w:rsidTr="00626404">
        <w:trPr>
          <w:trHeight w:val="295"/>
        </w:trPr>
        <w:tc>
          <w:tcPr>
            <w:tcW w:w="201" w:type="dxa"/>
            <w:tcBorders>
              <w:top w:val="nil"/>
              <w:left w:val="nil"/>
              <w:bottom w:val="nil"/>
              <w:right w:val="nil"/>
            </w:tcBorders>
            <w:shd w:val="clear" w:color="auto" w:fill="auto"/>
            <w:noWrap/>
            <w:vAlign w:val="bottom"/>
            <w:hideMark/>
          </w:tcPr>
          <w:p w14:paraId="031258F0"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71EA976C"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vAlign w:val="center"/>
            <w:hideMark/>
          </w:tcPr>
          <w:p w14:paraId="4FBFF8D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vAlign w:val="center"/>
            <w:hideMark/>
          </w:tcPr>
          <w:p w14:paraId="12B9D1D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vAlign w:val="center"/>
            <w:hideMark/>
          </w:tcPr>
          <w:p w14:paraId="7DB392A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vAlign w:val="center"/>
            <w:hideMark/>
          </w:tcPr>
          <w:p w14:paraId="6D0EB67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vAlign w:val="center"/>
            <w:hideMark/>
          </w:tcPr>
          <w:p w14:paraId="687AAEF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vAlign w:val="center"/>
            <w:hideMark/>
          </w:tcPr>
          <w:p w14:paraId="45967146"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0FECCDCD" w14:textId="77777777" w:rsidTr="00626404">
        <w:trPr>
          <w:trHeight w:val="295"/>
        </w:trPr>
        <w:tc>
          <w:tcPr>
            <w:tcW w:w="201" w:type="dxa"/>
            <w:tcBorders>
              <w:top w:val="nil"/>
              <w:left w:val="nil"/>
              <w:bottom w:val="nil"/>
              <w:right w:val="nil"/>
            </w:tcBorders>
            <w:shd w:val="clear" w:color="auto" w:fill="auto"/>
            <w:noWrap/>
            <w:vAlign w:val="bottom"/>
            <w:hideMark/>
          </w:tcPr>
          <w:p w14:paraId="6F0FC55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9727" w:type="dxa"/>
            <w:gridSpan w:val="7"/>
            <w:tcBorders>
              <w:top w:val="nil"/>
              <w:left w:val="nil"/>
              <w:bottom w:val="nil"/>
              <w:right w:val="nil"/>
            </w:tcBorders>
            <w:shd w:val="clear" w:color="auto" w:fill="auto"/>
            <w:noWrap/>
            <w:vAlign w:val="bottom"/>
            <w:hideMark/>
          </w:tcPr>
          <w:p w14:paraId="4B121642" w14:textId="77777777" w:rsidR="005307A3" w:rsidRPr="00A91544" w:rsidRDefault="005307A3" w:rsidP="00626404">
            <w:pPr>
              <w:spacing w:after="0" w:line="240" w:lineRule="auto"/>
              <w:rPr>
                <w:rFonts w:ascii="Calibri" w:eastAsia="Times New Roman" w:hAnsi="Calibri" w:cs="Calibri"/>
                <w:color w:val="000000"/>
                <w:lang w:eastAsia="cs-CZ"/>
              </w:rPr>
            </w:pPr>
            <w:r w:rsidRPr="00A91544">
              <w:rPr>
                <w:rFonts w:ascii="Calibri" w:eastAsia="Times New Roman" w:hAnsi="Calibri" w:cs="Calibri"/>
                <w:color w:val="000000"/>
                <w:lang w:eastAsia="cs-CZ"/>
              </w:rPr>
              <w:t>Výše uvedená dohodnutá cena se vztahuje na všech</w:t>
            </w:r>
            <w:r>
              <w:rPr>
                <w:rFonts w:ascii="Calibri" w:eastAsia="Times New Roman" w:hAnsi="Calibri" w:cs="Calibri"/>
                <w:color w:val="000000"/>
                <w:lang w:eastAsia="cs-CZ"/>
              </w:rPr>
              <w:t>n</w:t>
            </w:r>
            <w:r w:rsidRPr="00A91544">
              <w:rPr>
                <w:rFonts w:ascii="Calibri" w:eastAsia="Times New Roman" w:hAnsi="Calibri" w:cs="Calibri"/>
                <w:color w:val="000000"/>
                <w:lang w:eastAsia="cs-CZ"/>
              </w:rPr>
              <w:t>y dodávky uvedeného léčivého přípravku na trh ČR.</w:t>
            </w:r>
          </w:p>
        </w:tc>
      </w:tr>
      <w:tr w:rsidR="005307A3" w:rsidRPr="00A91544" w14:paraId="1A04D3E7" w14:textId="77777777" w:rsidTr="00626404">
        <w:trPr>
          <w:trHeight w:val="295"/>
        </w:trPr>
        <w:tc>
          <w:tcPr>
            <w:tcW w:w="201" w:type="dxa"/>
            <w:tcBorders>
              <w:top w:val="nil"/>
              <w:left w:val="nil"/>
              <w:bottom w:val="nil"/>
              <w:right w:val="nil"/>
            </w:tcBorders>
            <w:shd w:val="clear" w:color="auto" w:fill="auto"/>
            <w:noWrap/>
            <w:vAlign w:val="bottom"/>
            <w:hideMark/>
          </w:tcPr>
          <w:p w14:paraId="0A9FF390" w14:textId="77777777" w:rsidR="005307A3" w:rsidRPr="00A91544" w:rsidRDefault="005307A3" w:rsidP="00626404">
            <w:pPr>
              <w:spacing w:after="0" w:line="240" w:lineRule="auto"/>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bottom"/>
            <w:hideMark/>
          </w:tcPr>
          <w:p w14:paraId="354F96B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49565F5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1194A3E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0E600B0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159454B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7683321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2225AA59"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10580419" w14:textId="77777777" w:rsidTr="00626404">
        <w:trPr>
          <w:trHeight w:val="295"/>
        </w:trPr>
        <w:tc>
          <w:tcPr>
            <w:tcW w:w="201" w:type="dxa"/>
            <w:tcBorders>
              <w:top w:val="nil"/>
              <w:left w:val="nil"/>
              <w:bottom w:val="nil"/>
              <w:right w:val="nil"/>
            </w:tcBorders>
            <w:shd w:val="clear" w:color="auto" w:fill="auto"/>
            <w:noWrap/>
            <w:vAlign w:val="bottom"/>
            <w:hideMark/>
          </w:tcPr>
          <w:p w14:paraId="464207E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E36119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2B4DC48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6179D78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1A4EE18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5F2F302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3056BA1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0A2D8BC7"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5BAEFF33" w14:textId="77777777" w:rsidTr="00626404">
        <w:trPr>
          <w:trHeight w:val="295"/>
        </w:trPr>
        <w:tc>
          <w:tcPr>
            <w:tcW w:w="201" w:type="dxa"/>
            <w:tcBorders>
              <w:top w:val="nil"/>
              <w:left w:val="nil"/>
              <w:bottom w:val="nil"/>
              <w:right w:val="nil"/>
            </w:tcBorders>
            <w:shd w:val="clear" w:color="auto" w:fill="auto"/>
            <w:noWrap/>
            <w:vAlign w:val="bottom"/>
            <w:hideMark/>
          </w:tcPr>
          <w:p w14:paraId="1BA1EC6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DF7038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784F699F"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1993E43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59A6B160"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6AEF8DD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03211C0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283D889F"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16837C8D" w14:textId="77777777" w:rsidTr="00626404">
        <w:trPr>
          <w:trHeight w:val="295"/>
        </w:trPr>
        <w:tc>
          <w:tcPr>
            <w:tcW w:w="201" w:type="dxa"/>
            <w:tcBorders>
              <w:top w:val="nil"/>
              <w:left w:val="nil"/>
              <w:bottom w:val="nil"/>
              <w:right w:val="nil"/>
            </w:tcBorders>
            <w:shd w:val="clear" w:color="auto" w:fill="auto"/>
            <w:noWrap/>
            <w:vAlign w:val="bottom"/>
            <w:hideMark/>
          </w:tcPr>
          <w:p w14:paraId="6381244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C59FFC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53B6476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12DE8A5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7E6E2DD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63E1126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4C8AF08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093A23FE"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36AF5E35" w14:textId="77777777" w:rsidTr="00626404">
        <w:trPr>
          <w:trHeight w:val="295"/>
        </w:trPr>
        <w:tc>
          <w:tcPr>
            <w:tcW w:w="201" w:type="dxa"/>
            <w:tcBorders>
              <w:top w:val="nil"/>
              <w:left w:val="nil"/>
              <w:bottom w:val="nil"/>
              <w:right w:val="nil"/>
            </w:tcBorders>
            <w:shd w:val="clear" w:color="auto" w:fill="auto"/>
            <w:noWrap/>
            <w:vAlign w:val="bottom"/>
            <w:hideMark/>
          </w:tcPr>
          <w:p w14:paraId="4D4DE65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0899B00"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7A0C263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3F22F64E"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3B4FDE9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021AE89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5D591F33"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3F0ED287"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11F4D23A" w14:textId="77777777" w:rsidTr="00626404">
        <w:trPr>
          <w:trHeight w:val="295"/>
        </w:trPr>
        <w:tc>
          <w:tcPr>
            <w:tcW w:w="201" w:type="dxa"/>
            <w:tcBorders>
              <w:top w:val="nil"/>
              <w:left w:val="nil"/>
              <w:bottom w:val="nil"/>
              <w:right w:val="nil"/>
            </w:tcBorders>
            <w:shd w:val="clear" w:color="auto" w:fill="auto"/>
            <w:noWrap/>
            <w:vAlign w:val="bottom"/>
            <w:hideMark/>
          </w:tcPr>
          <w:p w14:paraId="00BDF6F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351" w:type="dxa"/>
            <w:gridSpan w:val="2"/>
            <w:tcBorders>
              <w:top w:val="nil"/>
              <w:left w:val="nil"/>
              <w:bottom w:val="nil"/>
              <w:right w:val="nil"/>
            </w:tcBorders>
            <w:shd w:val="clear" w:color="auto" w:fill="auto"/>
            <w:noWrap/>
            <w:vAlign w:val="bottom"/>
            <w:hideMark/>
          </w:tcPr>
          <w:p w14:paraId="12B72D4E" w14:textId="77777777" w:rsidR="005307A3" w:rsidRDefault="005307A3" w:rsidP="00626404">
            <w:pPr>
              <w:spacing w:after="0" w:line="240" w:lineRule="auto"/>
              <w:ind w:right="-1899"/>
              <w:rPr>
                <w:rFonts w:ascii="Calibri" w:eastAsia="Times New Roman" w:hAnsi="Calibri" w:cs="Calibri"/>
                <w:lang w:eastAsia="cs-CZ"/>
              </w:rPr>
            </w:pPr>
          </w:p>
          <w:p w14:paraId="1851D431" w14:textId="77777777" w:rsidR="005307A3" w:rsidRDefault="005307A3" w:rsidP="00626404">
            <w:pPr>
              <w:spacing w:after="0" w:line="240" w:lineRule="auto"/>
              <w:ind w:right="-1899"/>
              <w:rPr>
                <w:rFonts w:ascii="Calibri" w:eastAsia="Times New Roman" w:hAnsi="Calibri" w:cs="Calibri"/>
                <w:lang w:eastAsia="cs-CZ"/>
              </w:rPr>
            </w:pPr>
          </w:p>
          <w:p w14:paraId="16462C64" w14:textId="77777777" w:rsidR="005307A3" w:rsidRPr="00A91544" w:rsidRDefault="005307A3" w:rsidP="00626404">
            <w:pPr>
              <w:spacing w:after="0" w:line="240" w:lineRule="auto"/>
              <w:ind w:right="-1899"/>
              <w:rPr>
                <w:rFonts w:ascii="Calibri" w:eastAsia="Times New Roman" w:hAnsi="Calibri" w:cs="Calibri"/>
                <w:lang w:eastAsia="cs-CZ"/>
              </w:rPr>
            </w:pPr>
            <w:r w:rsidRPr="00A91544">
              <w:rPr>
                <w:rFonts w:ascii="Calibri" w:eastAsia="Times New Roman" w:hAnsi="Calibri" w:cs="Calibri"/>
                <w:lang w:eastAsia="cs-CZ"/>
              </w:rPr>
              <w:t>V Praze dne:</w:t>
            </w:r>
            <w:r>
              <w:rPr>
                <w:rFonts w:ascii="Calibri" w:eastAsia="Times New Roman" w:hAnsi="Calibri" w:cs="Calibri"/>
                <w:lang w:eastAsia="cs-CZ"/>
              </w:rPr>
              <w:t xml:space="preserve"> 24. 10. 2023</w:t>
            </w:r>
          </w:p>
        </w:tc>
        <w:tc>
          <w:tcPr>
            <w:tcW w:w="2699" w:type="dxa"/>
            <w:tcBorders>
              <w:top w:val="nil"/>
              <w:left w:val="nil"/>
              <w:bottom w:val="nil"/>
              <w:right w:val="nil"/>
            </w:tcBorders>
            <w:shd w:val="clear" w:color="auto" w:fill="auto"/>
            <w:noWrap/>
            <w:vAlign w:val="bottom"/>
            <w:hideMark/>
          </w:tcPr>
          <w:p w14:paraId="1D21A639" w14:textId="77777777" w:rsidR="005307A3" w:rsidRPr="00A91544" w:rsidRDefault="005307A3" w:rsidP="00626404">
            <w:pPr>
              <w:spacing w:after="0" w:line="240" w:lineRule="auto"/>
              <w:ind w:right="-1899"/>
              <w:rPr>
                <w:rFonts w:ascii="Calibri" w:eastAsia="Times New Roman" w:hAnsi="Calibri" w:cs="Calibri"/>
                <w:lang w:eastAsia="cs-CZ"/>
              </w:rPr>
            </w:pPr>
          </w:p>
        </w:tc>
        <w:tc>
          <w:tcPr>
            <w:tcW w:w="2448" w:type="dxa"/>
            <w:tcBorders>
              <w:top w:val="nil"/>
              <w:left w:val="nil"/>
              <w:bottom w:val="nil"/>
              <w:right w:val="nil"/>
            </w:tcBorders>
            <w:shd w:val="clear" w:color="auto" w:fill="auto"/>
            <w:noWrap/>
            <w:vAlign w:val="bottom"/>
            <w:hideMark/>
          </w:tcPr>
          <w:p w14:paraId="2EF2A925" w14:textId="77777777" w:rsidR="005307A3" w:rsidRPr="00A91544" w:rsidRDefault="005307A3" w:rsidP="00626404">
            <w:pPr>
              <w:spacing w:after="0" w:line="240" w:lineRule="auto"/>
              <w:rPr>
                <w:rFonts w:ascii="Calibri" w:eastAsia="Times New Roman" w:hAnsi="Calibri" w:cs="Calibri"/>
                <w:lang w:eastAsia="cs-CZ"/>
              </w:rPr>
            </w:pPr>
            <w:r w:rsidRPr="00A91544">
              <w:rPr>
                <w:rFonts w:ascii="Calibri" w:eastAsia="Times New Roman" w:hAnsi="Calibri" w:cs="Calibri"/>
                <w:lang w:eastAsia="cs-CZ"/>
              </w:rPr>
              <w:t>V Praze dne:</w:t>
            </w:r>
            <w:r>
              <w:rPr>
                <w:rFonts w:ascii="Calibri" w:eastAsia="Times New Roman" w:hAnsi="Calibri" w:cs="Calibri"/>
                <w:lang w:eastAsia="cs-CZ"/>
              </w:rPr>
              <w:t xml:space="preserve"> 18. 10. 2023</w:t>
            </w:r>
          </w:p>
        </w:tc>
        <w:tc>
          <w:tcPr>
            <w:tcW w:w="508" w:type="dxa"/>
            <w:tcBorders>
              <w:top w:val="nil"/>
              <w:left w:val="nil"/>
              <w:bottom w:val="nil"/>
              <w:right w:val="nil"/>
            </w:tcBorders>
            <w:shd w:val="clear" w:color="auto" w:fill="auto"/>
            <w:noWrap/>
            <w:vAlign w:val="bottom"/>
            <w:hideMark/>
          </w:tcPr>
          <w:p w14:paraId="2E4FB6C3" w14:textId="77777777" w:rsidR="005307A3" w:rsidRPr="00A91544" w:rsidRDefault="005307A3" w:rsidP="00626404">
            <w:pPr>
              <w:spacing w:after="0" w:line="240" w:lineRule="auto"/>
              <w:rPr>
                <w:rFonts w:ascii="Calibri" w:eastAsia="Times New Roman" w:hAnsi="Calibri" w:cs="Calibri"/>
                <w:lang w:eastAsia="cs-CZ"/>
              </w:rPr>
            </w:pPr>
          </w:p>
        </w:tc>
        <w:tc>
          <w:tcPr>
            <w:tcW w:w="545" w:type="dxa"/>
            <w:tcBorders>
              <w:top w:val="nil"/>
              <w:left w:val="nil"/>
              <w:bottom w:val="nil"/>
              <w:right w:val="nil"/>
            </w:tcBorders>
            <w:shd w:val="clear" w:color="auto" w:fill="auto"/>
            <w:noWrap/>
            <w:vAlign w:val="bottom"/>
            <w:hideMark/>
          </w:tcPr>
          <w:p w14:paraId="43232F8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37E2C6E3"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35DEA740" w14:textId="77777777" w:rsidTr="00626404">
        <w:trPr>
          <w:trHeight w:val="295"/>
        </w:trPr>
        <w:tc>
          <w:tcPr>
            <w:tcW w:w="201" w:type="dxa"/>
            <w:tcBorders>
              <w:top w:val="nil"/>
              <w:left w:val="nil"/>
              <w:bottom w:val="nil"/>
              <w:right w:val="nil"/>
            </w:tcBorders>
            <w:shd w:val="clear" w:color="auto" w:fill="auto"/>
            <w:noWrap/>
            <w:vAlign w:val="bottom"/>
            <w:hideMark/>
          </w:tcPr>
          <w:p w14:paraId="7831B3C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5CB397B" w14:textId="77777777" w:rsidR="005307A3" w:rsidRPr="00A91544" w:rsidRDefault="005307A3" w:rsidP="00626404">
            <w:pPr>
              <w:spacing w:after="0" w:line="240" w:lineRule="auto"/>
              <w:ind w:right="-1899"/>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0068E925" w14:textId="77777777" w:rsidR="005307A3" w:rsidRPr="00A91544" w:rsidRDefault="005307A3" w:rsidP="00626404">
            <w:pPr>
              <w:spacing w:after="0" w:line="240" w:lineRule="auto"/>
              <w:ind w:right="-1899"/>
              <w:jc w:val="center"/>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53C4F287" w14:textId="77777777" w:rsidR="005307A3" w:rsidRPr="00A91544" w:rsidRDefault="005307A3" w:rsidP="00626404">
            <w:pPr>
              <w:spacing w:after="0" w:line="240" w:lineRule="auto"/>
              <w:ind w:right="-1899"/>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459906D3"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1AA7B67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2F0F45E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77F96683"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57AEF323" w14:textId="77777777" w:rsidTr="00626404">
        <w:trPr>
          <w:trHeight w:val="295"/>
        </w:trPr>
        <w:tc>
          <w:tcPr>
            <w:tcW w:w="201" w:type="dxa"/>
            <w:tcBorders>
              <w:top w:val="nil"/>
              <w:left w:val="nil"/>
              <w:bottom w:val="nil"/>
              <w:right w:val="nil"/>
            </w:tcBorders>
            <w:shd w:val="clear" w:color="auto" w:fill="auto"/>
            <w:noWrap/>
            <w:vAlign w:val="bottom"/>
            <w:hideMark/>
          </w:tcPr>
          <w:p w14:paraId="39C31F3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351" w:type="dxa"/>
            <w:gridSpan w:val="2"/>
            <w:tcBorders>
              <w:top w:val="nil"/>
              <w:left w:val="nil"/>
              <w:bottom w:val="nil"/>
              <w:right w:val="nil"/>
            </w:tcBorders>
            <w:shd w:val="clear" w:color="auto" w:fill="auto"/>
            <w:noWrap/>
            <w:vAlign w:val="bottom"/>
            <w:hideMark/>
          </w:tcPr>
          <w:p w14:paraId="0D922A99" w14:textId="77777777" w:rsidR="005307A3" w:rsidRPr="00A91544" w:rsidRDefault="005307A3" w:rsidP="00626404">
            <w:pPr>
              <w:spacing w:after="0" w:line="240" w:lineRule="auto"/>
              <w:rPr>
                <w:rFonts w:ascii="Calibri" w:eastAsia="Times New Roman" w:hAnsi="Calibri" w:cs="Calibri"/>
                <w:lang w:eastAsia="cs-CZ"/>
              </w:rPr>
            </w:pPr>
            <w:r w:rsidRPr="00A91544">
              <w:rPr>
                <w:rFonts w:ascii="Calibri" w:eastAsia="Times New Roman" w:hAnsi="Calibri" w:cs="Calibri"/>
                <w:lang w:eastAsia="cs-CZ"/>
              </w:rPr>
              <w:t>Za Pojišťovny:</w:t>
            </w:r>
          </w:p>
        </w:tc>
        <w:tc>
          <w:tcPr>
            <w:tcW w:w="2699" w:type="dxa"/>
            <w:tcBorders>
              <w:top w:val="nil"/>
              <w:left w:val="nil"/>
              <w:bottom w:val="nil"/>
              <w:right w:val="nil"/>
            </w:tcBorders>
            <w:shd w:val="clear" w:color="auto" w:fill="auto"/>
            <w:noWrap/>
            <w:vAlign w:val="bottom"/>
            <w:hideMark/>
          </w:tcPr>
          <w:p w14:paraId="3B78F557" w14:textId="77777777" w:rsidR="005307A3" w:rsidRPr="00A91544" w:rsidRDefault="005307A3" w:rsidP="00626404">
            <w:pPr>
              <w:spacing w:after="0" w:line="240" w:lineRule="auto"/>
              <w:rPr>
                <w:rFonts w:ascii="Calibri" w:eastAsia="Times New Roman" w:hAnsi="Calibri" w:cs="Calibri"/>
                <w:lang w:eastAsia="cs-CZ"/>
              </w:rPr>
            </w:pPr>
          </w:p>
        </w:tc>
        <w:tc>
          <w:tcPr>
            <w:tcW w:w="2448" w:type="dxa"/>
            <w:tcBorders>
              <w:top w:val="nil"/>
              <w:left w:val="nil"/>
              <w:bottom w:val="nil"/>
              <w:right w:val="nil"/>
            </w:tcBorders>
            <w:shd w:val="clear" w:color="auto" w:fill="auto"/>
            <w:noWrap/>
            <w:vAlign w:val="bottom"/>
            <w:hideMark/>
          </w:tcPr>
          <w:p w14:paraId="2A68E891" w14:textId="77777777" w:rsidR="005307A3" w:rsidRPr="00A91544" w:rsidRDefault="005307A3" w:rsidP="00626404">
            <w:pPr>
              <w:spacing w:after="0" w:line="240" w:lineRule="auto"/>
              <w:rPr>
                <w:rFonts w:ascii="Calibri" w:eastAsia="Times New Roman" w:hAnsi="Calibri" w:cs="Calibri"/>
                <w:lang w:eastAsia="cs-CZ"/>
              </w:rPr>
            </w:pPr>
            <w:r w:rsidRPr="00A91544">
              <w:rPr>
                <w:rFonts w:ascii="Calibri" w:eastAsia="Times New Roman" w:hAnsi="Calibri" w:cs="Calibri"/>
                <w:lang w:eastAsia="cs-CZ"/>
              </w:rPr>
              <w:t>Za Držitele:</w:t>
            </w:r>
          </w:p>
        </w:tc>
        <w:tc>
          <w:tcPr>
            <w:tcW w:w="508" w:type="dxa"/>
            <w:tcBorders>
              <w:top w:val="nil"/>
              <w:left w:val="nil"/>
              <w:bottom w:val="nil"/>
              <w:right w:val="nil"/>
            </w:tcBorders>
            <w:shd w:val="clear" w:color="auto" w:fill="auto"/>
            <w:noWrap/>
            <w:vAlign w:val="bottom"/>
            <w:hideMark/>
          </w:tcPr>
          <w:p w14:paraId="15AED3FA" w14:textId="77777777" w:rsidR="005307A3" w:rsidRPr="00A91544" w:rsidRDefault="005307A3" w:rsidP="00626404">
            <w:pPr>
              <w:spacing w:after="0" w:line="240" w:lineRule="auto"/>
              <w:rPr>
                <w:rFonts w:ascii="Calibri" w:eastAsia="Times New Roman" w:hAnsi="Calibri" w:cs="Calibri"/>
                <w:lang w:eastAsia="cs-CZ"/>
              </w:rPr>
            </w:pPr>
          </w:p>
        </w:tc>
        <w:tc>
          <w:tcPr>
            <w:tcW w:w="545" w:type="dxa"/>
            <w:tcBorders>
              <w:top w:val="nil"/>
              <w:left w:val="nil"/>
              <w:bottom w:val="nil"/>
              <w:right w:val="nil"/>
            </w:tcBorders>
            <w:shd w:val="clear" w:color="auto" w:fill="auto"/>
            <w:noWrap/>
            <w:vAlign w:val="bottom"/>
            <w:hideMark/>
          </w:tcPr>
          <w:p w14:paraId="6F06D45E"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740DFCFA"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68E1D24B" w14:textId="77777777" w:rsidTr="00626404">
        <w:trPr>
          <w:trHeight w:val="295"/>
        </w:trPr>
        <w:tc>
          <w:tcPr>
            <w:tcW w:w="201" w:type="dxa"/>
            <w:tcBorders>
              <w:top w:val="nil"/>
              <w:left w:val="nil"/>
              <w:bottom w:val="nil"/>
              <w:right w:val="nil"/>
            </w:tcBorders>
            <w:shd w:val="clear" w:color="auto" w:fill="auto"/>
            <w:noWrap/>
            <w:vAlign w:val="bottom"/>
            <w:hideMark/>
          </w:tcPr>
          <w:p w14:paraId="6DB26A5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50" w:type="dxa"/>
            <w:gridSpan w:val="3"/>
            <w:tcBorders>
              <w:top w:val="nil"/>
              <w:left w:val="nil"/>
              <w:bottom w:val="nil"/>
              <w:right w:val="nil"/>
            </w:tcBorders>
            <w:shd w:val="clear" w:color="auto" w:fill="auto"/>
            <w:noWrap/>
            <w:vAlign w:val="bottom"/>
            <w:hideMark/>
          </w:tcPr>
          <w:p w14:paraId="70A689A2" w14:textId="77777777" w:rsidR="005307A3" w:rsidRPr="00A91544" w:rsidRDefault="005307A3" w:rsidP="00626404">
            <w:pPr>
              <w:spacing w:after="0" w:line="240" w:lineRule="auto"/>
              <w:rPr>
                <w:rFonts w:ascii="Calibri" w:eastAsia="Times New Roman" w:hAnsi="Calibri" w:cs="Calibri"/>
                <w:color w:val="969696"/>
                <w:lang w:eastAsia="cs-CZ"/>
              </w:rPr>
            </w:pPr>
            <w:r w:rsidRPr="00A91544">
              <w:rPr>
                <w:rFonts w:ascii="Calibri" w:eastAsia="Times New Roman" w:hAnsi="Calibri" w:cs="Calibri"/>
                <w:color w:val="969696"/>
                <w:lang w:eastAsia="cs-CZ"/>
              </w:rPr>
              <w:t>razítko a podpis</w:t>
            </w:r>
          </w:p>
        </w:tc>
        <w:tc>
          <w:tcPr>
            <w:tcW w:w="2448" w:type="dxa"/>
            <w:tcBorders>
              <w:top w:val="nil"/>
              <w:left w:val="nil"/>
              <w:bottom w:val="nil"/>
              <w:right w:val="nil"/>
            </w:tcBorders>
            <w:shd w:val="clear" w:color="auto" w:fill="auto"/>
            <w:noWrap/>
            <w:vAlign w:val="bottom"/>
            <w:hideMark/>
          </w:tcPr>
          <w:p w14:paraId="3FFAF9C6" w14:textId="77777777" w:rsidR="005307A3" w:rsidRPr="00A91544" w:rsidRDefault="005307A3" w:rsidP="00626404">
            <w:pPr>
              <w:spacing w:after="0" w:line="240" w:lineRule="auto"/>
              <w:rPr>
                <w:rFonts w:ascii="Calibri" w:eastAsia="Times New Roman" w:hAnsi="Calibri" w:cs="Calibri"/>
                <w:color w:val="969696"/>
                <w:lang w:eastAsia="cs-CZ"/>
              </w:rPr>
            </w:pPr>
            <w:r w:rsidRPr="00A91544">
              <w:rPr>
                <w:rFonts w:ascii="Calibri" w:eastAsia="Times New Roman" w:hAnsi="Calibri" w:cs="Calibri"/>
                <w:color w:val="969696"/>
                <w:lang w:eastAsia="cs-CZ"/>
              </w:rPr>
              <w:t>razítko a podpis</w:t>
            </w:r>
          </w:p>
        </w:tc>
        <w:tc>
          <w:tcPr>
            <w:tcW w:w="508" w:type="dxa"/>
            <w:tcBorders>
              <w:top w:val="nil"/>
              <w:left w:val="nil"/>
              <w:bottom w:val="nil"/>
              <w:right w:val="nil"/>
            </w:tcBorders>
            <w:shd w:val="clear" w:color="auto" w:fill="auto"/>
            <w:noWrap/>
            <w:vAlign w:val="bottom"/>
            <w:hideMark/>
          </w:tcPr>
          <w:p w14:paraId="1A4CE664" w14:textId="77777777" w:rsidR="005307A3" w:rsidRPr="00A91544" w:rsidRDefault="005307A3" w:rsidP="00626404">
            <w:pPr>
              <w:spacing w:after="0" w:line="240" w:lineRule="auto"/>
              <w:rPr>
                <w:rFonts w:ascii="Calibri" w:eastAsia="Times New Roman" w:hAnsi="Calibri" w:cs="Calibri"/>
                <w:color w:val="969696"/>
                <w:lang w:eastAsia="cs-CZ"/>
              </w:rPr>
            </w:pPr>
          </w:p>
        </w:tc>
        <w:tc>
          <w:tcPr>
            <w:tcW w:w="545" w:type="dxa"/>
            <w:tcBorders>
              <w:top w:val="nil"/>
              <w:left w:val="nil"/>
              <w:bottom w:val="nil"/>
              <w:right w:val="nil"/>
            </w:tcBorders>
            <w:shd w:val="clear" w:color="auto" w:fill="auto"/>
            <w:noWrap/>
            <w:vAlign w:val="bottom"/>
            <w:hideMark/>
          </w:tcPr>
          <w:p w14:paraId="132F4C6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1893604B"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20562D32" w14:textId="77777777" w:rsidTr="00626404">
        <w:trPr>
          <w:trHeight w:val="295"/>
        </w:trPr>
        <w:tc>
          <w:tcPr>
            <w:tcW w:w="201" w:type="dxa"/>
            <w:tcBorders>
              <w:top w:val="nil"/>
              <w:left w:val="nil"/>
              <w:bottom w:val="nil"/>
              <w:right w:val="nil"/>
            </w:tcBorders>
            <w:shd w:val="clear" w:color="auto" w:fill="auto"/>
            <w:noWrap/>
            <w:vAlign w:val="bottom"/>
            <w:hideMark/>
          </w:tcPr>
          <w:p w14:paraId="3A4D782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907B2D5"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47646B7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727BCF7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12D38950"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58477DA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49AB72D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5161646B"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46FAAB2A" w14:textId="77777777" w:rsidTr="00626404">
        <w:trPr>
          <w:trHeight w:val="295"/>
        </w:trPr>
        <w:tc>
          <w:tcPr>
            <w:tcW w:w="201" w:type="dxa"/>
            <w:tcBorders>
              <w:top w:val="nil"/>
              <w:left w:val="nil"/>
              <w:bottom w:val="nil"/>
              <w:right w:val="nil"/>
            </w:tcBorders>
            <w:shd w:val="clear" w:color="auto" w:fill="auto"/>
            <w:noWrap/>
            <w:vAlign w:val="bottom"/>
            <w:hideMark/>
          </w:tcPr>
          <w:p w14:paraId="2510A63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AC557A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4FC0B36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2EAF5B6C"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1853126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45F4EC6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601E0B1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7B9CBC8F"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15A48870" w14:textId="77777777" w:rsidTr="00626404">
        <w:trPr>
          <w:trHeight w:val="295"/>
        </w:trPr>
        <w:tc>
          <w:tcPr>
            <w:tcW w:w="201" w:type="dxa"/>
            <w:tcBorders>
              <w:top w:val="nil"/>
              <w:left w:val="nil"/>
              <w:bottom w:val="nil"/>
              <w:right w:val="nil"/>
            </w:tcBorders>
            <w:shd w:val="clear" w:color="auto" w:fill="auto"/>
            <w:noWrap/>
            <w:vAlign w:val="bottom"/>
            <w:hideMark/>
          </w:tcPr>
          <w:p w14:paraId="198555C8"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B38A63C"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374E17B3"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49F007F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186D813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3C020A1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3549232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51D5E44F"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0A3884C9" w14:textId="77777777" w:rsidTr="00626404">
        <w:trPr>
          <w:trHeight w:val="295"/>
        </w:trPr>
        <w:tc>
          <w:tcPr>
            <w:tcW w:w="201" w:type="dxa"/>
            <w:tcBorders>
              <w:top w:val="nil"/>
              <w:left w:val="nil"/>
              <w:bottom w:val="nil"/>
              <w:right w:val="nil"/>
            </w:tcBorders>
            <w:shd w:val="clear" w:color="auto" w:fill="auto"/>
            <w:noWrap/>
            <w:vAlign w:val="bottom"/>
            <w:hideMark/>
          </w:tcPr>
          <w:p w14:paraId="6412ED1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51E018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2B2DECD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1BE3C88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0C9197E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487D21C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0384C2B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172F3CB4"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399B0064" w14:textId="77777777" w:rsidTr="00626404">
        <w:trPr>
          <w:trHeight w:val="295"/>
        </w:trPr>
        <w:tc>
          <w:tcPr>
            <w:tcW w:w="201" w:type="dxa"/>
            <w:tcBorders>
              <w:top w:val="nil"/>
              <w:left w:val="nil"/>
              <w:bottom w:val="nil"/>
              <w:right w:val="nil"/>
            </w:tcBorders>
            <w:shd w:val="clear" w:color="auto" w:fill="auto"/>
            <w:noWrap/>
            <w:vAlign w:val="bottom"/>
            <w:hideMark/>
          </w:tcPr>
          <w:p w14:paraId="354AB9C2"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50" w:type="dxa"/>
            <w:gridSpan w:val="3"/>
            <w:tcBorders>
              <w:top w:val="nil"/>
              <w:left w:val="nil"/>
              <w:bottom w:val="nil"/>
              <w:right w:val="nil"/>
            </w:tcBorders>
            <w:shd w:val="clear" w:color="auto" w:fill="auto"/>
            <w:noWrap/>
            <w:vAlign w:val="bottom"/>
            <w:hideMark/>
          </w:tcPr>
          <w:p w14:paraId="0EC51DCC" w14:textId="77777777" w:rsidR="005307A3" w:rsidRPr="00A91544" w:rsidRDefault="005307A3" w:rsidP="00626404">
            <w:pPr>
              <w:spacing w:after="0" w:line="240" w:lineRule="auto"/>
              <w:rPr>
                <w:rFonts w:ascii="Calibri" w:eastAsia="Times New Roman" w:hAnsi="Calibri" w:cs="Calibri"/>
                <w:color w:val="000000"/>
                <w:lang w:eastAsia="cs-CZ"/>
              </w:rPr>
            </w:pPr>
            <w:r w:rsidRPr="00A91544">
              <w:rPr>
                <w:rFonts w:ascii="Calibri" w:eastAsia="Times New Roman" w:hAnsi="Calibri" w:cs="Calibri"/>
                <w:color w:val="000000"/>
                <w:lang w:eastAsia="cs-CZ"/>
              </w:rPr>
              <w:t>………………………………………</w:t>
            </w:r>
          </w:p>
        </w:tc>
        <w:tc>
          <w:tcPr>
            <w:tcW w:w="2448" w:type="dxa"/>
            <w:tcBorders>
              <w:top w:val="nil"/>
              <w:left w:val="nil"/>
              <w:bottom w:val="nil"/>
              <w:right w:val="nil"/>
            </w:tcBorders>
            <w:shd w:val="clear" w:color="auto" w:fill="auto"/>
            <w:noWrap/>
            <w:vAlign w:val="bottom"/>
            <w:hideMark/>
          </w:tcPr>
          <w:p w14:paraId="3B14D82D" w14:textId="77777777" w:rsidR="005307A3" w:rsidRPr="00A91544" w:rsidRDefault="005307A3" w:rsidP="00626404">
            <w:pPr>
              <w:spacing w:after="0" w:line="240" w:lineRule="auto"/>
              <w:rPr>
                <w:rFonts w:ascii="Calibri" w:eastAsia="Times New Roman" w:hAnsi="Calibri" w:cs="Calibri"/>
                <w:color w:val="000000"/>
                <w:lang w:eastAsia="cs-CZ"/>
              </w:rPr>
            </w:pPr>
            <w:r w:rsidRPr="00A91544">
              <w:rPr>
                <w:rFonts w:ascii="Calibri" w:eastAsia="Times New Roman" w:hAnsi="Calibri" w:cs="Calibri"/>
                <w:color w:val="000000"/>
                <w:lang w:eastAsia="cs-CZ"/>
              </w:rPr>
              <w:t>………………………</w:t>
            </w:r>
          </w:p>
        </w:tc>
        <w:tc>
          <w:tcPr>
            <w:tcW w:w="508" w:type="dxa"/>
            <w:tcBorders>
              <w:top w:val="nil"/>
              <w:left w:val="nil"/>
              <w:bottom w:val="nil"/>
              <w:right w:val="nil"/>
            </w:tcBorders>
            <w:shd w:val="clear" w:color="auto" w:fill="auto"/>
            <w:noWrap/>
            <w:vAlign w:val="bottom"/>
            <w:hideMark/>
          </w:tcPr>
          <w:p w14:paraId="29B6119D" w14:textId="77777777" w:rsidR="005307A3" w:rsidRPr="00A91544" w:rsidRDefault="005307A3" w:rsidP="00626404">
            <w:pPr>
              <w:spacing w:after="0" w:line="240" w:lineRule="auto"/>
              <w:rPr>
                <w:rFonts w:ascii="Calibri" w:eastAsia="Times New Roman" w:hAnsi="Calibri" w:cs="Calibri"/>
                <w:color w:val="000000"/>
                <w:lang w:eastAsia="cs-CZ"/>
              </w:rPr>
            </w:pPr>
          </w:p>
        </w:tc>
        <w:tc>
          <w:tcPr>
            <w:tcW w:w="545" w:type="dxa"/>
            <w:tcBorders>
              <w:top w:val="nil"/>
              <w:left w:val="nil"/>
              <w:bottom w:val="nil"/>
              <w:right w:val="nil"/>
            </w:tcBorders>
            <w:shd w:val="clear" w:color="auto" w:fill="auto"/>
            <w:noWrap/>
            <w:vAlign w:val="bottom"/>
            <w:hideMark/>
          </w:tcPr>
          <w:p w14:paraId="48CE70A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32C48E7C"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0D438389" w14:textId="77777777" w:rsidTr="00626404">
        <w:trPr>
          <w:trHeight w:val="295"/>
        </w:trPr>
        <w:tc>
          <w:tcPr>
            <w:tcW w:w="201" w:type="dxa"/>
            <w:tcBorders>
              <w:top w:val="nil"/>
              <w:left w:val="nil"/>
              <w:bottom w:val="nil"/>
              <w:right w:val="nil"/>
            </w:tcBorders>
            <w:shd w:val="clear" w:color="auto" w:fill="auto"/>
            <w:noWrap/>
            <w:vAlign w:val="bottom"/>
            <w:hideMark/>
          </w:tcPr>
          <w:p w14:paraId="0A6AD1E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50" w:type="dxa"/>
            <w:gridSpan w:val="3"/>
            <w:tcBorders>
              <w:top w:val="nil"/>
              <w:left w:val="nil"/>
              <w:bottom w:val="nil"/>
              <w:right w:val="nil"/>
            </w:tcBorders>
            <w:shd w:val="clear" w:color="auto" w:fill="auto"/>
            <w:noWrap/>
            <w:vAlign w:val="bottom"/>
            <w:hideMark/>
          </w:tcPr>
          <w:p w14:paraId="3F0328AA" w14:textId="77777777" w:rsidR="005307A3" w:rsidRPr="00A91544" w:rsidRDefault="005307A3" w:rsidP="00626404">
            <w:pPr>
              <w:spacing w:after="0" w:line="240" w:lineRule="auto"/>
              <w:rPr>
                <w:rFonts w:ascii="Calibri" w:eastAsia="Times New Roman" w:hAnsi="Calibri" w:cs="Calibri"/>
                <w:b/>
                <w:bCs/>
                <w:color w:val="000000"/>
                <w:lang w:eastAsia="cs-CZ"/>
              </w:rPr>
            </w:pPr>
            <w:r w:rsidRPr="00A91544">
              <w:rPr>
                <w:rFonts w:ascii="Calibri" w:eastAsia="Times New Roman" w:hAnsi="Calibri" w:cs="Calibri"/>
                <w:b/>
                <w:bCs/>
                <w:color w:val="000000"/>
                <w:lang w:eastAsia="cs-CZ"/>
              </w:rPr>
              <w:t>Ing. Magdalena Vondráčková, Ph.D.</w:t>
            </w:r>
          </w:p>
        </w:tc>
        <w:tc>
          <w:tcPr>
            <w:tcW w:w="2448" w:type="dxa"/>
            <w:tcBorders>
              <w:top w:val="nil"/>
              <w:left w:val="nil"/>
              <w:bottom w:val="nil"/>
              <w:right w:val="nil"/>
            </w:tcBorders>
            <w:shd w:val="clear" w:color="auto" w:fill="auto"/>
            <w:noWrap/>
            <w:vAlign w:val="bottom"/>
            <w:hideMark/>
          </w:tcPr>
          <w:p w14:paraId="773BDFDD" w14:textId="46056775" w:rsidR="005307A3" w:rsidRPr="00A91544" w:rsidRDefault="00A26161" w:rsidP="00626404">
            <w:pPr>
              <w:spacing w:after="0" w:line="240" w:lineRule="auto"/>
              <w:rPr>
                <w:rFonts w:ascii="Calibri" w:eastAsia="Times New Roman" w:hAnsi="Calibri" w:cs="Calibri"/>
                <w:b/>
                <w:bCs/>
                <w:lang w:eastAsia="cs-CZ"/>
              </w:rPr>
            </w:pPr>
            <w:r w:rsidRPr="00A26161">
              <w:rPr>
                <w:rFonts w:ascii="Calibri" w:eastAsia="Times New Roman" w:hAnsi="Calibri" w:cs="Calibri"/>
                <w:b/>
                <w:bCs/>
                <w:highlight w:val="black"/>
                <w:lang w:eastAsia="cs-CZ"/>
              </w:rPr>
              <w:t>xxxxxxxxxxxxxxxxxxxxxxxx</w:t>
            </w:r>
          </w:p>
        </w:tc>
        <w:tc>
          <w:tcPr>
            <w:tcW w:w="508" w:type="dxa"/>
            <w:tcBorders>
              <w:top w:val="nil"/>
              <w:left w:val="nil"/>
              <w:bottom w:val="nil"/>
              <w:right w:val="nil"/>
            </w:tcBorders>
            <w:shd w:val="clear" w:color="auto" w:fill="auto"/>
            <w:noWrap/>
            <w:vAlign w:val="bottom"/>
            <w:hideMark/>
          </w:tcPr>
          <w:p w14:paraId="4F0826E2" w14:textId="77777777" w:rsidR="005307A3" w:rsidRPr="00A91544" w:rsidRDefault="005307A3" w:rsidP="00626404">
            <w:pPr>
              <w:spacing w:after="0" w:line="240" w:lineRule="auto"/>
              <w:rPr>
                <w:rFonts w:ascii="Calibri" w:eastAsia="Times New Roman" w:hAnsi="Calibri" w:cs="Calibri"/>
                <w:b/>
                <w:bCs/>
                <w:lang w:eastAsia="cs-CZ"/>
              </w:rPr>
            </w:pPr>
          </w:p>
        </w:tc>
        <w:tc>
          <w:tcPr>
            <w:tcW w:w="545" w:type="dxa"/>
            <w:tcBorders>
              <w:top w:val="nil"/>
              <w:left w:val="nil"/>
              <w:bottom w:val="nil"/>
              <w:right w:val="nil"/>
            </w:tcBorders>
            <w:shd w:val="clear" w:color="auto" w:fill="auto"/>
            <w:noWrap/>
            <w:vAlign w:val="bottom"/>
            <w:hideMark/>
          </w:tcPr>
          <w:p w14:paraId="06C880D9"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5503C90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r>
      <w:tr w:rsidR="005307A3" w:rsidRPr="00A91544" w14:paraId="6CE85A64" w14:textId="77777777" w:rsidTr="00626404">
        <w:trPr>
          <w:trHeight w:val="295"/>
        </w:trPr>
        <w:tc>
          <w:tcPr>
            <w:tcW w:w="201" w:type="dxa"/>
            <w:tcBorders>
              <w:top w:val="nil"/>
              <w:left w:val="nil"/>
              <w:bottom w:val="nil"/>
              <w:right w:val="nil"/>
            </w:tcBorders>
            <w:shd w:val="clear" w:color="auto" w:fill="auto"/>
            <w:noWrap/>
            <w:vAlign w:val="bottom"/>
            <w:hideMark/>
          </w:tcPr>
          <w:p w14:paraId="7219D38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50" w:type="dxa"/>
            <w:gridSpan w:val="3"/>
            <w:tcBorders>
              <w:top w:val="nil"/>
              <w:left w:val="nil"/>
              <w:bottom w:val="nil"/>
              <w:right w:val="nil"/>
            </w:tcBorders>
            <w:shd w:val="clear" w:color="auto" w:fill="auto"/>
            <w:noWrap/>
            <w:vAlign w:val="bottom"/>
            <w:hideMark/>
          </w:tcPr>
          <w:p w14:paraId="63D46A5C" w14:textId="77777777" w:rsidR="005307A3" w:rsidRPr="00A91544" w:rsidRDefault="005307A3" w:rsidP="00626404">
            <w:pPr>
              <w:spacing w:after="0" w:line="240" w:lineRule="auto"/>
              <w:rPr>
                <w:rFonts w:ascii="Calibri" w:eastAsia="Times New Roman" w:hAnsi="Calibri" w:cs="Calibri"/>
                <w:color w:val="000000"/>
                <w:lang w:eastAsia="cs-CZ"/>
              </w:rPr>
            </w:pPr>
            <w:r w:rsidRPr="00A91544">
              <w:rPr>
                <w:rFonts w:ascii="Calibri" w:eastAsia="Times New Roman" w:hAnsi="Calibri" w:cs="Calibri"/>
                <w:color w:val="000000"/>
                <w:lang w:eastAsia="cs-CZ"/>
              </w:rPr>
              <w:t xml:space="preserve">pověřena řízením Lékové komise </w:t>
            </w:r>
          </w:p>
        </w:tc>
        <w:tc>
          <w:tcPr>
            <w:tcW w:w="2448" w:type="dxa"/>
            <w:tcBorders>
              <w:top w:val="nil"/>
              <w:left w:val="nil"/>
              <w:bottom w:val="nil"/>
              <w:right w:val="nil"/>
            </w:tcBorders>
            <w:shd w:val="clear" w:color="auto" w:fill="auto"/>
            <w:noWrap/>
            <w:vAlign w:val="bottom"/>
            <w:hideMark/>
          </w:tcPr>
          <w:p w14:paraId="67012B8E" w14:textId="77777777" w:rsidR="005307A3" w:rsidRPr="00A91544" w:rsidRDefault="005307A3" w:rsidP="00626404">
            <w:pPr>
              <w:spacing w:after="0" w:line="240" w:lineRule="auto"/>
              <w:rPr>
                <w:rFonts w:ascii="Calibri" w:eastAsia="Times New Roman" w:hAnsi="Calibri" w:cs="Calibri"/>
                <w:lang w:eastAsia="cs-CZ"/>
              </w:rPr>
            </w:pPr>
            <w:r w:rsidRPr="00A91544">
              <w:rPr>
                <w:rFonts w:ascii="Calibri" w:eastAsia="Times New Roman" w:hAnsi="Calibri" w:cs="Calibri"/>
                <w:lang w:eastAsia="cs-CZ"/>
              </w:rPr>
              <w:t>jednatel</w:t>
            </w:r>
          </w:p>
        </w:tc>
        <w:tc>
          <w:tcPr>
            <w:tcW w:w="508" w:type="dxa"/>
            <w:tcBorders>
              <w:top w:val="nil"/>
              <w:left w:val="nil"/>
              <w:bottom w:val="nil"/>
              <w:right w:val="nil"/>
            </w:tcBorders>
            <w:shd w:val="clear" w:color="auto" w:fill="auto"/>
            <w:noWrap/>
            <w:vAlign w:val="bottom"/>
            <w:hideMark/>
          </w:tcPr>
          <w:p w14:paraId="32F0C226" w14:textId="77777777" w:rsidR="005307A3" w:rsidRPr="00A91544" w:rsidRDefault="005307A3" w:rsidP="00626404">
            <w:pPr>
              <w:spacing w:after="0" w:line="240" w:lineRule="auto"/>
              <w:rPr>
                <w:rFonts w:ascii="Calibri" w:eastAsia="Times New Roman" w:hAnsi="Calibri" w:cs="Calibri"/>
                <w:lang w:eastAsia="cs-CZ"/>
              </w:rPr>
            </w:pPr>
          </w:p>
        </w:tc>
        <w:tc>
          <w:tcPr>
            <w:tcW w:w="545" w:type="dxa"/>
            <w:tcBorders>
              <w:top w:val="nil"/>
              <w:left w:val="nil"/>
              <w:bottom w:val="nil"/>
              <w:right w:val="nil"/>
            </w:tcBorders>
            <w:shd w:val="clear" w:color="auto" w:fill="auto"/>
            <w:noWrap/>
            <w:vAlign w:val="bottom"/>
            <w:hideMark/>
          </w:tcPr>
          <w:p w14:paraId="5955044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2D929EF1"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0A2B3380" w14:textId="77777777" w:rsidTr="00626404">
        <w:trPr>
          <w:trHeight w:val="295"/>
        </w:trPr>
        <w:tc>
          <w:tcPr>
            <w:tcW w:w="201" w:type="dxa"/>
            <w:tcBorders>
              <w:top w:val="nil"/>
              <w:left w:val="nil"/>
              <w:bottom w:val="nil"/>
              <w:right w:val="nil"/>
            </w:tcBorders>
            <w:shd w:val="clear" w:color="auto" w:fill="auto"/>
            <w:noWrap/>
            <w:vAlign w:val="bottom"/>
            <w:hideMark/>
          </w:tcPr>
          <w:p w14:paraId="28E09C2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50" w:type="dxa"/>
            <w:gridSpan w:val="3"/>
            <w:tcBorders>
              <w:top w:val="nil"/>
              <w:left w:val="nil"/>
              <w:bottom w:val="nil"/>
              <w:right w:val="nil"/>
            </w:tcBorders>
            <w:shd w:val="clear" w:color="auto" w:fill="auto"/>
            <w:noWrap/>
            <w:vAlign w:val="bottom"/>
            <w:hideMark/>
          </w:tcPr>
          <w:p w14:paraId="4BD428EA" w14:textId="77777777" w:rsidR="005307A3" w:rsidRPr="00A91544" w:rsidRDefault="005307A3" w:rsidP="00626404">
            <w:pPr>
              <w:spacing w:after="0" w:line="240" w:lineRule="auto"/>
              <w:rPr>
                <w:rFonts w:ascii="Calibri" w:eastAsia="Times New Roman" w:hAnsi="Calibri" w:cs="Calibri"/>
                <w:color w:val="000000"/>
                <w:lang w:eastAsia="cs-CZ"/>
              </w:rPr>
            </w:pPr>
            <w:r w:rsidRPr="00A91544">
              <w:rPr>
                <w:rFonts w:ascii="Calibri" w:eastAsia="Times New Roman" w:hAnsi="Calibri" w:cs="Calibri"/>
                <w:color w:val="000000"/>
                <w:lang w:eastAsia="cs-CZ"/>
              </w:rPr>
              <w:t>Svazu zdravotních pojišťoven ČR</w:t>
            </w:r>
          </w:p>
        </w:tc>
        <w:tc>
          <w:tcPr>
            <w:tcW w:w="2448" w:type="dxa"/>
            <w:tcBorders>
              <w:top w:val="nil"/>
              <w:left w:val="nil"/>
              <w:bottom w:val="nil"/>
              <w:right w:val="nil"/>
            </w:tcBorders>
            <w:shd w:val="clear" w:color="auto" w:fill="auto"/>
            <w:noWrap/>
            <w:vAlign w:val="bottom"/>
            <w:hideMark/>
          </w:tcPr>
          <w:p w14:paraId="25326630" w14:textId="77777777" w:rsidR="005307A3" w:rsidRPr="00A91544" w:rsidRDefault="005307A3" w:rsidP="00626404">
            <w:pPr>
              <w:spacing w:after="0" w:line="240" w:lineRule="auto"/>
              <w:rPr>
                <w:rFonts w:ascii="Calibri" w:eastAsia="Times New Roman" w:hAnsi="Calibri" w:cs="Calibri"/>
                <w:color w:val="000000"/>
                <w:lang w:eastAsia="cs-CZ"/>
              </w:rPr>
            </w:pPr>
            <w:r w:rsidRPr="00A91544">
              <w:rPr>
                <w:rFonts w:ascii="Calibri" w:eastAsia="Times New Roman" w:hAnsi="Calibri" w:cs="Calibri"/>
                <w:color w:val="000000"/>
                <w:lang w:eastAsia="cs-CZ"/>
              </w:rPr>
              <w:t>Pfizer spol. s r. o.</w:t>
            </w:r>
          </w:p>
        </w:tc>
        <w:tc>
          <w:tcPr>
            <w:tcW w:w="508" w:type="dxa"/>
            <w:tcBorders>
              <w:top w:val="nil"/>
              <w:left w:val="nil"/>
              <w:bottom w:val="nil"/>
              <w:right w:val="nil"/>
            </w:tcBorders>
            <w:shd w:val="clear" w:color="auto" w:fill="auto"/>
            <w:noWrap/>
            <w:vAlign w:val="bottom"/>
            <w:hideMark/>
          </w:tcPr>
          <w:p w14:paraId="1986F65D" w14:textId="77777777" w:rsidR="005307A3" w:rsidRPr="00A91544" w:rsidRDefault="005307A3" w:rsidP="00626404">
            <w:pPr>
              <w:spacing w:after="0" w:line="240" w:lineRule="auto"/>
              <w:rPr>
                <w:rFonts w:ascii="Calibri" w:eastAsia="Times New Roman" w:hAnsi="Calibri" w:cs="Calibri"/>
                <w:color w:val="000000"/>
                <w:lang w:eastAsia="cs-CZ"/>
              </w:rPr>
            </w:pPr>
          </w:p>
        </w:tc>
        <w:tc>
          <w:tcPr>
            <w:tcW w:w="545" w:type="dxa"/>
            <w:tcBorders>
              <w:top w:val="nil"/>
              <w:left w:val="nil"/>
              <w:bottom w:val="nil"/>
              <w:right w:val="nil"/>
            </w:tcBorders>
            <w:shd w:val="clear" w:color="auto" w:fill="auto"/>
            <w:noWrap/>
            <w:vAlign w:val="bottom"/>
            <w:hideMark/>
          </w:tcPr>
          <w:p w14:paraId="69A606BA"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215D0F93"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r w:rsidR="005307A3" w:rsidRPr="00A91544" w14:paraId="7BD306D9" w14:textId="77777777" w:rsidTr="00626404">
        <w:trPr>
          <w:trHeight w:val="295"/>
        </w:trPr>
        <w:tc>
          <w:tcPr>
            <w:tcW w:w="201" w:type="dxa"/>
            <w:tcBorders>
              <w:top w:val="nil"/>
              <w:left w:val="nil"/>
              <w:bottom w:val="nil"/>
              <w:right w:val="nil"/>
            </w:tcBorders>
            <w:shd w:val="clear" w:color="auto" w:fill="auto"/>
            <w:noWrap/>
            <w:vAlign w:val="bottom"/>
            <w:hideMark/>
          </w:tcPr>
          <w:p w14:paraId="366378B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11AB556"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687" w:type="dxa"/>
            <w:tcBorders>
              <w:top w:val="nil"/>
              <w:left w:val="nil"/>
              <w:bottom w:val="nil"/>
              <w:right w:val="nil"/>
            </w:tcBorders>
            <w:shd w:val="clear" w:color="auto" w:fill="auto"/>
            <w:noWrap/>
            <w:vAlign w:val="bottom"/>
            <w:hideMark/>
          </w:tcPr>
          <w:p w14:paraId="18AB6834"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699" w:type="dxa"/>
            <w:tcBorders>
              <w:top w:val="nil"/>
              <w:left w:val="nil"/>
              <w:bottom w:val="nil"/>
              <w:right w:val="nil"/>
            </w:tcBorders>
            <w:shd w:val="clear" w:color="auto" w:fill="auto"/>
            <w:noWrap/>
            <w:vAlign w:val="bottom"/>
            <w:hideMark/>
          </w:tcPr>
          <w:p w14:paraId="02C96311"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2448" w:type="dxa"/>
            <w:tcBorders>
              <w:top w:val="nil"/>
              <w:left w:val="nil"/>
              <w:bottom w:val="nil"/>
              <w:right w:val="nil"/>
            </w:tcBorders>
            <w:shd w:val="clear" w:color="auto" w:fill="auto"/>
            <w:noWrap/>
            <w:vAlign w:val="bottom"/>
            <w:hideMark/>
          </w:tcPr>
          <w:p w14:paraId="02EA444B"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08" w:type="dxa"/>
            <w:tcBorders>
              <w:top w:val="nil"/>
              <w:left w:val="nil"/>
              <w:bottom w:val="nil"/>
              <w:right w:val="nil"/>
            </w:tcBorders>
            <w:shd w:val="clear" w:color="auto" w:fill="auto"/>
            <w:noWrap/>
            <w:vAlign w:val="bottom"/>
            <w:hideMark/>
          </w:tcPr>
          <w:p w14:paraId="704A9ECD"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545" w:type="dxa"/>
            <w:tcBorders>
              <w:top w:val="nil"/>
              <w:left w:val="nil"/>
              <w:bottom w:val="nil"/>
              <w:right w:val="nil"/>
            </w:tcBorders>
            <w:shd w:val="clear" w:color="auto" w:fill="auto"/>
            <w:noWrap/>
            <w:vAlign w:val="bottom"/>
            <w:hideMark/>
          </w:tcPr>
          <w:p w14:paraId="79BB2017" w14:textId="77777777" w:rsidR="005307A3" w:rsidRPr="00A91544" w:rsidRDefault="005307A3" w:rsidP="00626404">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1ACB1435" w14:textId="77777777" w:rsidR="005307A3" w:rsidRPr="00A91544" w:rsidRDefault="005307A3" w:rsidP="00626404">
            <w:pPr>
              <w:spacing w:after="0" w:line="240" w:lineRule="auto"/>
              <w:jc w:val="center"/>
              <w:rPr>
                <w:rFonts w:ascii="Times New Roman" w:eastAsia="Times New Roman" w:hAnsi="Times New Roman" w:cs="Times New Roman"/>
                <w:sz w:val="20"/>
                <w:szCs w:val="20"/>
                <w:lang w:eastAsia="cs-CZ"/>
              </w:rPr>
            </w:pPr>
          </w:p>
        </w:tc>
      </w:tr>
    </w:tbl>
    <w:p w14:paraId="7F4825D9" w14:textId="77777777" w:rsidR="009E1A90" w:rsidRDefault="009E1A90" w:rsidP="00C32518">
      <w:pPr>
        <w:tabs>
          <w:tab w:val="left" w:pos="4253"/>
          <w:tab w:val="left" w:pos="4536"/>
          <w:tab w:val="left" w:pos="4820"/>
        </w:tabs>
        <w:spacing w:after="0" w:line="240" w:lineRule="auto"/>
      </w:pPr>
    </w:p>
    <w:p w14:paraId="53CEF73A" w14:textId="77777777" w:rsidR="00A04DDA" w:rsidRDefault="00A04DDA" w:rsidP="00C32518">
      <w:pPr>
        <w:tabs>
          <w:tab w:val="left" w:pos="4253"/>
          <w:tab w:val="left" w:pos="4536"/>
          <w:tab w:val="left" w:pos="4820"/>
        </w:tabs>
        <w:spacing w:after="0" w:line="240" w:lineRule="auto"/>
      </w:pPr>
    </w:p>
    <w:p w14:paraId="0A8FE855" w14:textId="77777777" w:rsidR="00A04DDA" w:rsidRDefault="00A04DDA" w:rsidP="00C32518">
      <w:pPr>
        <w:tabs>
          <w:tab w:val="left" w:pos="4253"/>
          <w:tab w:val="left" w:pos="4536"/>
          <w:tab w:val="left" w:pos="4820"/>
        </w:tabs>
        <w:spacing w:after="0" w:line="240" w:lineRule="auto"/>
      </w:pPr>
    </w:p>
    <w:p w14:paraId="5CC43B24" w14:textId="77777777" w:rsidR="00A04DDA" w:rsidRDefault="00A04DDA" w:rsidP="00C32518">
      <w:pPr>
        <w:tabs>
          <w:tab w:val="left" w:pos="4253"/>
          <w:tab w:val="left" w:pos="4536"/>
          <w:tab w:val="left" w:pos="4820"/>
        </w:tabs>
        <w:spacing w:after="0" w:line="240" w:lineRule="auto"/>
      </w:pPr>
    </w:p>
    <w:p w14:paraId="62D388F4" w14:textId="77777777" w:rsidR="00A04DDA" w:rsidRDefault="00A04DDA" w:rsidP="00C32518">
      <w:pPr>
        <w:tabs>
          <w:tab w:val="left" w:pos="4253"/>
          <w:tab w:val="left" w:pos="4536"/>
          <w:tab w:val="left" w:pos="4820"/>
        </w:tabs>
        <w:spacing w:after="0" w:line="240" w:lineRule="auto"/>
      </w:pPr>
    </w:p>
    <w:p w14:paraId="0E270088" w14:textId="77777777" w:rsidR="00A04DDA" w:rsidRDefault="00A04DDA" w:rsidP="00C32518">
      <w:pPr>
        <w:tabs>
          <w:tab w:val="left" w:pos="4253"/>
          <w:tab w:val="left" w:pos="4536"/>
          <w:tab w:val="left" w:pos="4820"/>
        </w:tabs>
        <w:spacing w:after="0" w:line="240" w:lineRule="auto"/>
      </w:pPr>
    </w:p>
    <w:p w14:paraId="45C73F6A" w14:textId="77777777" w:rsidR="00A04DDA" w:rsidRDefault="00A04DDA" w:rsidP="00C32518">
      <w:pPr>
        <w:tabs>
          <w:tab w:val="left" w:pos="4253"/>
          <w:tab w:val="left" w:pos="4536"/>
          <w:tab w:val="left" w:pos="4820"/>
        </w:tabs>
        <w:spacing w:after="0" w:line="240" w:lineRule="auto"/>
      </w:pPr>
    </w:p>
    <w:p w14:paraId="2D983ED5" w14:textId="77777777" w:rsidR="00A04DDA" w:rsidRDefault="00A04DDA" w:rsidP="00C32518">
      <w:pPr>
        <w:tabs>
          <w:tab w:val="left" w:pos="4253"/>
          <w:tab w:val="left" w:pos="4536"/>
          <w:tab w:val="left" w:pos="4820"/>
        </w:tabs>
        <w:spacing w:after="0" w:line="240" w:lineRule="auto"/>
      </w:pPr>
    </w:p>
    <w:p w14:paraId="1E7C2CF1" w14:textId="77777777" w:rsidR="00A04DDA" w:rsidRDefault="00A04DDA" w:rsidP="00A04DDA">
      <w:pPr>
        <w:pStyle w:val="Default"/>
        <w:spacing w:before="120" w:after="120"/>
        <w:jc w:val="center"/>
        <w:rPr>
          <w:sz w:val="22"/>
          <w:szCs w:val="22"/>
        </w:rPr>
      </w:pPr>
      <w:r>
        <w:rPr>
          <w:b/>
          <w:bCs/>
          <w:sz w:val="22"/>
          <w:szCs w:val="22"/>
        </w:rPr>
        <w:lastRenderedPageBreak/>
        <w:t xml:space="preserve">PŘÍLOHA Č. 2 </w:t>
      </w:r>
    </w:p>
    <w:p w14:paraId="1CD4E29C" w14:textId="77777777" w:rsidR="00A04DDA" w:rsidRDefault="00A04DDA" w:rsidP="00A04DDA">
      <w:pPr>
        <w:pStyle w:val="Default"/>
        <w:ind w:right="-8"/>
        <w:jc w:val="center"/>
        <w:rPr>
          <w:sz w:val="22"/>
          <w:szCs w:val="22"/>
        </w:rPr>
      </w:pPr>
      <w:r>
        <w:rPr>
          <w:sz w:val="22"/>
          <w:szCs w:val="22"/>
        </w:rPr>
        <w:t xml:space="preserve">MEZINÁRODNÍ ZÁSADY SPOLEČNOSTI PFIZER PRO </w:t>
      </w:r>
    </w:p>
    <w:p w14:paraId="2E0631F8" w14:textId="77777777" w:rsidR="00A04DDA" w:rsidRDefault="00A04DDA" w:rsidP="00A04DDA">
      <w:pPr>
        <w:pStyle w:val="Default"/>
        <w:ind w:right="-8"/>
        <w:jc w:val="center"/>
        <w:rPr>
          <w:sz w:val="22"/>
          <w:szCs w:val="22"/>
        </w:rPr>
      </w:pPr>
      <w:r>
        <w:rPr>
          <w:sz w:val="22"/>
          <w:szCs w:val="22"/>
        </w:rPr>
        <w:t xml:space="preserve">PŘEDCHÁZENÍ ÚPLATKÁŘSTVÍ A KORUPCI </w:t>
      </w:r>
    </w:p>
    <w:p w14:paraId="2ECDAD9D" w14:textId="77777777" w:rsidR="008F1280" w:rsidRDefault="008F1280" w:rsidP="00A04DDA">
      <w:pPr>
        <w:pStyle w:val="Default"/>
        <w:ind w:right="-8"/>
        <w:jc w:val="center"/>
        <w:rPr>
          <w:sz w:val="22"/>
          <w:szCs w:val="22"/>
        </w:rPr>
      </w:pPr>
    </w:p>
    <w:p w14:paraId="3EB7D2E2" w14:textId="77777777" w:rsidR="00A04DDA" w:rsidRDefault="00A04DDA" w:rsidP="00A04DDA">
      <w:pPr>
        <w:pStyle w:val="Default"/>
        <w:ind w:right="-8"/>
        <w:rPr>
          <w:sz w:val="22"/>
          <w:szCs w:val="22"/>
        </w:rPr>
      </w:pPr>
      <w:r>
        <w:rPr>
          <w:sz w:val="22"/>
          <w:szCs w:val="22"/>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2D21EF23" w14:textId="77777777" w:rsidR="00A04DDA" w:rsidRDefault="00A04DDA" w:rsidP="00A04DDA">
      <w:pPr>
        <w:pStyle w:val="Default"/>
        <w:spacing w:after="180"/>
        <w:ind w:right="-8"/>
        <w:rPr>
          <w:sz w:val="22"/>
          <w:szCs w:val="22"/>
        </w:rPr>
      </w:pPr>
      <w:r>
        <w:rPr>
          <w:b/>
          <w:bCs/>
          <w:i/>
          <w:iCs/>
          <w:sz w:val="22"/>
          <w:szCs w:val="22"/>
        </w:rPr>
        <w:t xml:space="preserve">Uplácení Státních úředníků </w:t>
      </w:r>
    </w:p>
    <w:p w14:paraId="09DFCCB0" w14:textId="77777777" w:rsidR="00A04DDA" w:rsidRDefault="00A04DDA" w:rsidP="00A04DDA">
      <w:pPr>
        <w:pStyle w:val="Default"/>
        <w:ind w:right="-8"/>
        <w:rPr>
          <w:sz w:val="22"/>
          <w:szCs w:val="22"/>
        </w:rPr>
      </w:pPr>
      <w:r>
        <w:rPr>
          <w:sz w:val="22"/>
          <w:szCs w:val="22"/>
        </w:rPr>
        <w:t xml:space="preserve">Většina zemí má zákony, které zakazují poskytovat, nabízet nebo slibovat Státním úředníkům (přímo i nepřímo) jakékoli platby nebo hodnoty s úmyslem ovlivnit úřední úkon nebo rozhodnutí, na jehož základě osoba získá či si udrží obchodní příležitost. </w:t>
      </w:r>
    </w:p>
    <w:p w14:paraId="69BC2D8A" w14:textId="77777777" w:rsidR="00A04DDA" w:rsidRDefault="00A04DDA" w:rsidP="00A04DDA">
      <w:pPr>
        <w:pStyle w:val="Default"/>
        <w:ind w:right="-8"/>
        <w:rPr>
          <w:sz w:val="22"/>
          <w:szCs w:val="22"/>
        </w:rPr>
      </w:pPr>
      <w:r>
        <w:rPr>
          <w:sz w:val="22"/>
          <w:szCs w:val="22"/>
        </w:rPr>
        <w:t xml:space="preserve">Pojem „Státní úředník“ je vykládán široce a rozumí se jím: </w:t>
      </w:r>
    </w:p>
    <w:p w14:paraId="732BEA69" w14:textId="77777777" w:rsidR="00A04DDA" w:rsidRDefault="00A04DDA" w:rsidP="00A04DDA">
      <w:pPr>
        <w:pStyle w:val="Default"/>
        <w:spacing w:after="240"/>
        <w:ind w:left="720" w:hanging="720"/>
        <w:rPr>
          <w:sz w:val="22"/>
          <w:szCs w:val="22"/>
        </w:rPr>
      </w:pPr>
      <w:r>
        <w:rPr>
          <w:sz w:val="22"/>
          <w:szCs w:val="22"/>
        </w:rPr>
        <w:t xml:space="preserve">(i) jakýkoli volený či jmenovaný Státní úředník (např. zákonodárce nebo člen ministerstva), </w:t>
      </w:r>
    </w:p>
    <w:p w14:paraId="76CCB1D5" w14:textId="77777777" w:rsidR="00A04DDA" w:rsidRDefault="00A04DDA" w:rsidP="00A04DDA">
      <w:pPr>
        <w:pStyle w:val="Default"/>
        <w:spacing w:after="240"/>
        <w:ind w:left="720" w:hanging="720"/>
        <w:rPr>
          <w:sz w:val="22"/>
          <w:szCs w:val="22"/>
        </w:rPr>
      </w:pPr>
      <w:r>
        <w:rPr>
          <w:sz w:val="22"/>
          <w:szCs w:val="22"/>
        </w:rPr>
        <w:t xml:space="preserve">(ii) 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 </w:t>
      </w:r>
    </w:p>
    <w:p w14:paraId="25CF239A" w14:textId="77777777" w:rsidR="00A04DDA" w:rsidRDefault="00A04DDA" w:rsidP="00A04DDA">
      <w:pPr>
        <w:pStyle w:val="Default"/>
        <w:spacing w:after="240"/>
        <w:ind w:left="720" w:hanging="720"/>
        <w:rPr>
          <w:sz w:val="22"/>
          <w:szCs w:val="22"/>
        </w:rPr>
      </w:pPr>
      <w:r>
        <w:rPr>
          <w:sz w:val="22"/>
          <w:szCs w:val="22"/>
        </w:rPr>
        <w:t xml:space="preserve">(iii) jakýkoli představitel politické strany, jakákoli osoba ucházející se o veřejnou funkci nebo zaměstnanec či fyzická osoba jednající jménem představitele politické strany nebo osoby ucházející se o veřejnou funkci, </w:t>
      </w:r>
    </w:p>
    <w:p w14:paraId="1695A217" w14:textId="77777777" w:rsidR="00A04DDA" w:rsidRDefault="00A04DDA" w:rsidP="00A04DDA">
      <w:pPr>
        <w:pStyle w:val="Default"/>
        <w:spacing w:after="240"/>
        <w:ind w:left="720" w:hanging="720"/>
        <w:rPr>
          <w:sz w:val="22"/>
          <w:szCs w:val="22"/>
        </w:rPr>
      </w:pPr>
      <w:r>
        <w:rPr>
          <w:sz w:val="22"/>
          <w:szCs w:val="22"/>
        </w:rPr>
        <w:t xml:space="preserve">(iv) jakýkoli zaměstnanec nebo fyzická osoba jednající jménem veřejné mezinárodní organizace, </w:t>
      </w:r>
    </w:p>
    <w:p w14:paraId="0578095A" w14:textId="77777777" w:rsidR="00A04DDA" w:rsidRDefault="00A04DDA" w:rsidP="00A04DDA">
      <w:pPr>
        <w:pStyle w:val="Default"/>
        <w:spacing w:after="240"/>
        <w:ind w:left="720" w:hanging="720"/>
        <w:rPr>
          <w:sz w:val="22"/>
          <w:szCs w:val="22"/>
        </w:rPr>
      </w:pPr>
      <w:r>
        <w:rPr>
          <w:sz w:val="22"/>
          <w:szCs w:val="22"/>
        </w:rPr>
        <w:t xml:space="preserve">(v) jakýkoli člen královské rodiny nebo příslušník armády a </w:t>
      </w:r>
    </w:p>
    <w:p w14:paraId="690B6FA0" w14:textId="77777777" w:rsidR="00A04DDA" w:rsidRDefault="00A04DDA" w:rsidP="00A04DDA">
      <w:pPr>
        <w:pStyle w:val="Default"/>
        <w:spacing w:after="240"/>
        <w:ind w:left="720" w:hanging="720"/>
        <w:rPr>
          <w:sz w:val="22"/>
          <w:szCs w:val="22"/>
        </w:rPr>
      </w:pPr>
      <w:r>
        <w:rPr>
          <w:sz w:val="22"/>
          <w:szCs w:val="22"/>
        </w:rPr>
        <w:t xml:space="preserve">(vi) jakákoli osoba, kterou jinak zákon označí za Státního úředníka. </w:t>
      </w:r>
    </w:p>
    <w:p w14:paraId="76C63439" w14:textId="77777777" w:rsidR="00A04DDA" w:rsidRDefault="00A04DDA" w:rsidP="00A04DDA">
      <w:pPr>
        <w:pStyle w:val="Default"/>
        <w:rPr>
          <w:sz w:val="22"/>
          <w:szCs w:val="22"/>
        </w:rPr>
      </w:pPr>
    </w:p>
    <w:p w14:paraId="2CCE6C83" w14:textId="77777777" w:rsidR="00A04DDA" w:rsidRDefault="00A04DDA" w:rsidP="00A04DDA">
      <w:pPr>
        <w:pStyle w:val="Default"/>
        <w:ind w:right="-8"/>
        <w:rPr>
          <w:sz w:val="22"/>
          <w:szCs w:val="22"/>
        </w:rPr>
      </w:pPr>
      <w:r>
        <w:rPr>
          <w:sz w:val="22"/>
          <w:szCs w:val="22"/>
        </w:rPr>
        <w:t xml:space="preserve">„Státní správou“ se rozumí všechny stupně a složky státní správy (tj. místní, krajské i celostátní orgány a orgány moci správní, soudní i výkonné). </w:t>
      </w:r>
    </w:p>
    <w:p w14:paraId="0625B689" w14:textId="77777777" w:rsidR="00A04DDA" w:rsidRDefault="00A04DDA" w:rsidP="00A04DDA">
      <w:pPr>
        <w:pStyle w:val="Default"/>
        <w:ind w:right="-8"/>
        <w:rPr>
          <w:sz w:val="22"/>
          <w:szCs w:val="22"/>
        </w:rPr>
      </w:pPr>
      <w:r>
        <w:rPr>
          <w:sz w:val="22"/>
          <w:szCs w:val="22"/>
        </w:rPr>
        <w:t xml:space="preserve">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 </w:t>
      </w:r>
    </w:p>
    <w:p w14:paraId="6FD84A2F" w14:textId="77777777" w:rsidR="00A04DDA" w:rsidRDefault="00A04DDA" w:rsidP="00A04DDA">
      <w:pPr>
        <w:pStyle w:val="Default"/>
        <w:ind w:right="-8"/>
        <w:rPr>
          <w:sz w:val="22"/>
          <w:szCs w:val="22"/>
        </w:rPr>
      </w:pPr>
      <w:r>
        <w:rPr>
          <w:sz w:val="22"/>
          <w:szCs w:val="22"/>
        </w:rPr>
        <w:t xml:space="preserve">USA Zákon Spojených států o předcházení korupčním praktikám v zahraničí (dále jen „FCPA“, </w:t>
      </w:r>
      <w:r>
        <w:rPr>
          <w:i/>
          <w:iCs/>
          <w:sz w:val="22"/>
          <w:szCs w:val="22"/>
        </w:rPr>
        <w:t>Foreign Corrupt Practices Act</w:t>
      </w:r>
      <w:r>
        <w:rPr>
          <w:sz w:val="22"/>
          <w:szCs w:val="22"/>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 </w:t>
      </w:r>
    </w:p>
    <w:p w14:paraId="57A2D18D" w14:textId="77777777" w:rsidR="00A04DDA" w:rsidRDefault="00A04DDA" w:rsidP="00A04DDA">
      <w:pPr>
        <w:pStyle w:val="Default"/>
        <w:ind w:right="-8"/>
        <w:rPr>
          <w:sz w:val="22"/>
          <w:szCs w:val="22"/>
        </w:rPr>
      </w:pPr>
      <w:r>
        <w:rPr>
          <w:b/>
          <w:bCs/>
          <w:sz w:val="22"/>
          <w:szCs w:val="22"/>
        </w:rPr>
        <w:t xml:space="preserve">Zásady pro předcházení úplatkářství a korupci v komunikaci se Státní správou a Státními úředníky </w:t>
      </w:r>
    </w:p>
    <w:p w14:paraId="1C4DFE65" w14:textId="77777777" w:rsidR="00A04DDA" w:rsidRDefault="00A04DDA" w:rsidP="00A04DDA">
      <w:pPr>
        <w:pStyle w:val="Default"/>
        <w:pageBreakBefore/>
        <w:ind w:right="-8"/>
        <w:rPr>
          <w:sz w:val="22"/>
          <w:szCs w:val="22"/>
        </w:rPr>
      </w:pPr>
      <w:r>
        <w:rPr>
          <w:sz w:val="22"/>
          <w:szCs w:val="22"/>
        </w:rPr>
        <w:lastRenderedPageBreak/>
        <w:t xml:space="preserve">Obchodní partner se musí při komunikaci se Státní správou a Státními úředníky řídit těmito zásadami: </w:t>
      </w:r>
    </w:p>
    <w:p w14:paraId="772518F1" w14:textId="77777777" w:rsidR="00A04DDA" w:rsidRDefault="00A04DDA" w:rsidP="00A04DDA">
      <w:pPr>
        <w:pStyle w:val="Default"/>
        <w:ind w:left="720" w:right="-8" w:hanging="720"/>
        <w:rPr>
          <w:sz w:val="22"/>
          <w:szCs w:val="22"/>
        </w:rPr>
      </w:pPr>
      <w:r>
        <w:rPr>
          <w:sz w:val="22"/>
          <w:szCs w:val="22"/>
        </w:rPr>
        <w:t xml:space="preserve">• 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 </w:t>
      </w:r>
    </w:p>
    <w:p w14:paraId="653AD4DA" w14:textId="77777777" w:rsidR="00A04DDA" w:rsidRDefault="00A04DDA" w:rsidP="00A04DDA">
      <w:pPr>
        <w:pStyle w:val="Default"/>
        <w:ind w:left="720" w:right="-8" w:hanging="720"/>
        <w:rPr>
          <w:sz w:val="22"/>
          <w:szCs w:val="22"/>
        </w:rPr>
      </w:pPr>
      <w:r>
        <w:rPr>
          <w:sz w:val="22"/>
          <w:szCs w:val="22"/>
        </w:rPr>
        <w:t xml:space="preserve">• 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 </w:t>
      </w:r>
    </w:p>
    <w:p w14:paraId="1D04A06A" w14:textId="77777777" w:rsidR="00A04DDA" w:rsidRDefault="00A04DDA" w:rsidP="00A04DDA">
      <w:pPr>
        <w:pStyle w:val="Default"/>
        <w:ind w:left="720" w:right="-8" w:hanging="720"/>
        <w:rPr>
          <w:sz w:val="22"/>
          <w:szCs w:val="22"/>
        </w:rPr>
      </w:pPr>
      <w:r>
        <w:rPr>
          <w:sz w:val="22"/>
          <w:szCs w:val="22"/>
        </w:rPr>
        <w:t xml:space="preserve">• 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 </w:t>
      </w:r>
    </w:p>
    <w:p w14:paraId="558AC797" w14:textId="77777777" w:rsidR="00A04DDA" w:rsidRDefault="00A04DDA" w:rsidP="00A04DDA">
      <w:pPr>
        <w:pStyle w:val="Default"/>
        <w:ind w:right="-8"/>
        <w:rPr>
          <w:sz w:val="22"/>
          <w:szCs w:val="22"/>
        </w:rPr>
      </w:pPr>
      <w:r>
        <w:rPr>
          <w:b/>
          <w:bCs/>
          <w:i/>
          <w:iCs/>
          <w:sz w:val="22"/>
          <w:szCs w:val="22"/>
        </w:rPr>
        <w:t xml:space="preserve">Úplatkářství v obchodní sféře </w:t>
      </w:r>
    </w:p>
    <w:p w14:paraId="4817D7D4" w14:textId="77777777" w:rsidR="00A04DDA" w:rsidRDefault="00A04DDA" w:rsidP="00A04DDA">
      <w:pPr>
        <w:pStyle w:val="Default"/>
        <w:ind w:right="-8"/>
        <w:rPr>
          <w:sz w:val="22"/>
          <w:szCs w:val="22"/>
        </w:rPr>
      </w:pPr>
      <w:r>
        <w:rPr>
          <w:sz w:val="22"/>
          <w:szCs w:val="22"/>
        </w:rPr>
        <w:t xml:space="preserve">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 </w:t>
      </w:r>
    </w:p>
    <w:p w14:paraId="55BFB00A" w14:textId="77777777" w:rsidR="00A04DDA" w:rsidRDefault="00A04DDA" w:rsidP="00A04DDA">
      <w:pPr>
        <w:pStyle w:val="Default"/>
        <w:ind w:right="-8"/>
        <w:rPr>
          <w:sz w:val="22"/>
          <w:szCs w:val="22"/>
        </w:rPr>
      </w:pPr>
      <w:r>
        <w:rPr>
          <w:b/>
          <w:bCs/>
          <w:sz w:val="22"/>
          <w:szCs w:val="22"/>
        </w:rPr>
        <w:t xml:space="preserve">Zásady pro předcházení úplatkářství a korupci v komunikaci se soukromými osobami a spolupracovníky společnosti Pfizer </w:t>
      </w:r>
    </w:p>
    <w:p w14:paraId="35D1492C" w14:textId="77777777" w:rsidR="00A04DDA" w:rsidRDefault="00A04DDA" w:rsidP="00A04DDA">
      <w:pPr>
        <w:pStyle w:val="Default"/>
        <w:ind w:right="-8"/>
        <w:rPr>
          <w:sz w:val="22"/>
          <w:szCs w:val="22"/>
        </w:rPr>
      </w:pPr>
      <w:r>
        <w:rPr>
          <w:sz w:val="22"/>
          <w:szCs w:val="22"/>
        </w:rPr>
        <w:t xml:space="preserve">Obchodní partner se musí při komunikaci se soukromými osobami a spolupracovníky společnosti Pfizer řídit těmito zásadami: </w:t>
      </w:r>
    </w:p>
    <w:p w14:paraId="38F0F926" w14:textId="77777777" w:rsidR="00A04DDA" w:rsidRDefault="00A04DDA" w:rsidP="00A04DDA">
      <w:pPr>
        <w:pStyle w:val="Default"/>
        <w:pageBreakBefore/>
        <w:spacing w:after="120"/>
        <w:ind w:left="720" w:right="-6" w:hanging="720"/>
        <w:rPr>
          <w:sz w:val="22"/>
          <w:szCs w:val="22"/>
        </w:rPr>
      </w:pPr>
      <w:r>
        <w:rPr>
          <w:sz w:val="22"/>
          <w:szCs w:val="22"/>
        </w:rPr>
        <w:lastRenderedPageBreak/>
        <w:t xml:space="preserve">• 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 </w:t>
      </w:r>
    </w:p>
    <w:p w14:paraId="0F92EA52" w14:textId="77777777" w:rsidR="00A04DDA" w:rsidRDefault="00A04DDA" w:rsidP="00A04DDA">
      <w:pPr>
        <w:pStyle w:val="Default"/>
        <w:spacing w:after="120"/>
        <w:ind w:left="720" w:right="-6" w:hanging="720"/>
        <w:rPr>
          <w:sz w:val="22"/>
          <w:szCs w:val="22"/>
        </w:rPr>
      </w:pPr>
      <w:r>
        <w:rPr>
          <w:sz w:val="22"/>
          <w:szCs w:val="22"/>
        </w:rPr>
        <w:t xml:space="preserve">• 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 </w:t>
      </w:r>
    </w:p>
    <w:p w14:paraId="1233F228" w14:textId="77777777" w:rsidR="00A04DDA" w:rsidRDefault="00A04DDA" w:rsidP="00A04DDA">
      <w:pPr>
        <w:pStyle w:val="Default"/>
        <w:spacing w:after="240"/>
        <w:ind w:left="720" w:right="-8" w:hanging="720"/>
        <w:rPr>
          <w:sz w:val="22"/>
          <w:szCs w:val="22"/>
        </w:rPr>
      </w:pPr>
      <w:r>
        <w:rPr>
          <w:sz w:val="22"/>
          <w:szCs w:val="22"/>
        </w:rPr>
        <w:t xml:space="preserve">• 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 </w:t>
      </w:r>
    </w:p>
    <w:p w14:paraId="6DDD9C01" w14:textId="77777777" w:rsidR="00A04DDA" w:rsidRDefault="00A04DDA" w:rsidP="00A04DDA">
      <w:pPr>
        <w:pStyle w:val="Default"/>
        <w:ind w:right="-8"/>
        <w:rPr>
          <w:sz w:val="22"/>
          <w:szCs w:val="22"/>
        </w:rPr>
      </w:pPr>
      <w:r>
        <w:rPr>
          <w:b/>
          <w:bCs/>
          <w:i/>
          <w:iCs/>
          <w:sz w:val="22"/>
          <w:szCs w:val="22"/>
        </w:rPr>
        <w:t xml:space="preserve">Hlášení domnělých či skutečných případů porušení </w:t>
      </w:r>
    </w:p>
    <w:p w14:paraId="69B6CA65" w14:textId="77777777" w:rsidR="00A04DDA" w:rsidRPr="00AF22F3" w:rsidRDefault="00A04DDA" w:rsidP="00A04DDA">
      <w:pPr>
        <w:tabs>
          <w:tab w:val="left" w:pos="4253"/>
          <w:tab w:val="left" w:pos="4536"/>
          <w:tab w:val="left" w:pos="4820"/>
        </w:tabs>
        <w:spacing w:after="0" w:line="240" w:lineRule="auto"/>
      </w:pPr>
      <w: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Pr>
          <w:color w:val="0000FF"/>
        </w:rPr>
        <w:t xml:space="preserve">corporate.compliance@pfizer.com </w:t>
      </w:r>
      <w:r>
        <w:t>nebo telefonicky na číslo 1-212-733-3026</w:t>
      </w:r>
    </w:p>
    <w:p w14:paraId="104ABE88" w14:textId="77777777" w:rsidR="00A04DDA" w:rsidRPr="00AF22F3" w:rsidRDefault="00A04DDA" w:rsidP="00C32518">
      <w:pPr>
        <w:tabs>
          <w:tab w:val="left" w:pos="4253"/>
          <w:tab w:val="left" w:pos="4536"/>
          <w:tab w:val="left" w:pos="4820"/>
        </w:tabs>
        <w:spacing w:after="0" w:line="240" w:lineRule="auto"/>
      </w:pPr>
    </w:p>
    <w:sectPr w:rsidR="00A04DDA"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15EB" w14:textId="77777777" w:rsidR="002F0109" w:rsidRDefault="002F0109" w:rsidP="00602BDD">
      <w:pPr>
        <w:spacing w:after="0" w:line="240" w:lineRule="auto"/>
      </w:pPr>
      <w:r>
        <w:separator/>
      </w:r>
    </w:p>
  </w:endnote>
  <w:endnote w:type="continuationSeparator" w:id="0">
    <w:p w14:paraId="11EDBAAA" w14:textId="77777777" w:rsidR="002F0109" w:rsidRDefault="002F0109"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Content>
      <w:p w14:paraId="7A50F8BE" w14:textId="6D7BC2B8" w:rsidR="00602BDD" w:rsidRDefault="00602BDD">
        <w:pPr>
          <w:pStyle w:val="Footer"/>
          <w:jc w:val="right"/>
        </w:pPr>
        <w:r>
          <w:fldChar w:fldCharType="begin"/>
        </w:r>
        <w:r>
          <w:instrText>PAGE   \* MERGEFORMAT</w:instrText>
        </w:r>
        <w:r>
          <w:fldChar w:fldCharType="separate"/>
        </w:r>
        <w:r w:rsidR="00D708D8">
          <w:rPr>
            <w:noProof/>
          </w:rPr>
          <w:t>8</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00D7" w14:textId="77777777" w:rsidR="002F0109" w:rsidRDefault="002F0109" w:rsidP="00602BDD">
      <w:pPr>
        <w:spacing w:after="0" w:line="240" w:lineRule="auto"/>
      </w:pPr>
      <w:r>
        <w:separator/>
      </w:r>
    </w:p>
  </w:footnote>
  <w:footnote w:type="continuationSeparator" w:id="0">
    <w:p w14:paraId="71B92086" w14:textId="77777777" w:rsidR="002F0109" w:rsidRDefault="002F0109"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F21C7"/>
    <w:multiLevelType w:val="hybridMultilevel"/>
    <w:tmpl w:val="935235EC"/>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8"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16cid:durableId="549848645">
    <w:abstractNumId w:val="21"/>
  </w:num>
  <w:num w:numId="2" w16cid:durableId="1160000152">
    <w:abstractNumId w:val="7"/>
  </w:num>
  <w:num w:numId="3" w16cid:durableId="237325938">
    <w:abstractNumId w:val="18"/>
  </w:num>
  <w:num w:numId="4" w16cid:durableId="877619502">
    <w:abstractNumId w:val="26"/>
  </w:num>
  <w:num w:numId="5" w16cid:durableId="450783834">
    <w:abstractNumId w:val="5"/>
  </w:num>
  <w:num w:numId="6" w16cid:durableId="1949848046">
    <w:abstractNumId w:val="15"/>
  </w:num>
  <w:num w:numId="7" w16cid:durableId="794953673">
    <w:abstractNumId w:val="22"/>
  </w:num>
  <w:num w:numId="8" w16cid:durableId="550504461">
    <w:abstractNumId w:val="11"/>
  </w:num>
  <w:num w:numId="9" w16cid:durableId="814957036">
    <w:abstractNumId w:val="19"/>
  </w:num>
  <w:num w:numId="10" w16cid:durableId="1060132803">
    <w:abstractNumId w:val="17"/>
  </w:num>
  <w:num w:numId="11" w16cid:durableId="328480282">
    <w:abstractNumId w:val="2"/>
  </w:num>
  <w:num w:numId="12" w16cid:durableId="420562812">
    <w:abstractNumId w:val="16"/>
  </w:num>
  <w:num w:numId="13" w16cid:durableId="113794170">
    <w:abstractNumId w:val="14"/>
  </w:num>
  <w:num w:numId="14" w16cid:durableId="211696787">
    <w:abstractNumId w:val="6"/>
  </w:num>
  <w:num w:numId="15" w16cid:durableId="149373179">
    <w:abstractNumId w:val="9"/>
  </w:num>
  <w:num w:numId="16" w16cid:durableId="831024797">
    <w:abstractNumId w:val="13"/>
  </w:num>
  <w:num w:numId="17" w16cid:durableId="1999578242">
    <w:abstractNumId w:val="10"/>
  </w:num>
  <w:num w:numId="18" w16cid:durableId="900288414">
    <w:abstractNumId w:val="23"/>
  </w:num>
  <w:num w:numId="19" w16cid:durableId="2069450643">
    <w:abstractNumId w:val="24"/>
  </w:num>
  <w:num w:numId="20" w16cid:durableId="1467817190">
    <w:abstractNumId w:val="0"/>
  </w:num>
  <w:num w:numId="21" w16cid:durableId="933704636">
    <w:abstractNumId w:val="25"/>
  </w:num>
  <w:num w:numId="22" w16cid:durableId="825247191">
    <w:abstractNumId w:val="12"/>
  </w:num>
  <w:num w:numId="23" w16cid:durableId="1318151273">
    <w:abstractNumId w:val="4"/>
  </w:num>
  <w:num w:numId="24" w16cid:durableId="1715815210">
    <w:abstractNumId w:val="8"/>
  </w:num>
  <w:num w:numId="25" w16cid:durableId="249431181">
    <w:abstractNumId w:val="20"/>
  </w:num>
  <w:num w:numId="26" w16cid:durableId="1765105653">
    <w:abstractNumId w:val="3"/>
  </w:num>
  <w:num w:numId="27" w16cid:durableId="1313873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B09"/>
    <w:rsid w:val="0000688E"/>
    <w:rsid w:val="000258EC"/>
    <w:rsid w:val="0007541B"/>
    <w:rsid w:val="00095877"/>
    <w:rsid w:val="000A3039"/>
    <w:rsid w:val="000D0A6D"/>
    <w:rsid w:val="000D4F42"/>
    <w:rsid w:val="000E572D"/>
    <w:rsid w:val="000F61AE"/>
    <w:rsid w:val="00181CFC"/>
    <w:rsid w:val="001A47F3"/>
    <w:rsid w:val="001A4BD7"/>
    <w:rsid w:val="001D05A6"/>
    <w:rsid w:val="001E42DC"/>
    <w:rsid w:val="001E5372"/>
    <w:rsid w:val="001E7877"/>
    <w:rsid w:val="001F6D11"/>
    <w:rsid w:val="00242B06"/>
    <w:rsid w:val="002566EE"/>
    <w:rsid w:val="0026418A"/>
    <w:rsid w:val="0026601F"/>
    <w:rsid w:val="00271EF4"/>
    <w:rsid w:val="002A1AD9"/>
    <w:rsid w:val="002C3EAE"/>
    <w:rsid w:val="002C432E"/>
    <w:rsid w:val="002F0109"/>
    <w:rsid w:val="00327F5C"/>
    <w:rsid w:val="00365C63"/>
    <w:rsid w:val="00376EC3"/>
    <w:rsid w:val="003A76AA"/>
    <w:rsid w:val="003D6DF0"/>
    <w:rsid w:val="003E580B"/>
    <w:rsid w:val="003F3F55"/>
    <w:rsid w:val="00400BF5"/>
    <w:rsid w:val="00404958"/>
    <w:rsid w:val="00412020"/>
    <w:rsid w:val="00417ECC"/>
    <w:rsid w:val="004234B8"/>
    <w:rsid w:val="004301C0"/>
    <w:rsid w:val="00435CD1"/>
    <w:rsid w:val="0044272B"/>
    <w:rsid w:val="00446BFB"/>
    <w:rsid w:val="00475146"/>
    <w:rsid w:val="00485C86"/>
    <w:rsid w:val="004A50A0"/>
    <w:rsid w:val="004C55A6"/>
    <w:rsid w:val="004D6620"/>
    <w:rsid w:val="00510BB5"/>
    <w:rsid w:val="005307A3"/>
    <w:rsid w:val="0054103B"/>
    <w:rsid w:val="00551F6E"/>
    <w:rsid w:val="005546F6"/>
    <w:rsid w:val="00561DF2"/>
    <w:rsid w:val="00565742"/>
    <w:rsid w:val="005A206D"/>
    <w:rsid w:val="005A2673"/>
    <w:rsid w:val="005A3BFB"/>
    <w:rsid w:val="005B3950"/>
    <w:rsid w:val="005C60D2"/>
    <w:rsid w:val="005D72B3"/>
    <w:rsid w:val="005E6505"/>
    <w:rsid w:val="005F7331"/>
    <w:rsid w:val="00602BDD"/>
    <w:rsid w:val="0061105C"/>
    <w:rsid w:val="00622B20"/>
    <w:rsid w:val="00640F2B"/>
    <w:rsid w:val="00653B15"/>
    <w:rsid w:val="006B0053"/>
    <w:rsid w:val="006C38A9"/>
    <w:rsid w:val="006D11C7"/>
    <w:rsid w:val="006F229B"/>
    <w:rsid w:val="007309F6"/>
    <w:rsid w:val="00742729"/>
    <w:rsid w:val="00745B66"/>
    <w:rsid w:val="00751F60"/>
    <w:rsid w:val="00774E8B"/>
    <w:rsid w:val="007C26D2"/>
    <w:rsid w:val="007D376C"/>
    <w:rsid w:val="007E3F08"/>
    <w:rsid w:val="007F102F"/>
    <w:rsid w:val="007F2A1C"/>
    <w:rsid w:val="008115BD"/>
    <w:rsid w:val="00812786"/>
    <w:rsid w:val="00825317"/>
    <w:rsid w:val="00826055"/>
    <w:rsid w:val="00826CDF"/>
    <w:rsid w:val="00841791"/>
    <w:rsid w:val="0084226A"/>
    <w:rsid w:val="008452D8"/>
    <w:rsid w:val="00887827"/>
    <w:rsid w:val="008E1321"/>
    <w:rsid w:val="008F1280"/>
    <w:rsid w:val="00935243"/>
    <w:rsid w:val="009611CA"/>
    <w:rsid w:val="00976399"/>
    <w:rsid w:val="009C19FF"/>
    <w:rsid w:val="009E1A90"/>
    <w:rsid w:val="009E1EAB"/>
    <w:rsid w:val="009E5917"/>
    <w:rsid w:val="009E7171"/>
    <w:rsid w:val="009F5AC8"/>
    <w:rsid w:val="00A04DDA"/>
    <w:rsid w:val="00A26161"/>
    <w:rsid w:val="00A6041B"/>
    <w:rsid w:val="00A87750"/>
    <w:rsid w:val="00AA0340"/>
    <w:rsid w:val="00AC73A8"/>
    <w:rsid w:val="00AD229B"/>
    <w:rsid w:val="00AF22F3"/>
    <w:rsid w:val="00AF7167"/>
    <w:rsid w:val="00B2528C"/>
    <w:rsid w:val="00B43D97"/>
    <w:rsid w:val="00B65138"/>
    <w:rsid w:val="00B82E11"/>
    <w:rsid w:val="00B85765"/>
    <w:rsid w:val="00B9077A"/>
    <w:rsid w:val="00B924D1"/>
    <w:rsid w:val="00B95610"/>
    <w:rsid w:val="00B957EF"/>
    <w:rsid w:val="00B95CFC"/>
    <w:rsid w:val="00C13522"/>
    <w:rsid w:val="00C32518"/>
    <w:rsid w:val="00C4420E"/>
    <w:rsid w:val="00C46AC6"/>
    <w:rsid w:val="00C526A0"/>
    <w:rsid w:val="00C55E57"/>
    <w:rsid w:val="00C63344"/>
    <w:rsid w:val="00C71228"/>
    <w:rsid w:val="00C72BBC"/>
    <w:rsid w:val="00C95C7C"/>
    <w:rsid w:val="00CA315C"/>
    <w:rsid w:val="00CA3537"/>
    <w:rsid w:val="00CA56E5"/>
    <w:rsid w:val="00CB1896"/>
    <w:rsid w:val="00CC5D89"/>
    <w:rsid w:val="00CC6219"/>
    <w:rsid w:val="00CD61BA"/>
    <w:rsid w:val="00CE2EC5"/>
    <w:rsid w:val="00CE4F81"/>
    <w:rsid w:val="00CF3B4B"/>
    <w:rsid w:val="00CF5329"/>
    <w:rsid w:val="00D139FB"/>
    <w:rsid w:val="00D169A2"/>
    <w:rsid w:val="00D32772"/>
    <w:rsid w:val="00D50345"/>
    <w:rsid w:val="00D52C7C"/>
    <w:rsid w:val="00D62DA1"/>
    <w:rsid w:val="00D708D8"/>
    <w:rsid w:val="00D73168"/>
    <w:rsid w:val="00D73B58"/>
    <w:rsid w:val="00D81006"/>
    <w:rsid w:val="00D95CA7"/>
    <w:rsid w:val="00DB75FB"/>
    <w:rsid w:val="00DD0A09"/>
    <w:rsid w:val="00DE11BD"/>
    <w:rsid w:val="00DE309F"/>
    <w:rsid w:val="00DF233C"/>
    <w:rsid w:val="00E145AB"/>
    <w:rsid w:val="00E17380"/>
    <w:rsid w:val="00E4455E"/>
    <w:rsid w:val="00E471FC"/>
    <w:rsid w:val="00E679B9"/>
    <w:rsid w:val="00E815E6"/>
    <w:rsid w:val="00E8583B"/>
    <w:rsid w:val="00E85D8F"/>
    <w:rsid w:val="00E86C10"/>
    <w:rsid w:val="00E937BD"/>
    <w:rsid w:val="00E96398"/>
    <w:rsid w:val="00EB0911"/>
    <w:rsid w:val="00EF45C2"/>
    <w:rsid w:val="00F257A9"/>
    <w:rsid w:val="00F3444A"/>
    <w:rsid w:val="00F379F9"/>
    <w:rsid w:val="00F410FD"/>
    <w:rsid w:val="00F427D3"/>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DA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paragraph" w:customStyle="1" w:styleId="Default">
    <w:name w:val="Default"/>
    <w:rsid w:val="00A04D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278C-517E-41BB-81A9-2542AB29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4046</Words>
  <Characters>23878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2023-10-26T10:20:00Z</dcterms:created>
  <dcterms:modified xsi:type="dcterms:W3CDTF">2023-10-26T12:12:00Z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91b42f-c435-42ca-9531-75a3f42aae3d_Enabled">
    <vt:lpwstr>true</vt:lpwstr>
  </property>
  <property fmtid="{D5CDD505-2E9C-101B-9397-08002B2CF9AE}" pid="3" name="MSIP_Label_4791b42f-c435-42ca-9531-75a3f42aae3d_SetDate">
    <vt:lpwstr>2023-10-26T12:11:59Z</vt:lpwstr>
  </property>
  <property fmtid="{D5CDD505-2E9C-101B-9397-08002B2CF9AE}" pid="4" name="MSIP_Label_4791b42f-c435-42ca-9531-75a3f42aae3d_Method">
    <vt:lpwstr>Privileged</vt:lpwstr>
  </property>
  <property fmtid="{D5CDD505-2E9C-101B-9397-08002B2CF9AE}" pid="5" name="MSIP_Label_4791b42f-c435-42ca-9531-75a3f42aae3d_Name">
    <vt:lpwstr>4791b42f-c435-42ca-9531-75a3f42aae3d</vt:lpwstr>
  </property>
  <property fmtid="{D5CDD505-2E9C-101B-9397-08002B2CF9AE}" pid="6" name="MSIP_Label_4791b42f-c435-42ca-9531-75a3f42aae3d_SiteId">
    <vt:lpwstr>7a916015-20ae-4ad1-9170-eefd915e9272</vt:lpwstr>
  </property>
  <property fmtid="{D5CDD505-2E9C-101B-9397-08002B2CF9AE}" pid="7" name="MSIP_Label_4791b42f-c435-42ca-9531-75a3f42aae3d_ActionId">
    <vt:lpwstr>c155529f-17ca-4e84-b474-90082716f0e5</vt:lpwstr>
  </property>
  <property fmtid="{D5CDD505-2E9C-101B-9397-08002B2CF9AE}" pid="8" name="MSIP_Label_4791b42f-c435-42ca-9531-75a3f42aae3d_ContentBits">
    <vt:lpwstr>0</vt:lpwstr>
  </property>
</Properties>
</file>