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2F0F77" w14:textId="77777777" w:rsidR="00E43522" w:rsidRDefault="00E43522" w:rsidP="00B046CA">
      <w:pPr>
        <w:pStyle w:val="1start"/>
      </w:pPr>
    </w:p>
    <w:p w14:paraId="5FBFB084" w14:textId="4D7C4B8E" w:rsidR="00E43522" w:rsidRPr="00B046CA" w:rsidRDefault="00E43522" w:rsidP="00B046CA">
      <w:pPr>
        <w:pStyle w:val="1start"/>
      </w:pPr>
    </w:p>
    <w:p w14:paraId="0B7EB832" w14:textId="77777777" w:rsidR="00DC2239" w:rsidRDefault="0063788F">
      <w:pPr>
        <w:pStyle w:val="Body5"/>
      </w:pPr>
      <w:r>
        <w:t>Smlouva o provedení auditu</w:t>
      </w:r>
    </w:p>
    <w:p w14:paraId="176D1B2D" w14:textId="41E8F395" w:rsidR="00DC2239" w:rsidRDefault="0063788F">
      <w:pPr>
        <w:pStyle w:val="Body5"/>
      </w:pPr>
      <w:r>
        <w:t xml:space="preserve">č. </w:t>
      </w:r>
      <w:r w:rsidR="00FB2B1F" w:rsidRPr="00FB2B1F">
        <w:t>32026740.A308</w:t>
      </w:r>
      <w:r>
        <w:t>/2023</w:t>
      </w:r>
    </w:p>
    <w:p w14:paraId="4FB84BFD" w14:textId="77777777" w:rsidR="00DC2239" w:rsidRDefault="0063788F">
      <w:pPr>
        <w:pStyle w:val="Body3"/>
        <w:spacing w:before="300"/>
        <w:jc w:val="center"/>
      </w:pPr>
      <w:r>
        <w:t>uzavřená na základě ustanovení § 1746 odst. 2 zákona č. 89/2012 sb., občanského zákoníku a v souladu se zákonem č. 93/2009 Sb., o auditorech, Mezinárodními standardy auditu ISA a souvisejícími aplikačními doložkami Komory auditorů České republiky („</w:t>
      </w:r>
      <w:r>
        <w:rPr>
          <w:b/>
          <w:bCs/>
        </w:rPr>
        <w:t>Smlouva</w:t>
      </w:r>
      <w:r>
        <w:t>“)</w:t>
      </w:r>
    </w:p>
    <w:p w14:paraId="6C47FD0D" w14:textId="77777777" w:rsidR="00DC2239" w:rsidRDefault="0063788F">
      <w:pPr>
        <w:pStyle w:val="Body3"/>
        <w:jc w:val="center"/>
        <w:rPr>
          <w:b/>
          <w:bCs/>
        </w:rPr>
      </w:pPr>
      <w:r>
        <w:rPr>
          <w:b/>
          <w:bCs/>
        </w:rPr>
        <w:t>mezi</w:t>
      </w:r>
    </w:p>
    <w:p w14:paraId="20C3DB41" w14:textId="77777777" w:rsidR="00DC2239" w:rsidRDefault="0063788F">
      <w:pPr>
        <w:pStyle w:val="spolecnosti"/>
        <w:jc w:val="center"/>
      </w:pPr>
      <w:r>
        <w:t>Brněnské vodárny a kanalizace, a.s.</w:t>
      </w:r>
    </w:p>
    <w:p w14:paraId="14BF0616" w14:textId="6D955A3D" w:rsidR="00DC2239" w:rsidRDefault="0063788F">
      <w:pPr>
        <w:pStyle w:val="spolecnosti"/>
        <w:jc w:val="center"/>
      </w:pPr>
      <w:r>
        <w:t xml:space="preserve">se sídlem Pisárecká 555/1a, </w:t>
      </w:r>
      <w:r w:rsidR="00E5200F">
        <w:t xml:space="preserve">Pisárky, </w:t>
      </w:r>
      <w:r>
        <w:t>Brno 60300, Česká republika,</w:t>
      </w:r>
    </w:p>
    <w:p w14:paraId="7F5939AD" w14:textId="77777777" w:rsidR="00DC2239" w:rsidRDefault="0063788F">
      <w:pPr>
        <w:pStyle w:val="spolecnosti"/>
        <w:jc w:val="center"/>
      </w:pPr>
      <w:r>
        <w:t>IČO 46347275,</w:t>
      </w:r>
    </w:p>
    <w:p w14:paraId="1D06B130" w14:textId="77777777" w:rsidR="00DC2239" w:rsidRDefault="0063788F">
      <w:pPr>
        <w:pStyle w:val="spolecnosti"/>
        <w:jc w:val="center"/>
      </w:pPr>
      <w:r>
        <w:t>zapsaná v obchodním rejstříku, který vede Krajský soud v Brně, B 783,</w:t>
      </w:r>
    </w:p>
    <w:p w14:paraId="24C84459" w14:textId="77777777" w:rsidR="00DC2239" w:rsidRDefault="0063788F">
      <w:pPr>
        <w:pStyle w:val="spolecnosti"/>
        <w:jc w:val="center"/>
      </w:pPr>
      <w:r>
        <w:t>(dále jen „</w:t>
      </w:r>
      <w:r>
        <w:rPr>
          <w:b/>
          <w:bCs/>
        </w:rPr>
        <w:t>Společnost</w:t>
      </w:r>
      <w:r>
        <w:t>“),</w:t>
      </w:r>
    </w:p>
    <w:p w14:paraId="31F2CFDE" w14:textId="649EADD7" w:rsidR="00DC2239" w:rsidRDefault="0063788F">
      <w:pPr>
        <w:pStyle w:val="spolecnosti"/>
        <w:jc w:val="center"/>
      </w:pPr>
      <w:r>
        <w:t xml:space="preserve">kterou zastupuje </w:t>
      </w:r>
      <w:r w:rsidR="00CC4CDC">
        <w:t>XXX</w:t>
      </w:r>
    </w:p>
    <w:p w14:paraId="34A92983" w14:textId="77777777" w:rsidR="00DC2239" w:rsidRDefault="0063788F">
      <w:pPr>
        <w:pStyle w:val="Body3"/>
        <w:jc w:val="center"/>
        <w:rPr>
          <w:b/>
          <w:bCs/>
        </w:rPr>
      </w:pPr>
      <w:r>
        <w:rPr>
          <w:b/>
          <w:bCs/>
        </w:rPr>
        <w:t>a</w:t>
      </w:r>
    </w:p>
    <w:p w14:paraId="58AA4D9F" w14:textId="77777777" w:rsidR="00DC2239" w:rsidRDefault="0063788F">
      <w:pPr>
        <w:pStyle w:val="spolecnosti"/>
        <w:jc w:val="center"/>
      </w:pPr>
      <w:proofErr w:type="spellStart"/>
      <w:r>
        <w:t>PricewaterhouseCoopers</w:t>
      </w:r>
      <w:proofErr w:type="spellEnd"/>
      <w:r>
        <w:t xml:space="preserve"> Audit, s.r.o.</w:t>
      </w:r>
    </w:p>
    <w:p w14:paraId="1870AE19" w14:textId="77777777" w:rsidR="00DC2239" w:rsidRDefault="0063788F">
      <w:pPr>
        <w:pStyle w:val="spolecnosti"/>
        <w:jc w:val="center"/>
      </w:pPr>
      <w:r>
        <w:t>se sídlem Hvězdova 1734/2c, 14000 Praha 4,</w:t>
      </w:r>
    </w:p>
    <w:p w14:paraId="35D3A6AF" w14:textId="77777777" w:rsidR="00DC2239" w:rsidRDefault="0063788F">
      <w:pPr>
        <w:pStyle w:val="spolecnosti"/>
        <w:jc w:val="center"/>
      </w:pPr>
      <w:r>
        <w:t>IČO 40765521,</w:t>
      </w:r>
    </w:p>
    <w:p w14:paraId="13AE6ADB" w14:textId="77777777" w:rsidR="00DC2239" w:rsidRDefault="0063788F">
      <w:pPr>
        <w:pStyle w:val="spolecnosti"/>
        <w:jc w:val="center"/>
      </w:pPr>
      <w:r>
        <w:t>zapsaná v obchodním rejstříku vedeném Městským soudem v Praze,</w:t>
      </w:r>
    </w:p>
    <w:p w14:paraId="254620E3" w14:textId="77777777" w:rsidR="00DC2239" w:rsidRDefault="0063788F">
      <w:pPr>
        <w:pStyle w:val="spolecnosti"/>
        <w:jc w:val="center"/>
      </w:pPr>
      <w:r>
        <w:t>oddíl C, vložka 3637,</w:t>
      </w:r>
    </w:p>
    <w:p w14:paraId="0E686954" w14:textId="77777777" w:rsidR="00DC2239" w:rsidRDefault="0063788F">
      <w:pPr>
        <w:pStyle w:val="spolecnosti"/>
        <w:jc w:val="center"/>
      </w:pPr>
      <w:r>
        <w:t>(dále jen „</w:t>
      </w:r>
      <w:r>
        <w:rPr>
          <w:b/>
          <w:bCs/>
        </w:rPr>
        <w:t>Auditor</w:t>
      </w:r>
      <w:r>
        <w:t>“),</w:t>
      </w:r>
    </w:p>
    <w:p w14:paraId="569D6C38" w14:textId="63FA5E49" w:rsidR="00DC2239" w:rsidRDefault="0063788F">
      <w:pPr>
        <w:pStyle w:val="spolecnosti"/>
        <w:jc w:val="center"/>
      </w:pPr>
      <w:r>
        <w:t xml:space="preserve">kterou zastupuje </w:t>
      </w:r>
      <w:r w:rsidR="00CC4CDC">
        <w:t>XXX</w:t>
      </w:r>
    </w:p>
    <w:p w14:paraId="704D7CBA" w14:textId="77777777" w:rsidR="00DC2239" w:rsidRDefault="0063788F">
      <w:pPr>
        <w:pStyle w:val="Body3"/>
        <w:jc w:val="center"/>
      </w:pPr>
      <w:r>
        <w:t>(Společnost a Auditor společně též jako „</w:t>
      </w:r>
      <w:r>
        <w:rPr>
          <w:b/>
          <w:bCs/>
        </w:rPr>
        <w:t>smluvní strany</w:t>
      </w:r>
      <w:r>
        <w:t>“.)</w:t>
      </w:r>
    </w:p>
    <w:p w14:paraId="67B6EA59" w14:textId="77777777" w:rsidR="00DC2239" w:rsidRDefault="0063788F">
      <w:r>
        <w:br w:type="page"/>
      </w:r>
    </w:p>
    <w:p w14:paraId="6F493F0E" w14:textId="77777777" w:rsidR="00DC2239" w:rsidRDefault="0063788F">
      <w:pPr>
        <w:pStyle w:val="Body1"/>
        <w:spacing w:before="225"/>
        <w:jc w:val="center"/>
      </w:pPr>
      <w:r>
        <w:lastRenderedPageBreak/>
        <w:t>Článek I</w:t>
      </w:r>
    </w:p>
    <w:p w14:paraId="6804FD69" w14:textId="77777777" w:rsidR="00DC2239" w:rsidRDefault="0063788F">
      <w:pPr>
        <w:pStyle w:val="Body1"/>
        <w:jc w:val="center"/>
      </w:pPr>
      <w:r>
        <w:t>Předmět Smlouvy</w:t>
      </w:r>
    </w:p>
    <w:p w14:paraId="227A92C4" w14:textId="77777777" w:rsidR="00DC2239" w:rsidRDefault="0063788F">
      <w:pPr>
        <w:pStyle w:val="Level2"/>
        <w:numPr>
          <w:ilvl w:val="1"/>
          <w:numId w:val="25"/>
        </w:numPr>
        <w:outlineLvl w:val="2"/>
      </w:pPr>
      <w:bookmarkStart w:id="0" w:name="bookmark-name-272_122142715"/>
      <w:bookmarkEnd w:id="0"/>
      <w:proofErr w:type="spellStart"/>
      <w:r>
        <w:t>Předmětem</w:t>
      </w:r>
      <w:proofErr w:type="spellEnd"/>
      <w:r>
        <w:t xml:space="preserve"> </w:t>
      </w:r>
      <w:proofErr w:type="spellStart"/>
      <w:r>
        <w:t>Smlouvy</w:t>
      </w:r>
      <w:proofErr w:type="spellEnd"/>
      <w:r>
        <w:t xml:space="preserve"> je </w:t>
      </w:r>
      <w:proofErr w:type="spellStart"/>
      <w:r>
        <w:t>závazek</w:t>
      </w:r>
      <w:proofErr w:type="spellEnd"/>
      <w:r>
        <w:t xml:space="preserve"> </w:t>
      </w:r>
      <w:proofErr w:type="spellStart"/>
      <w:r>
        <w:t>Auditora</w:t>
      </w:r>
      <w:proofErr w:type="spellEnd"/>
      <w:r>
        <w:t xml:space="preserve"> k </w:t>
      </w:r>
      <w:proofErr w:type="spellStart"/>
      <w:r>
        <w:t>provedení</w:t>
      </w:r>
      <w:proofErr w:type="spellEnd"/>
      <w:r>
        <w:t xml:space="preserve"> </w:t>
      </w:r>
      <w:proofErr w:type="spellStart"/>
      <w:r>
        <w:t>níže</w:t>
      </w:r>
      <w:proofErr w:type="spellEnd"/>
      <w:r>
        <w:t xml:space="preserve"> </w:t>
      </w:r>
      <w:proofErr w:type="spellStart"/>
      <w:r>
        <w:t>uvedených</w:t>
      </w:r>
      <w:proofErr w:type="spellEnd"/>
      <w:r>
        <w:t xml:space="preserve"> </w:t>
      </w:r>
      <w:proofErr w:type="spellStart"/>
      <w:r>
        <w:t>činností</w:t>
      </w:r>
      <w:proofErr w:type="spellEnd"/>
      <w:r>
        <w:t xml:space="preserve"> a </w:t>
      </w:r>
      <w:proofErr w:type="spellStart"/>
      <w:r>
        <w:t>závazek</w:t>
      </w:r>
      <w:proofErr w:type="spellEnd"/>
      <w:r>
        <w:t xml:space="preserve"> </w:t>
      </w:r>
      <w:proofErr w:type="spellStart"/>
      <w:r>
        <w:t>Společnosti</w:t>
      </w:r>
      <w:proofErr w:type="spellEnd"/>
      <w:r>
        <w:t xml:space="preserve"> </w:t>
      </w:r>
      <w:proofErr w:type="spellStart"/>
      <w:r>
        <w:t>uhradit</w:t>
      </w:r>
      <w:proofErr w:type="spellEnd"/>
      <w:r>
        <w:t xml:space="preserve"> </w:t>
      </w:r>
      <w:proofErr w:type="spellStart"/>
      <w:r>
        <w:t>Auditorovi</w:t>
      </w:r>
      <w:proofErr w:type="spellEnd"/>
      <w:r>
        <w:t xml:space="preserve"> </w:t>
      </w:r>
      <w:proofErr w:type="spellStart"/>
      <w:r>
        <w:t>smluvenou</w:t>
      </w:r>
      <w:proofErr w:type="spellEnd"/>
      <w:r>
        <w:t xml:space="preserve"> </w:t>
      </w:r>
      <w:proofErr w:type="spellStart"/>
      <w:r>
        <w:t>odměnu</w:t>
      </w:r>
      <w:proofErr w:type="spellEnd"/>
      <w:r>
        <w:t xml:space="preserve">, </w:t>
      </w:r>
      <w:proofErr w:type="spellStart"/>
      <w:r>
        <w:t>poskytnout</w:t>
      </w:r>
      <w:proofErr w:type="spellEnd"/>
      <w:r>
        <w:t xml:space="preserve"> </w:t>
      </w:r>
      <w:proofErr w:type="spellStart"/>
      <w:r>
        <w:t>součinnost</w:t>
      </w:r>
      <w:proofErr w:type="spellEnd"/>
      <w:r>
        <w:t xml:space="preserve"> </w:t>
      </w:r>
      <w:proofErr w:type="spellStart"/>
      <w:r>
        <w:t>při</w:t>
      </w:r>
      <w:proofErr w:type="spellEnd"/>
      <w:r>
        <w:t xml:space="preserve"> </w:t>
      </w:r>
      <w:proofErr w:type="spellStart"/>
      <w:r>
        <w:t>provádění</w:t>
      </w:r>
      <w:proofErr w:type="spellEnd"/>
      <w:r>
        <w:t xml:space="preserve"> </w:t>
      </w:r>
      <w:proofErr w:type="spellStart"/>
      <w:r>
        <w:t>služeb</w:t>
      </w:r>
      <w:proofErr w:type="spellEnd"/>
      <w:r>
        <w:t xml:space="preserve"> a </w:t>
      </w:r>
      <w:proofErr w:type="spellStart"/>
      <w:r>
        <w:t>převzít</w:t>
      </w:r>
      <w:proofErr w:type="spellEnd"/>
      <w:r>
        <w:t xml:space="preserve"> </w:t>
      </w:r>
      <w:proofErr w:type="spellStart"/>
      <w:r>
        <w:t>písemnou</w:t>
      </w:r>
      <w:proofErr w:type="spellEnd"/>
      <w:r>
        <w:t xml:space="preserve"> </w:t>
      </w:r>
      <w:proofErr w:type="spellStart"/>
      <w:r>
        <w:t>zprávu</w:t>
      </w:r>
      <w:proofErr w:type="spellEnd"/>
      <w:r>
        <w:t xml:space="preserve">. Auditor </w:t>
      </w:r>
      <w:proofErr w:type="spellStart"/>
      <w:r>
        <w:t>tímto</w:t>
      </w:r>
      <w:proofErr w:type="spellEnd"/>
      <w:r>
        <w:t xml:space="preserve"> </w:t>
      </w:r>
      <w:proofErr w:type="spellStart"/>
      <w:r>
        <w:t>souhlasí</w:t>
      </w:r>
      <w:proofErr w:type="spellEnd"/>
      <w:r>
        <w:t xml:space="preserve">, </w:t>
      </w:r>
      <w:proofErr w:type="spellStart"/>
      <w:r>
        <w:t>že</w:t>
      </w:r>
      <w:proofErr w:type="spellEnd"/>
      <w:r>
        <w:t> </w:t>
      </w:r>
      <w:proofErr w:type="spellStart"/>
      <w:r>
        <w:t>poskytne</w:t>
      </w:r>
      <w:proofErr w:type="spellEnd"/>
      <w:r>
        <w:t> </w:t>
      </w:r>
      <w:proofErr w:type="spellStart"/>
      <w:r>
        <w:t>Společnosti</w:t>
      </w:r>
      <w:proofErr w:type="spellEnd"/>
      <w:r>
        <w:t xml:space="preserve"> </w:t>
      </w:r>
      <w:proofErr w:type="spellStart"/>
      <w:r>
        <w:t>následující</w:t>
      </w:r>
      <w:proofErr w:type="spellEnd"/>
      <w:r>
        <w:t xml:space="preserve"> </w:t>
      </w:r>
      <w:proofErr w:type="spellStart"/>
      <w:r>
        <w:t>služby</w:t>
      </w:r>
      <w:proofErr w:type="spellEnd"/>
      <w:r>
        <w:t>:</w:t>
      </w:r>
    </w:p>
    <w:p w14:paraId="535D3913" w14:textId="709EE207" w:rsidR="00DC2239" w:rsidRDefault="0063788F">
      <w:pPr>
        <w:pStyle w:val="Level3"/>
        <w:numPr>
          <w:ilvl w:val="0"/>
          <w:numId w:val="26"/>
        </w:numPr>
        <w:outlineLvl w:val="3"/>
      </w:pPr>
      <w:bookmarkStart w:id="1" w:name="bookmark-name-280_122142723"/>
      <w:bookmarkEnd w:id="1"/>
      <w:r>
        <w:t xml:space="preserve">V </w:t>
      </w:r>
      <w:proofErr w:type="spellStart"/>
      <w:r>
        <w:t>souladu</w:t>
      </w:r>
      <w:proofErr w:type="spellEnd"/>
      <w:r>
        <w:t xml:space="preserve"> se </w:t>
      </w:r>
      <w:proofErr w:type="spellStart"/>
      <w:r>
        <w:t>zákonem</w:t>
      </w:r>
      <w:proofErr w:type="spellEnd"/>
      <w:r>
        <w:t xml:space="preserve"> o </w:t>
      </w:r>
      <w:proofErr w:type="spellStart"/>
      <w:r>
        <w:t>auditorech</w:t>
      </w:r>
      <w:proofErr w:type="spellEnd"/>
      <w:r>
        <w:t xml:space="preserve">, </w:t>
      </w:r>
      <w:proofErr w:type="spellStart"/>
      <w:r>
        <w:t>Mezinárodními</w:t>
      </w:r>
      <w:proofErr w:type="spellEnd"/>
      <w:r>
        <w:t xml:space="preserve"> </w:t>
      </w:r>
      <w:proofErr w:type="spellStart"/>
      <w:r>
        <w:t>standardy</w:t>
      </w:r>
      <w:proofErr w:type="spellEnd"/>
      <w:r>
        <w:t xml:space="preserve"> </w:t>
      </w:r>
      <w:proofErr w:type="spellStart"/>
      <w:r>
        <w:t>auditu</w:t>
      </w:r>
      <w:proofErr w:type="spellEnd"/>
      <w:r>
        <w:t xml:space="preserve"> a </w:t>
      </w:r>
      <w:proofErr w:type="spellStart"/>
      <w:r>
        <w:t>souvisejícími</w:t>
      </w:r>
      <w:proofErr w:type="spellEnd"/>
      <w:r>
        <w:t xml:space="preserve"> </w:t>
      </w:r>
      <w:proofErr w:type="spellStart"/>
      <w:r>
        <w:t>aplikačními</w:t>
      </w:r>
      <w:proofErr w:type="spellEnd"/>
      <w:r>
        <w:t xml:space="preserve"> </w:t>
      </w:r>
      <w:proofErr w:type="spellStart"/>
      <w:r>
        <w:t>doložkami</w:t>
      </w:r>
      <w:proofErr w:type="spellEnd"/>
      <w:r>
        <w:t xml:space="preserve"> </w:t>
      </w:r>
      <w:proofErr w:type="spellStart"/>
      <w:r>
        <w:t>Komory</w:t>
      </w:r>
      <w:proofErr w:type="spellEnd"/>
      <w:r>
        <w:t xml:space="preserve"> </w:t>
      </w:r>
      <w:proofErr w:type="spellStart"/>
      <w:r>
        <w:t>auditorů</w:t>
      </w:r>
      <w:proofErr w:type="spellEnd"/>
      <w:r>
        <w:t xml:space="preserve"> </w:t>
      </w:r>
      <w:proofErr w:type="spellStart"/>
      <w:r>
        <w:t>České</w:t>
      </w:r>
      <w:proofErr w:type="spellEnd"/>
      <w:r>
        <w:t> </w:t>
      </w:r>
      <w:proofErr w:type="spellStart"/>
      <w:r>
        <w:t>republiky</w:t>
      </w:r>
      <w:proofErr w:type="spellEnd"/>
      <w:r>
        <w:t xml:space="preserve"> </w:t>
      </w:r>
      <w:proofErr w:type="spellStart"/>
      <w:r>
        <w:t>provede</w:t>
      </w:r>
      <w:proofErr w:type="spellEnd"/>
      <w:r>
        <w:t xml:space="preserve"> audit </w:t>
      </w:r>
      <w:proofErr w:type="spellStart"/>
      <w:r>
        <w:t>účetní</w:t>
      </w:r>
      <w:proofErr w:type="spellEnd"/>
      <w:r>
        <w:t xml:space="preserve"> </w:t>
      </w:r>
      <w:proofErr w:type="spellStart"/>
      <w:r>
        <w:t>závěrky</w:t>
      </w:r>
      <w:proofErr w:type="spellEnd"/>
      <w:r>
        <w:t xml:space="preserve"> </w:t>
      </w:r>
      <w:proofErr w:type="spellStart"/>
      <w:r>
        <w:t>Společnosti</w:t>
      </w:r>
      <w:proofErr w:type="spellEnd"/>
      <w:r>
        <w:t xml:space="preserve"> </w:t>
      </w:r>
      <w:proofErr w:type="spellStart"/>
      <w:r>
        <w:t>za</w:t>
      </w:r>
      <w:proofErr w:type="spellEnd"/>
      <w:r>
        <w:t xml:space="preserve"> </w:t>
      </w:r>
      <w:proofErr w:type="spellStart"/>
      <w:r>
        <w:t>rok</w:t>
      </w:r>
      <w:r w:rsidR="00E02E63">
        <w:t>y</w:t>
      </w:r>
      <w:proofErr w:type="spellEnd"/>
      <w:r>
        <w:t xml:space="preserve"> </w:t>
      </w:r>
      <w:proofErr w:type="spellStart"/>
      <w:r>
        <w:t>končící</w:t>
      </w:r>
      <w:proofErr w:type="spellEnd"/>
      <w:r>
        <w:t xml:space="preserve"> 31. </w:t>
      </w:r>
      <w:proofErr w:type="spellStart"/>
      <w:proofErr w:type="gramStart"/>
      <w:r>
        <w:t>prosince</w:t>
      </w:r>
      <w:proofErr w:type="spellEnd"/>
      <w:proofErr w:type="gramEnd"/>
      <w:r>
        <w:t xml:space="preserve"> 2023, </w:t>
      </w:r>
      <w:r w:rsidR="00E02E63">
        <w:t xml:space="preserve">31. </w:t>
      </w:r>
      <w:proofErr w:type="spellStart"/>
      <w:proofErr w:type="gramStart"/>
      <w:r w:rsidR="00E02E63">
        <w:t>prosince</w:t>
      </w:r>
      <w:proofErr w:type="spellEnd"/>
      <w:proofErr w:type="gramEnd"/>
      <w:r w:rsidR="00E02E63">
        <w:t xml:space="preserve"> 2024 a 31. </w:t>
      </w:r>
      <w:proofErr w:type="spellStart"/>
      <w:proofErr w:type="gramStart"/>
      <w:r w:rsidR="00E02E63">
        <w:t>prosince</w:t>
      </w:r>
      <w:proofErr w:type="spellEnd"/>
      <w:proofErr w:type="gramEnd"/>
      <w:r w:rsidR="00E02E63">
        <w:t xml:space="preserve"> 2025, </w:t>
      </w:r>
      <w:proofErr w:type="spellStart"/>
      <w:r>
        <w:t>kterou</w:t>
      </w:r>
      <w:proofErr w:type="spellEnd"/>
      <w:r>
        <w:t xml:space="preserve"> </w:t>
      </w:r>
      <w:proofErr w:type="spellStart"/>
      <w:r>
        <w:t>Společnost</w:t>
      </w:r>
      <w:proofErr w:type="spellEnd"/>
      <w:r>
        <w:t xml:space="preserve"> </w:t>
      </w:r>
      <w:proofErr w:type="spellStart"/>
      <w:r>
        <w:t>sestaví</w:t>
      </w:r>
      <w:proofErr w:type="spellEnd"/>
      <w:r>
        <w:t xml:space="preserve"> v </w:t>
      </w:r>
      <w:proofErr w:type="spellStart"/>
      <w:r>
        <w:t>souladu</w:t>
      </w:r>
      <w:proofErr w:type="spellEnd"/>
      <w:r>
        <w:t xml:space="preserve"> se </w:t>
      </w:r>
      <w:proofErr w:type="spellStart"/>
      <w:r>
        <w:t>zákonem</w:t>
      </w:r>
      <w:proofErr w:type="spellEnd"/>
      <w:r>
        <w:t xml:space="preserve"> o </w:t>
      </w:r>
      <w:proofErr w:type="spellStart"/>
      <w:r>
        <w:t>účetnictví</w:t>
      </w:r>
      <w:proofErr w:type="spellEnd"/>
      <w:r>
        <w:t xml:space="preserve"> a s </w:t>
      </w:r>
      <w:proofErr w:type="spellStart"/>
      <w:r>
        <w:t>ostatními</w:t>
      </w:r>
      <w:proofErr w:type="spellEnd"/>
      <w:r>
        <w:t xml:space="preserve"> </w:t>
      </w:r>
      <w:proofErr w:type="spellStart"/>
      <w:r>
        <w:t>příslušnými</w:t>
      </w:r>
      <w:proofErr w:type="spellEnd"/>
      <w:r>
        <w:t xml:space="preserve"> </w:t>
      </w:r>
      <w:proofErr w:type="spellStart"/>
      <w:r>
        <w:t>účetními</w:t>
      </w:r>
      <w:proofErr w:type="spellEnd"/>
      <w:r>
        <w:t xml:space="preserve"> </w:t>
      </w:r>
      <w:proofErr w:type="spellStart"/>
      <w:r>
        <w:t>předpisy</w:t>
      </w:r>
      <w:proofErr w:type="spellEnd"/>
      <w:r>
        <w:t xml:space="preserve"> </w:t>
      </w:r>
      <w:proofErr w:type="spellStart"/>
      <w:r>
        <w:t>platnými</w:t>
      </w:r>
      <w:proofErr w:type="spellEnd"/>
      <w:r>
        <w:t xml:space="preserve"> v </w:t>
      </w:r>
      <w:proofErr w:type="spellStart"/>
      <w:r>
        <w:t>České</w:t>
      </w:r>
      <w:proofErr w:type="spellEnd"/>
      <w:r>
        <w:t> </w:t>
      </w:r>
      <w:proofErr w:type="spellStart"/>
      <w:r>
        <w:t>republice</w:t>
      </w:r>
      <w:proofErr w:type="spellEnd"/>
      <w:r>
        <w:t>.</w:t>
      </w:r>
    </w:p>
    <w:p w14:paraId="162D4C0E" w14:textId="74680BD3" w:rsidR="00DC2239" w:rsidRDefault="0063788F">
      <w:pPr>
        <w:pStyle w:val="Body4"/>
      </w:pPr>
      <w:r>
        <w:t xml:space="preserve">V souladu se zákonem o auditorech, Mezinárodními standardy auditu a souvisejícími aplikačními doložkami Komory auditorů České republiky dále ověří, že údaje obsažené ve výroční zprávě Společnosti včetně připojené zprávy o vztazích k </w:t>
      </w:r>
      <w:r w:rsidR="00E02E63">
        <w:t xml:space="preserve">31. prosinci 2023, 31. prosinci 2024 a 31. prosinci 2025 </w:t>
      </w:r>
      <w:r>
        <w:t xml:space="preserve">(včetně jakékoli verze určené ke zveřejnění na elektronických stránkách), které popisují skutečnosti, jež jsou též zobrazeny v auditované účetní závěrce Společnosti za rok končící </w:t>
      </w:r>
      <w:r w:rsidR="00E02E63">
        <w:t>31. prosince 2023, 31. prosince 2024 a 31. prosince 2025</w:t>
      </w:r>
      <w:r>
        <w:t>, jsou ve všech významných ohledech v souladu s touto účetní závěrkou. Dále Auditor ověří, že výroční zpráva byla vypracována v souladu s právními předpisy a že na základě poznatků a povědomí o Společnosti, k nimž dospěl při provádění povinného auditu, výroční zpráva neobsahuje významné věcné nesprávnosti.</w:t>
      </w:r>
    </w:p>
    <w:p w14:paraId="32C1939A" w14:textId="77777777" w:rsidR="00DC2239" w:rsidRDefault="0063788F">
      <w:pPr>
        <w:pStyle w:val="Level3"/>
        <w:numPr>
          <w:ilvl w:val="0"/>
          <w:numId w:val="26"/>
        </w:numPr>
        <w:outlineLvl w:val="3"/>
      </w:pPr>
      <w:bookmarkStart w:id="2" w:name="bookmark-name-1672_122143997"/>
      <w:bookmarkEnd w:id="2"/>
      <w:proofErr w:type="spellStart"/>
      <w:r>
        <w:t>Předběžný</w:t>
      </w:r>
      <w:proofErr w:type="spellEnd"/>
      <w:r>
        <w:t xml:space="preserve"> audit </w:t>
      </w:r>
      <w:proofErr w:type="spellStart"/>
      <w:r>
        <w:t>zaměřený</w:t>
      </w:r>
      <w:proofErr w:type="spellEnd"/>
      <w:r>
        <w:t xml:space="preserve"> </w:t>
      </w:r>
      <w:proofErr w:type="spellStart"/>
      <w:proofErr w:type="gramStart"/>
      <w:r>
        <w:t>na</w:t>
      </w:r>
      <w:proofErr w:type="spellEnd"/>
      <w:proofErr w:type="gramEnd"/>
      <w:r>
        <w:t> </w:t>
      </w:r>
      <w:proofErr w:type="spellStart"/>
      <w:r>
        <w:t>analytické</w:t>
      </w:r>
      <w:proofErr w:type="spellEnd"/>
      <w:r>
        <w:t xml:space="preserve"> </w:t>
      </w:r>
      <w:proofErr w:type="spellStart"/>
      <w:r>
        <w:t>prověření</w:t>
      </w:r>
      <w:proofErr w:type="spellEnd"/>
      <w:r>
        <w:t xml:space="preserve"> </w:t>
      </w:r>
      <w:proofErr w:type="spellStart"/>
      <w:r>
        <w:t>předběžných</w:t>
      </w:r>
      <w:proofErr w:type="spellEnd"/>
      <w:r>
        <w:t xml:space="preserve"> </w:t>
      </w:r>
      <w:proofErr w:type="spellStart"/>
      <w:r>
        <w:t>vykazovaných</w:t>
      </w:r>
      <w:proofErr w:type="spellEnd"/>
      <w:r>
        <w:t xml:space="preserve"> </w:t>
      </w:r>
      <w:proofErr w:type="spellStart"/>
      <w:r>
        <w:t>výsledků</w:t>
      </w:r>
      <w:proofErr w:type="spellEnd"/>
      <w:r>
        <w:t xml:space="preserve"> a </w:t>
      </w:r>
      <w:proofErr w:type="spellStart"/>
      <w:r>
        <w:t>na</w:t>
      </w:r>
      <w:proofErr w:type="spellEnd"/>
      <w:r>
        <w:t> </w:t>
      </w:r>
      <w:proofErr w:type="spellStart"/>
      <w:r>
        <w:t>ověření</w:t>
      </w:r>
      <w:proofErr w:type="spellEnd"/>
      <w:r>
        <w:t xml:space="preserve"> </w:t>
      </w:r>
      <w:proofErr w:type="spellStart"/>
      <w:r>
        <w:t>spolehlivosti</w:t>
      </w:r>
      <w:proofErr w:type="spellEnd"/>
      <w:r>
        <w:t xml:space="preserve"> </w:t>
      </w:r>
      <w:proofErr w:type="spellStart"/>
      <w:r>
        <w:t>vnitřních</w:t>
      </w:r>
      <w:proofErr w:type="spellEnd"/>
      <w:r>
        <w:t xml:space="preserve"> </w:t>
      </w:r>
      <w:proofErr w:type="spellStart"/>
      <w:r>
        <w:t>kontrolních</w:t>
      </w:r>
      <w:proofErr w:type="spellEnd"/>
      <w:r>
        <w:t xml:space="preserve"> </w:t>
      </w:r>
      <w:proofErr w:type="spellStart"/>
      <w:r>
        <w:t>systémů</w:t>
      </w:r>
      <w:proofErr w:type="spellEnd"/>
      <w:r>
        <w:t xml:space="preserve"> </w:t>
      </w:r>
      <w:proofErr w:type="spellStart"/>
      <w:r>
        <w:t>Společnosti</w:t>
      </w:r>
      <w:proofErr w:type="spellEnd"/>
      <w:r>
        <w:t xml:space="preserve"> s </w:t>
      </w:r>
      <w:proofErr w:type="spellStart"/>
      <w:r>
        <w:t>využitím</w:t>
      </w:r>
      <w:proofErr w:type="spellEnd"/>
      <w:r>
        <w:t xml:space="preserve"> </w:t>
      </w:r>
      <w:proofErr w:type="spellStart"/>
      <w:r>
        <w:t>informací</w:t>
      </w:r>
      <w:proofErr w:type="spellEnd"/>
      <w:r>
        <w:t xml:space="preserve"> a </w:t>
      </w:r>
      <w:proofErr w:type="spellStart"/>
      <w:r>
        <w:t>podkladů</w:t>
      </w:r>
      <w:proofErr w:type="spellEnd"/>
      <w:r>
        <w:t xml:space="preserve"> </w:t>
      </w:r>
      <w:proofErr w:type="spellStart"/>
      <w:r>
        <w:t>poskytnutých</w:t>
      </w:r>
      <w:proofErr w:type="spellEnd"/>
      <w:r>
        <w:t xml:space="preserve"> </w:t>
      </w:r>
      <w:proofErr w:type="spellStart"/>
      <w:r>
        <w:t>Společností</w:t>
      </w:r>
      <w:proofErr w:type="spellEnd"/>
      <w:r>
        <w:t>.</w:t>
      </w:r>
    </w:p>
    <w:p w14:paraId="474857A2" w14:textId="77777777" w:rsidR="00DC2239" w:rsidRDefault="0063788F">
      <w:pPr>
        <w:pStyle w:val="Level3"/>
        <w:numPr>
          <w:ilvl w:val="0"/>
          <w:numId w:val="26"/>
        </w:numPr>
        <w:jc w:val="both"/>
        <w:outlineLvl w:val="3"/>
      </w:pPr>
      <w:bookmarkStart w:id="3" w:name="bookmark-name-1680_122144000"/>
      <w:bookmarkEnd w:id="3"/>
      <w:proofErr w:type="spellStart"/>
      <w:r>
        <w:t>Provede</w:t>
      </w:r>
      <w:proofErr w:type="spellEnd"/>
      <w:r>
        <w:t xml:space="preserve"> </w:t>
      </w:r>
      <w:proofErr w:type="spellStart"/>
      <w:r>
        <w:t>anglický</w:t>
      </w:r>
      <w:proofErr w:type="spellEnd"/>
      <w:r>
        <w:t xml:space="preserve"> </w:t>
      </w:r>
      <w:proofErr w:type="spellStart"/>
      <w:r>
        <w:t>překlad</w:t>
      </w:r>
      <w:proofErr w:type="spellEnd"/>
      <w:r>
        <w:t xml:space="preserve"> </w:t>
      </w:r>
      <w:proofErr w:type="spellStart"/>
      <w:r>
        <w:t>příloh</w:t>
      </w:r>
      <w:proofErr w:type="spellEnd"/>
      <w:r>
        <w:t xml:space="preserve"> k </w:t>
      </w:r>
      <w:proofErr w:type="spellStart"/>
      <w:r>
        <w:t>účetním</w:t>
      </w:r>
      <w:proofErr w:type="spellEnd"/>
      <w:r>
        <w:t xml:space="preserve"> </w:t>
      </w:r>
      <w:proofErr w:type="spellStart"/>
      <w:r>
        <w:t>závěrkám</w:t>
      </w:r>
      <w:proofErr w:type="spellEnd"/>
      <w:r>
        <w:t xml:space="preserve"> </w:t>
      </w:r>
      <w:proofErr w:type="spellStart"/>
      <w:r>
        <w:t>Společnosti</w:t>
      </w:r>
      <w:proofErr w:type="spellEnd"/>
      <w:r>
        <w:t xml:space="preserve"> </w:t>
      </w:r>
      <w:proofErr w:type="spellStart"/>
      <w:r>
        <w:t>podle</w:t>
      </w:r>
      <w:proofErr w:type="spellEnd"/>
      <w:r>
        <w:t xml:space="preserve"> </w:t>
      </w:r>
      <w:proofErr w:type="spellStart"/>
      <w:r>
        <w:t>Článku</w:t>
      </w:r>
      <w:proofErr w:type="spellEnd"/>
      <w:r>
        <w:t xml:space="preserve"> I, </w:t>
      </w:r>
      <w:proofErr w:type="spellStart"/>
      <w:r>
        <w:t>odst</w:t>
      </w:r>
      <w:proofErr w:type="spellEnd"/>
      <w:r>
        <w:t xml:space="preserve">. 1, </w:t>
      </w:r>
      <w:proofErr w:type="spellStart"/>
      <w:r>
        <w:t>písm</w:t>
      </w:r>
      <w:proofErr w:type="spellEnd"/>
      <w:r>
        <w:t>. (</w:t>
      </w:r>
      <w:proofErr w:type="spellStart"/>
      <w:r>
        <w:t>i</w:t>
      </w:r>
      <w:proofErr w:type="spellEnd"/>
      <w:r>
        <w:t xml:space="preserve">) </w:t>
      </w:r>
      <w:proofErr w:type="spellStart"/>
      <w:proofErr w:type="gramStart"/>
      <w:r>
        <w:t>této</w:t>
      </w:r>
      <w:proofErr w:type="spellEnd"/>
      <w:proofErr w:type="gramEnd"/>
      <w:r>
        <w:t xml:space="preserve"> </w:t>
      </w:r>
      <w:proofErr w:type="spellStart"/>
      <w:r>
        <w:t>Smlouvy</w:t>
      </w:r>
      <w:proofErr w:type="spellEnd"/>
      <w:r>
        <w:t>.</w:t>
      </w:r>
    </w:p>
    <w:p w14:paraId="3D56AFC7" w14:textId="77777777" w:rsidR="00DC2239" w:rsidRDefault="0063788F">
      <w:pPr>
        <w:pStyle w:val="Level2"/>
        <w:numPr>
          <w:ilvl w:val="1"/>
          <w:numId w:val="25"/>
        </w:numPr>
        <w:outlineLvl w:val="2"/>
      </w:pPr>
      <w:bookmarkStart w:id="4" w:name="bookmark-name-645_122143076"/>
      <w:bookmarkEnd w:id="4"/>
      <w:r>
        <w:t xml:space="preserve">Auditor </w:t>
      </w:r>
      <w:proofErr w:type="spellStart"/>
      <w:r>
        <w:t>vypracuje</w:t>
      </w:r>
      <w:proofErr w:type="spellEnd"/>
      <w:r>
        <w:t xml:space="preserve"> </w:t>
      </w:r>
      <w:proofErr w:type="spellStart"/>
      <w:r>
        <w:t>písemné</w:t>
      </w:r>
      <w:proofErr w:type="spellEnd"/>
      <w:r>
        <w:t xml:space="preserve"> </w:t>
      </w:r>
      <w:proofErr w:type="spellStart"/>
      <w:r>
        <w:t>zprávy</w:t>
      </w:r>
      <w:proofErr w:type="spellEnd"/>
      <w:r>
        <w:t xml:space="preserve"> v </w:t>
      </w:r>
      <w:proofErr w:type="spellStart"/>
      <w:r>
        <w:t>českém</w:t>
      </w:r>
      <w:proofErr w:type="spellEnd"/>
      <w:r>
        <w:t xml:space="preserve"> </w:t>
      </w:r>
      <w:proofErr w:type="gramStart"/>
      <w:r>
        <w:t>a</w:t>
      </w:r>
      <w:proofErr w:type="gramEnd"/>
      <w:r>
        <w:t> </w:t>
      </w:r>
      <w:proofErr w:type="spellStart"/>
      <w:r>
        <w:t>anglickém</w:t>
      </w:r>
      <w:proofErr w:type="spellEnd"/>
      <w:r>
        <w:t xml:space="preserve"> </w:t>
      </w:r>
      <w:proofErr w:type="spellStart"/>
      <w:r>
        <w:t>jazyce</w:t>
      </w:r>
      <w:proofErr w:type="spellEnd"/>
      <w:r>
        <w:t xml:space="preserve">. </w:t>
      </w:r>
      <w:proofErr w:type="spellStart"/>
      <w:r>
        <w:t>Písemné</w:t>
      </w:r>
      <w:proofErr w:type="spellEnd"/>
      <w:r>
        <w:t xml:space="preserve"> </w:t>
      </w:r>
      <w:proofErr w:type="spellStart"/>
      <w:r>
        <w:t>zprávy</w:t>
      </w:r>
      <w:proofErr w:type="spellEnd"/>
      <w:r>
        <w:t xml:space="preserve"> </w:t>
      </w:r>
      <w:proofErr w:type="spellStart"/>
      <w:r>
        <w:t>budou</w:t>
      </w:r>
      <w:proofErr w:type="spellEnd"/>
      <w:r>
        <w:t xml:space="preserve"> </w:t>
      </w:r>
      <w:proofErr w:type="spellStart"/>
      <w:r>
        <w:t>Společnosti</w:t>
      </w:r>
      <w:proofErr w:type="spellEnd"/>
      <w:r>
        <w:t xml:space="preserve"> </w:t>
      </w:r>
      <w:proofErr w:type="spellStart"/>
      <w:r>
        <w:t>předány</w:t>
      </w:r>
      <w:proofErr w:type="spellEnd"/>
      <w:r>
        <w:t xml:space="preserve"> v </w:t>
      </w:r>
      <w:proofErr w:type="spellStart"/>
      <w:r>
        <w:t>listinné</w:t>
      </w:r>
      <w:proofErr w:type="spellEnd"/>
      <w:r>
        <w:t xml:space="preserve"> </w:t>
      </w:r>
      <w:proofErr w:type="spellStart"/>
      <w:r>
        <w:t>podobě</w:t>
      </w:r>
      <w:proofErr w:type="spellEnd"/>
      <w:r>
        <w:t xml:space="preserve"> v </w:t>
      </w:r>
      <w:proofErr w:type="spellStart"/>
      <w:r>
        <w:t>celkovém</w:t>
      </w:r>
      <w:proofErr w:type="spellEnd"/>
      <w:r>
        <w:t xml:space="preserve"> </w:t>
      </w:r>
      <w:proofErr w:type="spellStart"/>
      <w:r>
        <w:t>počtu</w:t>
      </w:r>
      <w:proofErr w:type="spellEnd"/>
      <w:r>
        <w:t xml:space="preserve"> </w:t>
      </w:r>
      <w:proofErr w:type="spellStart"/>
      <w:r>
        <w:t>vyhotovení</w:t>
      </w:r>
      <w:proofErr w:type="spellEnd"/>
      <w:r>
        <w:t>:</w:t>
      </w:r>
    </w:p>
    <w:tbl>
      <w:tblPr>
        <w:tblStyle w:val="TableGridPHPDOCX"/>
        <w:tblOverlap w:val="never"/>
        <w:tblW w:w="8843" w:type="dxa"/>
        <w:tblInd w:w="454" w:type="dxa"/>
        <w:tblLook w:val="04A0" w:firstRow="1" w:lastRow="0" w:firstColumn="1" w:lastColumn="0" w:noHBand="0" w:noVBand="1"/>
      </w:tblPr>
      <w:tblGrid>
        <w:gridCol w:w="5441"/>
        <w:gridCol w:w="1701"/>
        <w:gridCol w:w="1701"/>
      </w:tblGrid>
      <w:tr w:rsidR="00DC2239" w14:paraId="6261FD88" w14:textId="77777777">
        <w:tc>
          <w:tcPr>
            <w:tcW w:w="5441" w:type="dxa"/>
            <w:tcBorders>
              <w:top w:val="none" w:sz="6" w:space="0" w:color="000000"/>
              <w:left w:val="none" w:sz="6" w:space="0" w:color="000000"/>
              <w:bottom w:val="none" w:sz="6" w:space="0" w:color="000000"/>
              <w:right w:val="none" w:sz="6" w:space="0" w:color="000000"/>
            </w:tcBorders>
          </w:tcPr>
          <w:p w14:paraId="41A23B89" w14:textId="77777777" w:rsidR="00DC2239" w:rsidRDefault="0063788F">
            <w:pPr>
              <w:pStyle w:val="table1"/>
              <w:ind w:left="0"/>
              <w:jc w:val="right"/>
            </w:pPr>
            <w:r>
              <w:t> </w:t>
            </w:r>
          </w:p>
        </w:tc>
        <w:tc>
          <w:tcPr>
            <w:tcW w:w="1701" w:type="dxa"/>
            <w:tcBorders>
              <w:top w:val="none" w:sz="6" w:space="0" w:color="000000"/>
              <w:left w:val="none" w:sz="6" w:space="0" w:color="000000"/>
              <w:bottom w:val="none" w:sz="6" w:space="0" w:color="000000"/>
              <w:right w:val="none" w:sz="6" w:space="0" w:color="000000"/>
            </w:tcBorders>
          </w:tcPr>
          <w:p w14:paraId="07D2D33C" w14:textId="77777777" w:rsidR="00DC2239" w:rsidRDefault="0063788F">
            <w:pPr>
              <w:pStyle w:val="table1"/>
              <w:ind w:left="0"/>
              <w:jc w:val="right"/>
              <w:rPr>
                <w:b/>
                <w:bCs/>
              </w:rPr>
            </w:pPr>
            <w:r>
              <w:rPr>
                <w:b/>
                <w:bCs/>
              </w:rPr>
              <w:t>v českém jazyce,</w:t>
            </w:r>
          </w:p>
        </w:tc>
        <w:tc>
          <w:tcPr>
            <w:tcW w:w="1701" w:type="dxa"/>
            <w:tcBorders>
              <w:top w:val="none" w:sz="6" w:space="0" w:color="000000"/>
              <w:left w:val="none" w:sz="6" w:space="0" w:color="000000"/>
              <w:bottom w:val="none" w:sz="6" w:space="0" w:color="000000"/>
              <w:right w:val="none" w:sz="6" w:space="0" w:color="000000"/>
            </w:tcBorders>
          </w:tcPr>
          <w:p w14:paraId="3DFE5DD1" w14:textId="77777777" w:rsidR="00DC2239" w:rsidRDefault="0063788F">
            <w:pPr>
              <w:pStyle w:val="table1"/>
              <w:ind w:left="0"/>
              <w:jc w:val="right"/>
              <w:rPr>
                <w:b/>
                <w:bCs/>
              </w:rPr>
            </w:pPr>
            <w:r>
              <w:rPr>
                <w:b/>
                <w:bCs/>
              </w:rPr>
              <w:t>v anglickém jazyce,</w:t>
            </w:r>
          </w:p>
        </w:tc>
      </w:tr>
      <w:tr w:rsidR="00DC2239" w14:paraId="3DCA6CE3" w14:textId="77777777">
        <w:tc>
          <w:tcPr>
            <w:tcW w:w="5441" w:type="dxa"/>
            <w:tcBorders>
              <w:top w:val="none" w:sz="6" w:space="0" w:color="000000"/>
              <w:left w:val="none" w:sz="6" w:space="0" w:color="000000"/>
              <w:bottom w:val="single" w:sz="7" w:space="0" w:color="000000"/>
              <w:right w:val="none" w:sz="6" w:space="0" w:color="000000"/>
            </w:tcBorders>
          </w:tcPr>
          <w:p w14:paraId="644825BE" w14:textId="77777777" w:rsidR="00DC2239" w:rsidRDefault="0063788F">
            <w:pPr>
              <w:pStyle w:val="table1"/>
              <w:ind w:left="0"/>
              <w:jc w:val="right"/>
            </w:pPr>
            <w:r>
              <w:t> </w:t>
            </w:r>
          </w:p>
        </w:tc>
        <w:tc>
          <w:tcPr>
            <w:tcW w:w="1701" w:type="dxa"/>
            <w:tcBorders>
              <w:top w:val="none" w:sz="6" w:space="0" w:color="000000"/>
              <w:left w:val="none" w:sz="6" w:space="0" w:color="000000"/>
              <w:bottom w:val="single" w:sz="7" w:space="0" w:color="000000"/>
              <w:right w:val="none" w:sz="6" w:space="0" w:color="000000"/>
            </w:tcBorders>
          </w:tcPr>
          <w:p w14:paraId="3EDCD3F9" w14:textId="77777777" w:rsidR="00DC2239" w:rsidRDefault="0063788F">
            <w:pPr>
              <w:pStyle w:val="table1"/>
              <w:ind w:left="0"/>
              <w:jc w:val="right"/>
              <w:rPr>
                <w:b/>
                <w:bCs/>
              </w:rPr>
            </w:pPr>
            <w:r>
              <w:rPr>
                <w:b/>
                <w:bCs/>
              </w:rPr>
              <w:t>počet ks</w:t>
            </w:r>
          </w:p>
        </w:tc>
        <w:tc>
          <w:tcPr>
            <w:tcW w:w="1701" w:type="dxa"/>
            <w:tcBorders>
              <w:top w:val="none" w:sz="6" w:space="0" w:color="000000"/>
              <w:left w:val="none" w:sz="6" w:space="0" w:color="000000"/>
              <w:bottom w:val="single" w:sz="7" w:space="0" w:color="000000"/>
              <w:right w:val="none" w:sz="6" w:space="0" w:color="000000"/>
            </w:tcBorders>
          </w:tcPr>
          <w:p w14:paraId="38BCCB27" w14:textId="77777777" w:rsidR="00DC2239" w:rsidRDefault="0063788F">
            <w:pPr>
              <w:pStyle w:val="table1"/>
              <w:ind w:left="0"/>
              <w:jc w:val="right"/>
              <w:rPr>
                <w:b/>
                <w:bCs/>
              </w:rPr>
            </w:pPr>
            <w:r>
              <w:rPr>
                <w:b/>
                <w:bCs/>
              </w:rPr>
              <w:t>počet ks</w:t>
            </w:r>
          </w:p>
        </w:tc>
      </w:tr>
      <w:tr w:rsidR="00DC2239" w14:paraId="6AC41A1C" w14:textId="77777777">
        <w:tc>
          <w:tcPr>
            <w:tcW w:w="5441" w:type="dxa"/>
            <w:tcBorders>
              <w:top w:val="single" w:sz="7" w:space="0" w:color="000000"/>
              <w:left w:val="none" w:sz="6" w:space="0" w:color="000000"/>
              <w:bottom w:val="none" w:sz="6" w:space="0" w:color="000000"/>
              <w:right w:val="none" w:sz="6" w:space="0" w:color="000000"/>
            </w:tcBorders>
          </w:tcPr>
          <w:p w14:paraId="19C01284" w14:textId="01E38C20" w:rsidR="00DC2239" w:rsidRDefault="0063788F">
            <w:pPr>
              <w:pStyle w:val="table1"/>
              <w:ind w:left="0"/>
            </w:pPr>
            <w:r>
              <w:t>Zpráva k účetní závěrce Společnosti</w:t>
            </w:r>
          </w:p>
        </w:tc>
        <w:tc>
          <w:tcPr>
            <w:tcW w:w="1701" w:type="dxa"/>
            <w:tcBorders>
              <w:top w:val="single" w:sz="7" w:space="0" w:color="000000"/>
              <w:left w:val="none" w:sz="6" w:space="0" w:color="000000"/>
              <w:bottom w:val="none" w:sz="6" w:space="0" w:color="000000"/>
              <w:right w:val="none" w:sz="6" w:space="0" w:color="000000"/>
            </w:tcBorders>
          </w:tcPr>
          <w:p w14:paraId="78930174" w14:textId="77777777" w:rsidR="00DC2239" w:rsidRDefault="0063788F">
            <w:pPr>
              <w:pStyle w:val="table1"/>
              <w:ind w:left="0"/>
              <w:jc w:val="right"/>
            </w:pPr>
            <w:r>
              <w:t>5</w:t>
            </w:r>
          </w:p>
        </w:tc>
        <w:tc>
          <w:tcPr>
            <w:tcW w:w="1701" w:type="dxa"/>
            <w:tcBorders>
              <w:top w:val="single" w:sz="7" w:space="0" w:color="000000"/>
              <w:left w:val="none" w:sz="6" w:space="0" w:color="000000"/>
              <w:bottom w:val="none" w:sz="6" w:space="0" w:color="000000"/>
              <w:right w:val="none" w:sz="6" w:space="0" w:color="000000"/>
            </w:tcBorders>
          </w:tcPr>
          <w:p w14:paraId="3AABC57D" w14:textId="77777777" w:rsidR="00DC2239" w:rsidRDefault="0063788F">
            <w:pPr>
              <w:pStyle w:val="table1"/>
              <w:ind w:left="0"/>
              <w:jc w:val="right"/>
            </w:pPr>
            <w:r>
              <w:t>3</w:t>
            </w:r>
          </w:p>
        </w:tc>
      </w:tr>
      <w:tr w:rsidR="00DC2239" w14:paraId="6C130D8E" w14:textId="77777777">
        <w:tc>
          <w:tcPr>
            <w:tcW w:w="5441" w:type="dxa"/>
            <w:tcBorders>
              <w:top w:val="single" w:sz="7" w:space="0" w:color="000000"/>
              <w:left w:val="none" w:sz="6" w:space="0" w:color="000000"/>
              <w:bottom w:val="none" w:sz="6" w:space="0" w:color="000000"/>
              <w:right w:val="none" w:sz="6" w:space="0" w:color="000000"/>
            </w:tcBorders>
          </w:tcPr>
          <w:p w14:paraId="002A8BE0" w14:textId="77777777" w:rsidR="00DC2239" w:rsidRDefault="0063788F">
            <w:pPr>
              <w:pStyle w:val="table1"/>
              <w:ind w:left="0"/>
            </w:pPr>
            <w:r>
              <w:t> </w:t>
            </w:r>
          </w:p>
        </w:tc>
        <w:tc>
          <w:tcPr>
            <w:tcW w:w="1701" w:type="dxa"/>
            <w:tcBorders>
              <w:top w:val="single" w:sz="7" w:space="0" w:color="000000"/>
              <w:left w:val="none" w:sz="6" w:space="0" w:color="000000"/>
              <w:bottom w:val="none" w:sz="6" w:space="0" w:color="000000"/>
              <w:right w:val="none" w:sz="6" w:space="0" w:color="000000"/>
            </w:tcBorders>
          </w:tcPr>
          <w:p w14:paraId="7B44D2D5" w14:textId="77777777" w:rsidR="00DC2239" w:rsidRDefault="0063788F">
            <w:pPr>
              <w:pStyle w:val="table1"/>
              <w:ind w:left="0"/>
              <w:jc w:val="right"/>
            </w:pPr>
            <w:r>
              <w:t> </w:t>
            </w:r>
          </w:p>
        </w:tc>
        <w:tc>
          <w:tcPr>
            <w:tcW w:w="1701" w:type="dxa"/>
            <w:tcBorders>
              <w:top w:val="single" w:sz="7" w:space="0" w:color="000000"/>
              <w:left w:val="none" w:sz="6" w:space="0" w:color="000000"/>
              <w:bottom w:val="none" w:sz="6" w:space="0" w:color="000000"/>
              <w:right w:val="none" w:sz="6" w:space="0" w:color="000000"/>
            </w:tcBorders>
          </w:tcPr>
          <w:p w14:paraId="1A593A02" w14:textId="77777777" w:rsidR="00DC2239" w:rsidRDefault="0063788F">
            <w:pPr>
              <w:pStyle w:val="table1"/>
              <w:ind w:left="0"/>
              <w:jc w:val="right"/>
            </w:pPr>
            <w:r>
              <w:t> </w:t>
            </w:r>
          </w:p>
        </w:tc>
      </w:tr>
    </w:tbl>
    <w:p w14:paraId="31FBEE95" w14:textId="77777777" w:rsidR="00DC2239" w:rsidRDefault="0063788F">
      <w:pPr>
        <w:pStyle w:val="Body1"/>
        <w:jc w:val="center"/>
      </w:pPr>
      <w:r>
        <w:t>Článek II</w:t>
      </w:r>
    </w:p>
    <w:p w14:paraId="28FC967C" w14:textId="77777777" w:rsidR="00DC2239" w:rsidRDefault="0063788F">
      <w:pPr>
        <w:pStyle w:val="Body1"/>
        <w:jc w:val="center"/>
      </w:pPr>
      <w:r>
        <w:t>Časový harmonogram</w:t>
      </w:r>
    </w:p>
    <w:p w14:paraId="7D25CA0A" w14:textId="77777777" w:rsidR="00DC2239" w:rsidRDefault="0063788F">
      <w:pPr>
        <w:pStyle w:val="Level2"/>
        <w:numPr>
          <w:ilvl w:val="1"/>
          <w:numId w:val="27"/>
        </w:numPr>
        <w:outlineLvl w:val="2"/>
      </w:pPr>
      <w:bookmarkStart w:id="5" w:name="bookmark-name-767_122143196"/>
      <w:bookmarkEnd w:id="5"/>
      <w:r>
        <w:t xml:space="preserve">Audit </w:t>
      </w:r>
      <w:proofErr w:type="spellStart"/>
      <w:r>
        <w:t>bude</w:t>
      </w:r>
      <w:proofErr w:type="spellEnd"/>
      <w:r>
        <w:t xml:space="preserve"> </w:t>
      </w:r>
      <w:proofErr w:type="spellStart"/>
      <w:r>
        <w:t>proveden</w:t>
      </w:r>
      <w:proofErr w:type="spellEnd"/>
      <w:r>
        <w:t xml:space="preserve"> v </w:t>
      </w:r>
      <w:proofErr w:type="spellStart"/>
      <w:r>
        <w:t>souladu</w:t>
      </w:r>
      <w:proofErr w:type="spellEnd"/>
      <w:r>
        <w:t xml:space="preserve"> s </w:t>
      </w:r>
      <w:proofErr w:type="spellStart"/>
      <w:r>
        <w:t>časovým</w:t>
      </w:r>
      <w:proofErr w:type="spellEnd"/>
      <w:r>
        <w:t xml:space="preserve"> </w:t>
      </w:r>
      <w:proofErr w:type="spellStart"/>
      <w:r>
        <w:t>harmonogramem</w:t>
      </w:r>
      <w:proofErr w:type="spellEnd"/>
      <w:r>
        <w:t xml:space="preserve"> </w:t>
      </w:r>
      <w:proofErr w:type="spellStart"/>
      <w:r>
        <w:t>uvedeným</w:t>
      </w:r>
      <w:proofErr w:type="spellEnd"/>
      <w:r>
        <w:t xml:space="preserve"> </w:t>
      </w:r>
      <w:proofErr w:type="spellStart"/>
      <w:r>
        <w:t>níže</w:t>
      </w:r>
      <w:proofErr w:type="spellEnd"/>
      <w:r>
        <w:t>:</w:t>
      </w:r>
    </w:p>
    <w:tbl>
      <w:tblPr>
        <w:tblStyle w:val="TableGridPHPDOCX"/>
        <w:tblOverlap w:val="never"/>
        <w:tblW w:w="8843" w:type="dxa"/>
        <w:tblInd w:w="454" w:type="dxa"/>
        <w:tblLook w:val="04A0" w:firstRow="1" w:lastRow="0" w:firstColumn="1" w:lastColumn="0" w:noHBand="0" w:noVBand="1"/>
      </w:tblPr>
      <w:tblGrid>
        <w:gridCol w:w="6008"/>
        <w:gridCol w:w="2835"/>
      </w:tblGrid>
      <w:tr w:rsidR="00DC2239" w14:paraId="4E7A659E" w14:textId="77777777">
        <w:tc>
          <w:tcPr>
            <w:tcW w:w="6008" w:type="dxa"/>
            <w:tcBorders>
              <w:top w:val="none" w:sz="6" w:space="0" w:color="000000"/>
              <w:left w:val="none" w:sz="6" w:space="0" w:color="000000"/>
              <w:bottom w:val="single" w:sz="7" w:space="0" w:color="000000"/>
              <w:right w:val="none" w:sz="6" w:space="0" w:color="000000"/>
            </w:tcBorders>
          </w:tcPr>
          <w:p w14:paraId="2DC4EE46" w14:textId="77777777" w:rsidR="00DC2239" w:rsidRDefault="0063788F">
            <w:pPr>
              <w:pStyle w:val="table1"/>
              <w:ind w:left="0"/>
              <w:rPr>
                <w:b/>
                <w:bCs/>
              </w:rPr>
            </w:pPr>
            <w:r>
              <w:rPr>
                <w:b/>
                <w:bCs/>
              </w:rPr>
              <w:t>Fáze</w:t>
            </w:r>
          </w:p>
        </w:tc>
        <w:tc>
          <w:tcPr>
            <w:tcW w:w="2835" w:type="dxa"/>
            <w:tcBorders>
              <w:top w:val="none" w:sz="6" w:space="0" w:color="000000"/>
              <w:left w:val="none" w:sz="6" w:space="0" w:color="000000"/>
              <w:bottom w:val="single" w:sz="7" w:space="0" w:color="000000"/>
              <w:right w:val="none" w:sz="6" w:space="0" w:color="000000"/>
            </w:tcBorders>
          </w:tcPr>
          <w:p w14:paraId="76F5CB05" w14:textId="77777777" w:rsidR="00DC2239" w:rsidRDefault="0063788F">
            <w:pPr>
              <w:pStyle w:val="table1"/>
              <w:ind w:left="0"/>
              <w:jc w:val="right"/>
              <w:rPr>
                <w:b/>
                <w:bCs/>
              </w:rPr>
            </w:pPr>
            <w:r>
              <w:rPr>
                <w:b/>
                <w:bCs/>
              </w:rPr>
              <w:t>Datum</w:t>
            </w:r>
          </w:p>
        </w:tc>
      </w:tr>
      <w:tr w:rsidR="00DC2239" w14:paraId="20DE69F6" w14:textId="77777777">
        <w:tc>
          <w:tcPr>
            <w:tcW w:w="6008" w:type="dxa"/>
            <w:tcBorders>
              <w:top w:val="single" w:sz="7" w:space="0" w:color="000000"/>
              <w:left w:val="none" w:sz="6" w:space="0" w:color="000000"/>
              <w:bottom w:val="none" w:sz="6" w:space="0" w:color="000000"/>
              <w:right w:val="none" w:sz="6" w:space="0" w:color="000000"/>
            </w:tcBorders>
          </w:tcPr>
          <w:p w14:paraId="48994054" w14:textId="3B44BF45" w:rsidR="00DC2239" w:rsidRDefault="0063788F">
            <w:pPr>
              <w:pStyle w:val="table1"/>
              <w:ind w:left="0"/>
            </w:pPr>
            <w:r>
              <w:t>Předběžný audit a audit na měsíční závěrce k 3</w:t>
            </w:r>
            <w:r w:rsidR="0081250F">
              <w:t>0</w:t>
            </w:r>
            <w:r>
              <w:t xml:space="preserve">. </w:t>
            </w:r>
            <w:r w:rsidR="0081250F">
              <w:t>září</w:t>
            </w:r>
            <w:r>
              <w:t xml:space="preserve"> 2023</w:t>
            </w:r>
          </w:p>
        </w:tc>
        <w:tc>
          <w:tcPr>
            <w:tcW w:w="2835" w:type="dxa"/>
            <w:tcBorders>
              <w:top w:val="single" w:sz="7" w:space="0" w:color="000000"/>
              <w:left w:val="none" w:sz="6" w:space="0" w:color="000000"/>
              <w:bottom w:val="none" w:sz="6" w:space="0" w:color="000000"/>
              <w:right w:val="none" w:sz="6" w:space="0" w:color="000000"/>
            </w:tcBorders>
          </w:tcPr>
          <w:p w14:paraId="3A45BFDE" w14:textId="0E822206" w:rsidR="00DC2239" w:rsidRDefault="00F20326">
            <w:pPr>
              <w:pStyle w:val="table1"/>
              <w:ind w:left="0"/>
              <w:jc w:val="right"/>
            </w:pPr>
            <w:r>
              <w:t xml:space="preserve">v </w:t>
            </w:r>
            <w:r w:rsidR="0063788F">
              <w:t>týdn</w:t>
            </w:r>
            <w:r>
              <w:t>u od 23. října</w:t>
            </w:r>
          </w:p>
        </w:tc>
      </w:tr>
      <w:tr w:rsidR="00DC2239" w14:paraId="5A1C0B5F" w14:textId="77777777">
        <w:tc>
          <w:tcPr>
            <w:tcW w:w="6008" w:type="dxa"/>
            <w:tcBorders>
              <w:top w:val="none" w:sz="6" w:space="0" w:color="000000"/>
              <w:left w:val="none" w:sz="6" w:space="0" w:color="000000"/>
              <w:bottom w:val="none" w:sz="6" w:space="0" w:color="000000"/>
              <w:right w:val="none" w:sz="6" w:space="0" w:color="000000"/>
            </w:tcBorders>
          </w:tcPr>
          <w:p w14:paraId="0F93D2B2" w14:textId="77777777" w:rsidR="00DC2239" w:rsidRDefault="0063788F">
            <w:pPr>
              <w:pStyle w:val="table1"/>
              <w:ind w:left="0"/>
            </w:pPr>
            <w:r>
              <w:t>Konečný audit k 31. prosinci 2023</w:t>
            </w:r>
          </w:p>
        </w:tc>
        <w:tc>
          <w:tcPr>
            <w:tcW w:w="2835" w:type="dxa"/>
            <w:tcBorders>
              <w:top w:val="none" w:sz="6" w:space="0" w:color="000000"/>
              <w:left w:val="none" w:sz="6" w:space="0" w:color="000000"/>
              <w:bottom w:val="none" w:sz="6" w:space="0" w:color="000000"/>
              <w:right w:val="none" w:sz="6" w:space="0" w:color="000000"/>
            </w:tcBorders>
          </w:tcPr>
          <w:p w14:paraId="35069F5A" w14:textId="5A9377A0" w:rsidR="00DC2239" w:rsidRDefault="00F20326">
            <w:pPr>
              <w:pStyle w:val="table1"/>
              <w:ind w:left="0"/>
              <w:jc w:val="right"/>
            </w:pPr>
            <w:r>
              <w:t xml:space="preserve">4. – 12. </w:t>
            </w:r>
            <w:r w:rsidR="0063788F">
              <w:t>led</w:t>
            </w:r>
            <w:r>
              <w:t>na a 7.</w:t>
            </w:r>
            <w:r w:rsidR="0063788F">
              <w:t xml:space="preserve"> </w:t>
            </w:r>
            <w:r>
              <w:t xml:space="preserve">– 9. </w:t>
            </w:r>
            <w:r w:rsidR="0063788F">
              <w:t>únor</w:t>
            </w:r>
            <w:r>
              <w:t>a</w:t>
            </w:r>
            <w:r w:rsidR="0063788F">
              <w:t xml:space="preserve"> 2024</w:t>
            </w:r>
          </w:p>
        </w:tc>
      </w:tr>
      <w:tr w:rsidR="00DC2239" w14:paraId="15408CF5" w14:textId="77777777">
        <w:tc>
          <w:tcPr>
            <w:tcW w:w="6008" w:type="dxa"/>
            <w:tcBorders>
              <w:top w:val="none" w:sz="6" w:space="0" w:color="000000"/>
              <w:left w:val="none" w:sz="6" w:space="0" w:color="000000"/>
              <w:bottom w:val="none" w:sz="6" w:space="0" w:color="000000"/>
              <w:right w:val="none" w:sz="6" w:space="0" w:color="000000"/>
            </w:tcBorders>
          </w:tcPr>
          <w:p w14:paraId="00ED26E3" w14:textId="77777777" w:rsidR="00DC2239" w:rsidRDefault="0063788F">
            <w:pPr>
              <w:pStyle w:val="table1"/>
              <w:ind w:left="0"/>
            </w:pPr>
            <w:r>
              <w:t>Společnost předloží návrh účetní závěrky</w:t>
            </w:r>
          </w:p>
        </w:tc>
        <w:tc>
          <w:tcPr>
            <w:tcW w:w="2835" w:type="dxa"/>
            <w:tcBorders>
              <w:top w:val="none" w:sz="6" w:space="0" w:color="000000"/>
              <w:left w:val="none" w:sz="6" w:space="0" w:color="000000"/>
              <w:bottom w:val="none" w:sz="6" w:space="0" w:color="000000"/>
              <w:right w:val="none" w:sz="6" w:space="0" w:color="000000"/>
            </w:tcBorders>
          </w:tcPr>
          <w:p w14:paraId="24F9911B" w14:textId="77777777" w:rsidR="00DC2239" w:rsidRDefault="0063788F">
            <w:pPr>
              <w:pStyle w:val="table1"/>
              <w:ind w:left="0"/>
              <w:jc w:val="right"/>
            </w:pPr>
            <w:r>
              <w:t>1. února 2024</w:t>
            </w:r>
          </w:p>
        </w:tc>
      </w:tr>
      <w:tr w:rsidR="00DC2239" w14:paraId="7E6477AF" w14:textId="77777777">
        <w:tc>
          <w:tcPr>
            <w:tcW w:w="6008" w:type="dxa"/>
            <w:tcBorders>
              <w:top w:val="none" w:sz="6" w:space="0" w:color="000000"/>
              <w:left w:val="none" w:sz="6" w:space="0" w:color="000000"/>
              <w:bottom w:val="none" w:sz="6" w:space="0" w:color="000000"/>
              <w:right w:val="none" w:sz="6" w:space="0" w:color="000000"/>
            </w:tcBorders>
          </w:tcPr>
          <w:p w14:paraId="686C514E" w14:textId="77777777" w:rsidR="00DC2239" w:rsidRDefault="0063788F">
            <w:pPr>
              <w:pStyle w:val="table1"/>
              <w:ind w:left="0"/>
            </w:pPr>
            <w:r>
              <w:t>Společnost předloží návrh výroční zprávy (včetně zprávy o vztazích)</w:t>
            </w:r>
          </w:p>
        </w:tc>
        <w:tc>
          <w:tcPr>
            <w:tcW w:w="2835" w:type="dxa"/>
            <w:tcBorders>
              <w:top w:val="none" w:sz="6" w:space="0" w:color="000000"/>
              <w:left w:val="none" w:sz="6" w:space="0" w:color="000000"/>
              <w:bottom w:val="none" w:sz="6" w:space="0" w:color="000000"/>
              <w:right w:val="none" w:sz="6" w:space="0" w:color="000000"/>
            </w:tcBorders>
          </w:tcPr>
          <w:p w14:paraId="1E780BAC" w14:textId="77777777" w:rsidR="00DC2239" w:rsidRDefault="0063788F">
            <w:pPr>
              <w:pStyle w:val="table1"/>
              <w:ind w:left="0"/>
              <w:jc w:val="right"/>
            </w:pPr>
            <w:r>
              <w:t>1. února 2024</w:t>
            </w:r>
          </w:p>
        </w:tc>
      </w:tr>
      <w:tr w:rsidR="00DC2239" w14:paraId="4F5754E7" w14:textId="77777777">
        <w:tc>
          <w:tcPr>
            <w:tcW w:w="6008" w:type="dxa"/>
            <w:tcBorders>
              <w:top w:val="none" w:sz="6" w:space="0" w:color="000000"/>
              <w:left w:val="none" w:sz="6" w:space="0" w:color="000000"/>
              <w:bottom w:val="single" w:sz="7" w:space="0" w:color="000000"/>
              <w:right w:val="none" w:sz="6" w:space="0" w:color="000000"/>
            </w:tcBorders>
          </w:tcPr>
          <w:p w14:paraId="6F50693C" w14:textId="77777777" w:rsidR="00DC2239" w:rsidRDefault="0063788F">
            <w:pPr>
              <w:pStyle w:val="table1"/>
              <w:ind w:left="0"/>
            </w:pPr>
            <w:r>
              <w:t>Auditor předloží zprávu o auditu</w:t>
            </w:r>
          </w:p>
        </w:tc>
        <w:tc>
          <w:tcPr>
            <w:tcW w:w="2835" w:type="dxa"/>
            <w:tcBorders>
              <w:top w:val="none" w:sz="6" w:space="0" w:color="000000"/>
              <w:left w:val="none" w:sz="6" w:space="0" w:color="000000"/>
              <w:bottom w:val="single" w:sz="7" w:space="0" w:color="000000"/>
              <w:right w:val="none" w:sz="6" w:space="0" w:color="000000"/>
            </w:tcBorders>
          </w:tcPr>
          <w:p w14:paraId="7AE21BF4" w14:textId="77777777" w:rsidR="00DC2239" w:rsidRDefault="0063788F">
            <w:pPr>
              <w:pStyle w:val="table1"/>
              <w:ind w:left="0"/>
              <w:jc w:val="right"/>
            </w:pPr>
            <w:r>
              <w:t>do 15. března 2024</w:t>
            </w:r>
          </w:p>
        </w:tc>
      </w:tr>
      <w:tr w:rsidR="00DC2239" w14:paraId="518B871B" w14:textId="77777777">
        <w:tc>
          <w:tcPr>
            <w:tcW w:w="6008" w:type="dxa"/>
            <w:tcBorders>
              <w:top w:val="single" w:sz="7" w:space="0" w:color="000000"/>
              <w:left w:val="none" w:sz="6" w:space="0" w:color="000000"/>
              <w:bottom w:val="none" w:sz="6" w:space="0" w:color="000000"/>
              <w:right w:val="none" w:sz="6" w:space="0" w:color="000000"/>
            </w:tcBorders>
          </w:tcPr>
          <w:p w14:paraId="64610618" w14:textId="77777777" w:rsidR="00DC2239" w:rsidRDefault="0063788F">
            <w:pPr>
              <w:pStyle w:val="table1"/>
              <w:ind w:left="0"/>
            </w:pPr>
            <w:r>
              <w:t> </w:t>
            </w:r>
          </w:p>
        </w:tc>
        <w:tc>
          <w:tcPr>
            <w:tcW w:w="2835" w:type="dxa"/>
            <w:tcBorders>
              <w:top w:val="single" w:sz="7" w:space="0" w:color="000000"/>
              <w:left w:val="none" w:sz="6" w:space="0" w:color="000000"/>
              <w:bottom w:val="none" w:sz="6" w:space="0" w:color="000000"/>
              <w:right w:val="none" w:sz="6" w:space="0" w:color="000000"/>
            </w:tcBorders>
          </w:tcPr>
          <w:p w14:paraId="7933C14C" w14:textId="77777777" w:rsidR="00DC2239" w:rsidRDefault="0063788F">
            <w:pPr>
              <w:pStyle w:val="table1"/>
              <w:ind w:left="0"/>
              <w:jc w:val="right"/>
            </w:pPr>
            <w:r>
              <w:t> </w:t>
            </w:r>
          </w:p>
        </w:tc>
      </w:tr>
    </w:tbl>
    <w:p w14:paraId="4766E72F" w14:textId="6335B729" w:rsidR="00E02E63" w:rsidRDefault="00E02E63" w:rsidP="00E02E63">
      <w:pPr>
        <w:pStyle w:val="Level2"/>
        <w:numPr>
          <w:ilvl w:val="0"/>
          <w:numId w:val="0"/>
        </w:numPr>
        <w:ind w:left="567"/>
        <w:outlineLvl w:val="2"/>
      </w:pPr>
      <w:proofErr w:type="spellStart"/>
      <w:r w:rsidRPr="00E02E63">
        <w:t>Časový</w:t>
      </w:r>
      <w:proofErr w:type="spellEnd"/>
      <w:r w:rsidRPr="00E02E63">
        <w:t xml:space="preserve"> </w:t>
      </w:r>
      <w:proofErr w:type="spellStart"/>
      <w:r w:rsidRPr="00E02E63">
        <w:t>harmonogram</w:t>
      </w:r>
      <w:proofErr w:type="spellEnd"/>
      <w:r w:rsidRPr="00E02E63">
        <w:t xml:space="preserve"> pro </w:t>
      </w:r>
      <w:proofErr w:type="spellStart"/>
      <w:r w:rsidRPr="00E02E63">
        <w:t>roky</w:t>
      </w:r>
      <w:proofErr w:type="spellEnd"/>
      <w:r w:rsidRPr="00E02E63">
        <w:t xml:space="preserve"> </w:t>
      </w:r>
      <w:proofErr w:type="spellStart"/>
      <w:r w:rsidRPr="00E02E63">
        <w:t>končící</w:t>
      </w:r>
      <w:proofErr w:type="spellEnd"/>
      <w:r w:rsidRPr="00E02E63">
        <w:t xml:space="preserve"> 31. </w:t>
      </w:r>
      <w:proofErr w:type="spellStart"/>
      <w:proofErr w:type="gramStart"/>
      <w:r w:rsidRPr="00E02E63">
        <w:t>prosince</w:t>
      </w:r>
      <w:proofErr w:type="spellEnd"/>
      <w:proofErr w:type="gramEnd"/>
      <w:r w:rsidRPr="00E02E63">
        <w:t xml:space="preserve"> 2024 a 31. </w:t>
      </w:r>
      <w:proofErr w:type="spellStart"/>
      <w:proofErr w:type="gramStart"/>
      <w:r w:rsidRPr="00E02E63">
        <w:t>prosince</w:t>
      </w:r>
      <w:proofErr w:type="spellEnd"/>
      <w:proofErr w:type="gramEnd"/>
      <w:r w:rsidRPr="00E02E63">
        <w:t xml:space="preserve"> 2025 </w:t>
      </w:r>
      <w:proofErr w:type="spellStart"/>
      <w:r w:rsidRPr="00E02E63">
        <w:t>bude</w:t>
      </w:r>
      <w:proofErr w:type="spellEnd"/>
      <w:r w:rsidRPr="00E02E63">
        <w:t xml:space="preserve"> </w:t>
      </w:r>
      <w:proofErr w:type="spellStart"/>
      <w:r w:rsidRPr="00E02E63">
        <w:t>probíhat</w:t>
      </w:r>
      <w:proofErr w:type="spellEnd"/>
      <w:r w:rsidRPr="00E02E63">
        <w:t xml:space="preserve"> v </w:t>
      </w:r>
      <w:proofErr w:type="spellStart"/>
      <w:r w:rsidRPr="00E02E63">
        <w:t>obdobných</w:t>
      </w:r>
      <w:proofErr w:type="spellEnd"/>
      <w:r w:rsidRPr="00E02E63">
        <w:t xml:space="preserve"> </w:t>
      </w:r>
      <w:proofErr w:type="spellStart"/>
      <w:r w:rsidRPr="00E02E63">
        <w:t>termínech</w:t>
      </w:r>
      <w:proofErr w:type="spellEnd"/>
      <w:r w:rsidRPr="00E02E63">
        <w:t xml:space="preserve"> </w:t>
      </w:r>
      <w:proofErr w:type="spellStart"/>
      <w:r w:rsidRPr="00E02E63">
        <w:t>dle</w:t>
      </w:r>
      <w:proofErr w:type="spellEnd"/>
      <w:r w:rsidRPr="00E02E63">
        <w:t xml:space="preserve"> </w:t>
      </w:r>
      <w:proofErr w:type="spellStart"/>
      <w:r w:rsidRPr="00E02E63">
        <w:t>dohody</w:t>
      </w:r>
      <w:proofErr w:type="spellEnd"/>
      <w:r w:rsidRPr="00E02E63">
        <w:t>.</w:t>
      </w:r>
    </w:p>
    <w:p w14:paraId="70CAF271" w14:textId="385F9F16" w:rsidR="00DC2239" w:rsidRDefault="0063788F">
      <w:pPr>
        <w:pStyle w:val="Level2"/>
        <w:numPr>
          <w:ilvl w:val="1"/>
          <w:numId w:val="25"/>
        </w:numPr>
        <w:outlineLvl w:val="2"/>
      </w:pPr>
      <w:proofErr w:type="spellStart"/>
      <w:r>
        <w:t>Časový</w:t>
      </w:r>
      <w:proofErr w:type="spellEnd"/>
      <w:r>
        <w:t xml:space="preserve"> </w:t>
      </w:r>
      <w:proofErr w:type="spellStart"/>
      <w:r>
        <w:t>harmonogram</w:t>
      </w:r>
      <w:proofErr w:type="spellEnd"/>
      <w:r>
        <w:t xml:space="preserve"> </w:t>
      </w:r>
      <w:proofErr w:type="spellStart"/>
      <w:r>
        <w:t>uvedený</w:t>
      </w:r>
      <w:proofErr w:type="spellEnd"/>
      <w:r>
        <w:t xml:space="preserve"> v </w:t>
      </w:r>
      <w:proofErr w:type="spellStart"/>
      <w:r>
        <w:t>Článku</w:t>
      </w:r>
      <w:proofErr w:type="spellEnd"/>
      <w:r>
        <w:t xml:space="preserve"> II </w:t>
      </w:r>
      <w:proofErr w:type="spellStart"/>
      <w:r>
        <w:t>odst</w:t>
      </w:r>
      <w:proofErr w:type="spellEnd"/>
      <w:r>
        <w:t xml:space="preserve">. 1 </w:t>
      </w:r>
      <w:proofErr w:type="spellStart"/>
      <w:r>
        <w:t>Smlouvy</w:t>
      </w:r>
      <w:proofErr w:type="spellEnd"/>
      <w:r>
        <w:t xml:space="preserve"> je </w:t>
      </w:r>
      <w:proofErr w:type="spellStart"/>
      <w:r>
        <w:t>možné</w:t>
      </w:r>
      <w:proofErr w:type="spellEnd"/>
      <w:r>
        <w:t xml:space="preserve"> </w:t>
      </w:r>
      <w:proofErr w:type="spellStart"/>
      <w:r>
        <w:t>dodržet</w:t>
      </w:r>
      <w:proofErr w:type="spellEnd"/>
      <w:r>
        <w:t xml:space="preserve"> </w:t>
      </w:r>
      <w:proofErr w:type="spellStart"/>
      <w:r>
        <w:t>pouze</w:t>
      </w:r>
      <w:proofErr w:type="spellEnd"/>
      <w:r>
        <w:t xml:space="preserve"> </w:t>
      </w:r>
      <w:proofErr w:type="spellStart"/>
      <w:r>
        <w:t>tehdy</w:t>
      </w:r>
      <w:proofErr w:type="spellEnd"/>
      <w:r>
        <w:t xml:space="preserve">, </w:t>
      </w:r>
      <w:proofErr w:type="spellStart"/>
      <w:r>
        <w:t>pokud</w:t>
      </w:r>
      <w:proofErr w:type="spellEnd"/>
      <w:r>
        <w:t xml:space="preserve"> </w:t>
      </w:r>
      <w:proofErr w:type="spellStart"/>
      <w:r>
        <w:t>Společnost</w:t>
      </w:r>
      <w:proofErr w:type="spellEnd"/>
      <w:r>
        <w:t xml:space="preserve"> </w:t>
      </w:r>
      <w:proofErr w:type="spellStart"/>
      <w:r>
        <w:t>poskytne</w:t>
      </w:r>
      <w:proofErr w:type="spellEnd"/>
      <w:r>
        <w:t xml:space="preserve"> </w:t>
      </w:r>
      <w:proofErr w:type="spellStart"/>
      <w:r>
        <w:t>Auditorovi</w:t>
      </w:r>
      <w:proofErr w:type="spellEnd"/>
      <w:r>
        <w:t xml:space="preserve"> </w:t>
      </w:r>
      <w:proofErr w:type="spellStart"/>
      <w:r>
        <w:t>veškeré</w:t>
      </w:r>
      <w:proofErr w:type="spellEnd"/>
      <w:r>
        <w:t xml:space="preserve"> </w:t>
      </w:r>
      <w:proofErr w:type="spellStart"/>
      <w:r>
        <w:t>požadované</w:t>
      </w:r>
      <w:proofErr w:type="spellEnd"/>
      <w:r>
        <w:t xml:space="preserve"> </w:t>
      </w:r>
      <w:proofErr w:type="spellStart"/>
      <w:r>
        <w:t>informace</w:t>
      </w:r>
      <w:proofErr w:type="spellEnd"/>
      <w:r>
        <w:t xml:space="preserve">, </w:t>
      </w:r>
      <w:proofErr w:type="spellStart"/>
      <w:r>
        <w:t>které</w:t>
      </w:r>
      <w:proofErr w:type="spellEnd"/>
      <w:r>
        <w:t xml:space="preserve"> </w:t>
      </w:r>
      <w:proofErr w:type="spellStart"/>
      <w:r>
        <w:t>jsou</w:t>
      </w:r>
      <w:proofErr w:type="spellEnd"/>
      <w:r>
        <w:t xml:space="preserve"> </w:t>
      </w:r>
      <w:proofErr w:type="spellStart"/>
      <w:r>
        <w:t>úplné</w:t>
      </w:r>
      <w:proofErr w:type="spellEnd"/>
      <w:r>
        <w:t xml:space="preserve">, </w:t>
      </w:r>
      <w:proofErr w:type="spellStart"/>
      <w:r>
        <w:t>přesné</w:t>
      </w:r>
      <w:proofErr w:type="spellEnd"/>
      <w:r>
        <w:t xml:space="preserve"> a v </w:t>
      </w:r>
      <w:proofErr w:type="spellStart"/>
      <w:r>
        <w:t>souladu</w:t>
      </w:r>
      <w:proofErr w:type="spellEnd"/>
      <w:r>
        <w:t xml:space="preserve"> s </w:t>
      </w:r>
      <w:proofErr w:type="spellStart"/>
      <w:r>
        <w:t>dohodnutým</w:t>
      </w:r>
      <w:proofErr w:type="spellEnd"/>
      <w:r>
        <w:t xml:space="preserve"> </w:t>
      </w:r>
      <w:proofErr w:type="spellStart"/>
      <w:r>
        <w:t>časovým</w:t>
      </w:r>
      <w:proofErr w:type="spellEnd"/>
      <w:r>
        <w:t xml:space="preserve"> </w:t>
      </w:r>
      <w:proofErr w:type="spellStart"/>
      <w:r>
        <w:t>plánem</w:t>
      </w:r>
      <w:proofErr w:type="spellEnd"/>
      <w:r>
        <w:t xml:space="preserve">. </w:t>
      </w:r>
      <w:proofErr w:type="spellStart"/>
      <w:r>
        <w:t>Termíny</w:t>
      </w:r>
      <w:proofErr w:type="spellEnd"/>
      <w:r>
        <w:t xml:space="preserve"> pro </w:t>
      </w:r>
      <w:proofErr w:type="spellStart"/>
      <w:r>
        <w:t>poskytování</w:t>
      </w:r>
      <w:proofErr w:type="spellEnd"/>
      <w:r>
        <w:t xml:space="preserve"> </w:t>
      </w:r>
      <w:proofErr w:type="spellStart"/>
      <w:r>
        <w:t>těchto</w:t>
      </w:r>
      <w:proofErr w:type="spellEnd"/>
      <w:r>
        <w:t xml:space="preserve"> </w:t>
      </w:r>
      <w:proofErr w:type="spellStart"/>
      <w:r>
        <w:t>informací</w:t>
      </w:r>
      <w:proofErr w:type="spellEnd"/>
      <w:r>
        <w:t xml:space="preserve"> </w:t>
      </w:r>
      <w:proofErr w:type="spellStart"/>
      <w:r>
        <w:t>jsou</w:t>
      </w:r>
      <w:proofErr w:type="spellEnd"/>
      <w:r>
        <w:t xml:space="preserve"> </w:t>
      </w:r>
      <w:proofErr w:type="spellStart"/>
      <w:r>
        <w:t>uvedeny</w:t>
      </w:r>
      <w:proofErr w:type="spellEnd"/>
      <w:r>
        <w:t xml:space="preserve"> v </w:t>
      </w:r>
      <w:proofErr w:type="spellStart"/>
      <w:r>
        <w:t>Článku</w:t>
      </w:r>
      <w:proofErr w:type="spellEnd"/>
      <w:r>
        <w:t xml:space="preserve"> II </w:t>
      </w:r>
      <w:proofErr w:type="spellStart"/>
      <w:r>
        <w:t>odst</w:t>
      </w:r>
      <w:proofErr w:type="spellEnd"/>
      <w:r>
        <w:t xml:space="preserve">. 1 </w:t>
      </w:r>
      <w:proofErr w:type="spellStart"/>
      <w:r>
        <w:t>Smlouvy</w:t>
      </w:r>
      <w:proofErr w:type="spellEnd"/>
      <w:r>
        <w:t>.</w:t>
      </w:r>
    </w:p>
    <w:p w14:paraId="34C3DEE0" w14:textId="77777777" w:rsidR="00DC2239" w:rsidRDefault="0063788F">
      <w:pPr>
        <w:pStyle w:val="Level2"/>
        <w:numPr>
          <w:ilvl w:val="1"/>
          <w:numId w:val="25"/>
        </w:numPr>
        <w:outlineLvl w:val="2"/>
      </w:pPr>
      <w:bookmarkStart w:id="6" w:name="bookmark-name-865_122143290"/>
      <w:bookmarkEnd w:id="6"/>
      <w:r>
        <w:t xml:space="preserve">V </w:t>
      </w:r>
      <w:proofErr w:type="spellStart"/>
      <w:r>
        <w:t>případě</w:t>
      </w:r>
      <w:proofErr w:type="spellEnd"/>
      <w:r>
        <w:t xml:space="preserve">, </w:t>
      </w:r>
      <w:proofErr w:type="spellStart"/>
      <w:r>
        <w:t>že</w:t>
      </w:r>
      <w:proofErr w:type="spellEnd"/>
      <w:r>
        <w:t xml:space="preserve"> z </w:t>
      </w:r>
      <w:proofErr w:type="spellStart"/>
      <w:r>
        <w:t>důvodů</w:t>
      </w:r>
      <w:proofErr w:type="spellEnd"/>
      <w:r>
        <w:t xml:space="preserve"> </w:t>
      </w:r>
      <w:proofErr w:type="spellStart"/>
      <w:proofErr w:type="gramStart"/>
      <w:r>
        <w:t>na</w:t>
      </w:r>
      <w:proofErr w:type="spellEnd"/>
      <w:proofErr w:type="gramEnd"/>
      <w:r>
        <w:t xml:space="preserve"> </w:t>
      </w:r>
      <w:proofErr w:type="spellStart"/>
      <w:r>
        <w:t>straně</w:t>
      </w:r>
      <w:proofErr w:type="spellEnd"/>
      <w:r>
        <w:t xml:space="preserve"> </w:t>
      </w:r>
      <w:proofErr w:type="spellStart"/>
      <w:r>
        <w:t>Společnosti</w:t>
      </w:r>
      <w:proofErr w:type="spellEnd"/>
      <w:r>
        <w:t xml:space="preserve"> </w:t>
      </w:r>
      <w:proofErr w:type="spellStart"/>
      <w:r>
        <w:t>dojde</w:t>
      </w:r>
      <w:proofErr w:type="spellEnd"/>
      <w:r>
        <w:t xml:space="preserve"> </w:t>
      </w:r>
      <w:proofErr w:type="spellStart"/>
      <w:r>
        <w:t>ke</w:t>
      </w:r>
      <w:proofErr w:type="spellEnd"/>
      <w:r>
        <w:t xml:space="preserve"> </w:t>
      </w:r>
      <w:proofErr w:type="spellStart"/>
      <w:r>
        <w:t>změně</w:t>
      </w:r>
      <w:proofErr w:type="spellEnd"/>
      <w:r>
        <w:t xml:space="preserve"> </w:t>
      </w:r>
      <w:proofErr w:type="spellStart"/>
      <w:r>
        <w:t>harmonogramu</w:t>
      </w:r>
      <w:proofErr w:type="spellEnd"/>
      <w:r>
        <w:t xml:space="preserve"> </w:t>
      </w:r>
      <w:proofErr w:type="spellStart"/>
      <w:r>
        <w:t>dle</w:t>
      </w:r>
      <w:proofErr w:type="spellEnd"/>
      <w:r>
        <w:t> </w:t>
      </w:r>
      <w:proofErr w:type="spellStart"/>
      <w:r>
        <w:t>Článku</w:t>
      </w:r>
      <w:proofErr w:type="spellEnd"/>
      <w:r>
        <w:t xml:space="preserve"> II, </w:t>
      </w:r>
      <w:proofErr w:type="spellStart"/>
      <w:r>
        <w:t>odst</w:t>
      </w:r>
      <w:proofErr w:type="spellEnd"/>
      <w:r>
        <w:t>. 1 </w:t>
      </w:r>
      <w:proofErr w:type="spellStart"/>
      <w:r>
        <w:t>Smlouvy</w:t>
      </w:r>
      <w:proofErr w:type="spellEnd"/>
      <w:r>
        <w:t xml:space="preserve"> </w:t>
      </w:r>
      <w:proofErr w:type="spellStart"/>
      <w:r>
        <w:t>či</w:t>
      </w:r>
      <w:proofErr w:type="spellEnd"/>
      <w:r>
        <w:t> </w:t>
      </w:r>
      <w:proofErr w:type="spellStart"/>
      <w:r>
        <w:t>rozsahu</w:t>
      </w:r>
      <w:proofErr w:type="spellEnd"/>
      <w:r>
        <w:t xml:space="preserve"> </w:t>
      </w:r>
      <w:proofErr w:type="spellStart"/>
      <w:r>
        <w:t>předmětu</w:t>
      </w:r>
      <w:proofErr w:type="spellEnd"/>
      <w:r>
        <w:t xml:space="preserve"> </w:t>
      </w:r>
      <w:proofErr w:type="spellStart"/>
      <w:r>
        <w:t>Smlouvy</w:t>
      </w:r>
      <w:proofErr w:type="spellEnd"/>
      <w:r>
        <w:t xml:space="preserve">, </w:t>
      </w:r>
      <w:proofErr w:type="spellStart"/>
      <w:r>
        <w:t>má</w:t>
      </w:r>
      <w:proofErr w:type="spellEnd"/>
      <w:r>
        <w:t xml:space="preserve"> Auditor </w:t>
      </w:r>
      <w:proofErr w:type="spellStart"/>
      <w:r>
        <w:t>nárok</w:t>
      </w:r>
      <w:proofErr w:type="spellEnd"/>
      <w:r>
        <w:t xml:space="preserve"> </w:t>
      </w:r>
      <w:proofErr w:type="spellStart"/>
      <w:proofErr w:type="gramStart"/>
      <w:r>
        <w:t>na</w:t>
      </w:r>
      <w:proofErr w:type="spellEnd"/>
      <w:proofErr w:type="gramEnd"/>
      <w:r>
        <w:t> </w:t>
      </w:r>
      <w:proofErr w:type="spellStart"/>
      <w:r>
        <w:t>přiměřené</w:t>
      </w:r>
      <w:proofErr w:type="spellEnd"/>
      <w:r>
        <w:t xml:space="preserve"> </w:t>
      </w:r>
      <w:proofErr w:type="spellStart"/>
      <w:r>
        <w:t>navýšení</w:t>
      </w:r>
      <w:proofErr w:type="spellEnd"/>
      <w:r>
        <w:t xml:space="preserve"> </w:t>
      </w:r>
      <w:proofErr w:type="spellStart"/>
      <w:r>
        <w:t>odměny</w:t>
      </w:r>
      <w:proofErr w:type="spellEnd"/>
      <w:r>
        <w:t xml:space="preserve"> </w:t>
      </w:r>
      <w:proofErr w:type="spellStart"/>
      <w:r>
        <w:t>dle</w:t>
      </w:r>
      <w:proofErr w:type="spellEnd"/>
      <w:r>
        <w:t> </w:t>
      </w:r>
      <w:proofErr w:type="spellStart"/>
      <w:r>
        <w:t>Článku</w:t>
      </w:r>
      <w:proofErr w:type="spellEnd"/>
      <w:r>
        <w:t xml:space="preserve"> III </w:t>
      </w:r>
      <w:proofErr w:type="spellStart"/>
      <w:r>
        <w:t>Smlouvy</w:t>
      </w:r>
      <w:proofErr w:type="spellEnd"/>
      <w:r>
        <w:t>.</w:t>
      </w:r>
    </w:p>
    <w:p w14:paraId="5949FABC" w14:textId="77777777" w:rsidR="00DC2239" w:rsidRDefault="0063788F">
      <w:pPr>
        <w:pStyle w:val="Body1"/>
        <w:jc w:val="center"/>
      </w:pPr>
      <w:r>
        <w:t>Článek III</w:t>
      </w:r>
    </w:p>
    <w:p w14:paraId="58F98CD8" w14:textId="77777777" w:rsidR="00DC2239" w:rsidRDefault="0063788F">
      <w:pPr>
        <w:pStyle w:val="Body1"/>
        <w:jc w:val="center"/>
      </w:pPr>
      <w:r>
        <w:t>Odměna a platební podmínky</w:t>
      </w:r>
    </w:p>
    <w:p w14:paraId="789D1AE6" w14:textId="77777777" w:rsidR="00DC2239" w:rsidRDefault="0063788F">
      <w:pPr>
        <w:pStyle w:val="Lev2Copy1"/>
        <w:numPr>
          <w:ilvl w:val="0"/>
          <w:numId w:val="29"/>
        </w:numPr>
        <w:outlineLvl w:val="2"/>
      </w:pPr>
      <w:bookmarkStart w:id="7" w:name="bookmark-name-891_122143315"/>
      <w:bookmarkEnd w:id="7"/>
      <w:r>
        <w:t>Za rozsah práce uvedené v Článku I bude Auditorovi vyplacena odměna stanovená v Článku III, odst. 2.</w:t>
      </w:r>
    </w:p>
    <w:p w14:paraId="3C45C69F" w14:textId="77D611FD" w:rsidR="002A4E89" w:rsidRDefault="0063788F">
      <w:pPr>
        <w:pStyle w:val="Lev2Copy1"/>
        <w:numPr>
          <w:ilvl w:val="0"/>
          <w:numId w:val="29"/>
        </w:numPr>
        <w:outlineLvl w:val="2"/>
      </w:pPr>
      <w:bookmarkStart w:id="8" w:name="bookmark-name-897_122143321"/>
      <w:bookmarkEnd w:id="8"/>
      <w:r>
        <w:t xml:space="preserve">Smluvní strany se dohodly na </w:t>
      </w:r>
      <w:r w:rsidR="002A4E89">
        <w:t xml:space="preserve">celkové </w:t>
      </w:r>
      <w:r>
        <w:t>odměně ve výši </w:t>
      </w:r>
      <w:r w:rsidR="002A4E89">
        <w:t>1 931 </w:t>
      </w:r>
      <w:r>
        <w:t>000 Kč, která bude fakturovaná za práce uvedené v Článku I. Tato odměna nezahrnuje DPH.</w:t>
      </w:r>
    </w:p>
    <w:p w14:paraId="3E1DE0FE" w14:textId="293EE331" w:rsidR="00DC2239" w:rsidRDefault="002A4E89" w:rsidP="00C0539C">
      <w:pPr>
        <w:pStyle w:val="Lev2Copy1"/>
        <w:numPr>
          <w:ilvl w:val="0"/>
          <w:numId w:val="0"/>
        </w:numPr>
        <w:ind w:left="567"/>
        <w:outlineLvl w:val="2"/>
      </w:pPr>
      <w:r>
        <w:lastRenderedPageBreak/>
        <w:t xml:space="preserve">Odměna za </w:t>
      </w:r>
      <w:r w:rsidRPr="002A4E89">
        <w:t xml:space="preserve">audit účetní závěrky Společnosti </w:t>
      </w:r>
      <w:r>
        <w:t xml:space="preserve">a </w:t>
      </w:r>
      <w:r w:rsidRPr="002A4E89">
        <w:t>ověř</w:t>
      </w:r>
      <w:r>
        <w:t>ení</w:t>
      </w:r>
      <w:r w:rsidRPr="002A4E89">
        <w:t xml:space="preserve"> údaj</w:t>
      </w:r>
      <w:r>
        <w:t>ů</w:t>
      </w:r>
      <w:r w:rsidRPr="002A4E89">
        <w:t xml:space="preserve"> obsažen</w:t>
      </w:r>
      <w:r>
        <w:t>ých</w:t>
      </w:r>
      <w:r w:rsidRPr="002A4E89">
        <w:t xml:space="preserve"> ve výroční zprávě Společnosti včetně připojené zprávy o vztazích za rok končící 31. prosince 2023</w:t>
      </w:r>
      <w:r>
        <w:t xml:space="preserve"> ve výši 620 000 Kč bude fakturována následovně:</w:t>
      </w:r>
    </w:p>
    <w:p w14:paraId="1B4D386F" w14:textId="19E99CA8" w:rsidR="00DC2239" w:rsidRDefault="0063788F">
      <w:pPr>
        <w:pStyle w:val="Level4"/>
        <w:numPr>
          <w:ilvl w:val="0"/>
          <w:numId w:val="30"/>
        </w:numPr>
        <w:outlineLvl w:val="4"/>
      </w:pPr>
      <w:bookmarkStart w:id="9" w:name="bookmark-name-920_122143344"/>
      <w:bookmarkEnd w:id="9"/>
      <w:r>
        <w:t>První dílčí faktura ve výši 290 000 Kč při zahájení předběžného auditu, ale nejpozději do 30. listopadu 2023.</w:t>
      </w:r>
    </w:p>
    <w:p w14:paraId="7C7AAAB9" w14:textId="77777777" w:rsidR="00DC2239" w:rsidRDefault="0063788F">
      <w:pPr>
        <w:pStyle w:val="Level4"/>
        <w:numPr>
          <w:ilvl w:val="0"/>
          <w:numId w:val="30"/>
        </w:numPr>
        <w:outlineLvl w:val="4"/>
      </w:pPr>
      <w:bookmarkStart w:id="10" w:name="bookmark-name-937_122143361"/>
      <w:bookmarkEnd w:id="10"/>
      <w:r>
        <w:t>Druhá dílčí faktura ve výši 290 000 Kč při zahájení konečného auditu, ale nejpozději do 31. ledna 2024.</w:t>
      </w:r>
    </w:p>
    <w:p w14:paraId="08F48873" w14:textId="60EA238B" w:rsidR="00DC2239" w:rsidRDefault="0063788F">
      <w:pPr>
        <w:pStyle w:val="Level4"/>
        <w:numPr>
          <w:ilvl w:val="0"/>
          <w:numId w:val="30"/>
        </w:numPr>
        <w:outlineLvl w:val="4"/>
      </w:pPr>
      <w:bookmarkStart w:id="11" w:name="bookmark-name-974_122143398"/>
      <w:bookmarkEnd w:id="11"/>
      <w:r>
        <w:t>Konečná faktura ve výši 40 000 Kč při předložení zprávy o auditu, ale nejpozději do 15. dubna 2024.</w:t>
      </w:r>
    </w:p>
    <w:p w14:paraId="3C71E173" w14:textId="5E069F50" w:rsidR="002A4E89" w:rsidRDefault="002A4E89" w:rsidP="00C0539C">
      <w:pPr>
        <w:pStyle w:val="Level4"/>
        <w:numPr>
          <w:ilvl w:val="0"/>
          <w:numId w:val="0"/>
        </w:numPr>
        <w:ind w:left="567"/>
        <w:outlineLvl w:val="2"/>
      </w:pPr>
      <w:r>
        <w:t xml:space="preserve">Odměna za </w:t>
      </w:r>
      <w:r w:rsidRPr="002A4E89">
        <w:t xml:space="preserve">audit účetní závěrky Společnosti </w:t>
      </w:r>
      <w:r>
        <w:t xml:space="preserve">a </w:t>
      </w:r>
      <w:r w:rsidRPr="002A4E89">
        <w:t>ověř</w:t>
      </w:r>
      <w:r>
        <w:t>ení</w:t>
      </w:r>
      <w:r w:rsidRPr="002A4E89">
        <w:t xml:space="preserve"> údaj</w:t>
      </w:r>
      <w:r>
        <w:t>ů</w:t>
      </w:r>
      <w:r w:rsidRPr="002A4E89">
        <w:t xml:space="preserve"> obsažen</w:t>
      </w:r>
      <w:r>
        <w:t>ých</w:t>
      </w:r>
      <w:r w:rsidRPr="002A4E89">
        <w:t xml:space="preserve"> ve výroční zprávě Společnosti včetně připojené zprávy o vztazích za rok končící 31. prosince 2023</w:t>
      </w:r>
      <w:r>
        <w:t xml:space="preserve"> ve výši 646 000 Kč bude fakturována následovně:</w:t>
      </w:r>
    </w:p>
    <w:p w14:paraId="6189BEFE" w14:textId="0A72B988" w:rsidR="002A4E89" w:rsidRDefault="002A4E89" w:rsidP="00C0539C">
      <w:pPr>
        <w:pStyle w:val="Level4"/>
        <w:numPr>
          <w:ilvl w:val="0"/>
          <w:numId w:val="32"/>
        </w:numPr>
        <w:outlineLvl w:val="4"/>
      </w:pPr>
      <w:r>
        <w:t>První dílčí faktura ve výši 300 000 Kč při zahájení předběžného auditu, ale nejpozději do 30. listopadu 2024.</w:t>
      </w:r>
    </w:p>
    <w:p w14:paraId="7C70F91A" w14:textId="4DEFC7F8" w:rsidR="002A4E89" w:rsidRDefault="002A4E89" w:rsidP="002A4E89">
      <w:pPr>
        <w:pStyle w:val="Level4"/>
        <w:numPr>
          <w:ilvl w:val="0"/>
          <w:numId w:val="30"/>
        </w:numPr>
        <w:outlineLvl w:val="4"/>
      </w:pPr>
      <w:r>
        <w:t>Druhá dílčí faktura ve výši 300 000 Kč při zahájení konečného auditu, ale nejpozději do 31. ledna 2025.</w:t>
      </w:r>
    </w:p>
    <w:p w14:paraId="15114AB1" w14:textId="1B0720F6" w:rsidR="002A4E89" w:rsidRDefault="002A4E89" w:rsidP="002A4E89">
      <w:pPr>
        <w:pStyle w:val="Level4"/>
        <w:numPr>
          <w:ilvl w:val="0"/>
          <w:numId w:val="30"/>
        </w:numPr>
        <w:outlineLvl w:val="4"/>
      </w:pPr>
      <w:r>
        <w:t>Konečná faktura ve výši 46 000 Kč při předložení zprávy o auditu, ale nejpozději do 15. dubna 2025.</w:t>
      </w:r>
    </w:p>
    <w:p w14:paraId="2F17C594" w14:textId="3E03A390" w:rsidR="002A4E89" w:rsidRDefault="002A4E89" w:rsidP="00C0539C">
      <w:pPr>
        <w:pStyle w:val="Level4"/>
        <w:numPr>
          <w:ilvl w:val="0"/>
          <w:numId w:val="0"/>
        </w:numPr>
        <w:ind w:left="567"/>
        <w:outlineLvl w:val="2"/>
      </w:pPr>
      <w:r>
        <w:t xml:space="preserve">Odměna za </w:t>
      </w:r>
      <w:r w:rsidRPr="002A4E89">
        <w:t xml:space="preserve">audit účetní závěrky Společnosti </w:t>
      </w:r>
      <w:r>
        <w:t xml:space="preserve">a </w:t>
      </w:r>
      <w:r w:rsidRPr="002A4E89">
        <w:t>ověř</w:t>
      </w:r>
      <w:r>
        <w:t>ení</w:t>
      </w:r>
      <w:r w:rsidRPr="002A4E89">
        <w:t xml:space="preserve"> údaj</w:t>
      </w:r>
      <w:r>
        <w:t>ů</w:t>
      </w:r>
      <w:r w:rsidRPr="002A4E89">
        <w:t xml:space="preserve"> obsažen</w:t>
      </w:r>
      <w:r>
        <w:t>ých</w:t>
      </w:r>
      <w:r w:rsidRPr="002A4E89">
        <w:t xml:space="preserve"> ve výroční zprávě Společnosti včetně připojené zprávy o vztazích za rok končící 31. prosince 2023</w:t>
      </w:r>
      <w:r>
        <w:t xml:space="preserve"> ve výši 665 000 Kč bude fakturována následovně:</w:t>
      </w:r>
    </w:p>
    <w:p w14:paraId="4FAAEC3D" w14:textId="354A9A2D" w:rsidR="002A4E89" w:rsidRDefault="002A4E89" w:rsidP="00C0539C">
      <w:pPr>
        <w:pStyle w:val="Level4"/>
        <w:numPr>
          <w:ilvl w:val="0"/>
          <w:numId w:val="33"/>
        </w:numPr>
        <w:outlineLvl w:val="4"/>
      </w:pPr>
      <w:r>
        <w:t>První dílčí faktura ve výši 310 000 Kč při zahájení předběžného auditu, ale nejpozději do 30. listopadu 2025.</w:t>
      </w:r>
    </w:p>
    <w:p w14:paraId="6B35C96F" w14:textId="2940F98B" w:rsidR="002A4E89" w:rsidRDefault="002A4E89" w:rsidP="002A4E89">
      <w:pPr>
        <w:pStyle w:val="Level4"/>
        <w:numPr>
          <w:ilvl w:val="0"/>
          <w:numId w:val="30"/>
        </w:numPr>
        <w:outlineLvl w:val="4"/>
      </w:pPr>
      <w:r>
        <w:t>Druhá dílčí faktura ve výši 310 000 Kč při zahájení konečného auditu, ale nejpozději do 31. ledna 2026.</w:t>
      </w:r>
    </w:p>
    <w:p w14:paraId="097D8909" w14:textId="18C8EE81" w:rsidR="002A4E89" w:rsidRDefault="002A4E89" w:rsidP="002A4E89">
      <w:pPr>
        <w:pStyle w:val="Level4"/>
        <w:numPr>
          <w:ilvl w:val="0"/>
          <w:numId w:val="30"/>
        </w:numPr>
        <w:outlineLvl w:val="4"/>
      </w:pPr>
      <w:r>
        <w:t>Konečná faktura ve výši 45 000 Kč při předložení zprávy o auditu, ale nejpozději do 15. dubna 2026.</w:t>
      </w:r>
    </w:p>
    <w:p w14:paraId="28236664" w14:textId="1BEC81F2" w:rsidR="00DC2239" w:rsidRDefault="0063788F">
      <w:pPr>
        <w:pStyle w:val="Lev2Copy1"/>
        <w:numPr>
          <w:ilvl w:val="0"/>
          <w:numId w:val="29"/>
        </w:numPr>
        <w:outlineLvl w:val="2"/>
      </w:pPr>
      <w:bookmarkStart w:id="12" w:name="bookmark-name-1017_122143441"/>
      <w:bookmarkEnd w:id="12"/>
      <w:r>
        <w:t>DPH bude účtována v platné sazbě k datu vystavení faktury. K datu Smlouvy činí sazba DPH 21 %.</w:t>
      </w:r>
      <w:r w:rsidR="00E02E63">
        <w:t xml:space="preserve"> </w:t>
      </w:r>
      <w:r w:rsidR="002A4E89">
        <w:t>Celková o</w:t>
      </w:r>
      <w:r w:rsidR="00E02E63">
        <w:t xml:space="preserve">dměna v souladu s platnou sazbou tedy představuje </w:t>
      </w:r>
      <w:r w:rsidR="002A4E89">
        <w:t>2 336 510</w:t>
      </w:r>
      <w:r w:rsidR="00E02E63">
        <w:t xml:space="preserve"> Kč.</w:t>
      </w:r>
    </w:p>
    <w:p w14:paraId="78D6822B" w14:textId="77777777" w:rsidR="00DC2239" w:rsidRDefault="0063788F">
      <w:pPr>
        <w:pStyle w:val="Lev2Copy1"/>
        <w:numPr>
          <w:ilvl w:val="0"/>
          <w:numId w:val="29"/>
        </w:numPr>
        <w:outlineLvl w:val="2"/>
      </w:pPr>
      <w:bookmarkStart w:id="13" w:name="bookmark-name-1019_122143443"/>
      <w:bookmarkStart w:id="14" w:name="bookmark-name-1046_122143470"/>
      <w:bookmarkEnd w:id="13"/>
      <w:bookmarkEnd w:id="14"/>
      <w:r>
        <w:t>Odměna bude fakturována v českých korunách včetně DPH. Všechny faktury jsou splatné do 21 dní ode dne vystavení.</w:t>
      </w:r>
    </w:p>
    <w:p w14:paraId="584CAD2C" w14:textId="77777777" w:rsidR="00DC2239" w:rsidRDefault="0063788F">
      <w:pPr>
        <w:pStyle w:val="Lev2Copy1"/>
        <w:numPr>
          <w:ilvl w:val="0"/>
          <w:numId w:val="29"/>
        </w:numPr>
        <w:outlineLvl w:val="2"/>
      </w:pPr>
      <w:bookmarkStart w:id="15" w:name="bookmark-name-1055_122143479"/>
      <w:bookmarkEnd w:id="15"/>
      <w:r>
        <w:t>Odměna uvedená výše předpokládá, že informace a doklady, jak je odsouhlaseno v Článku II, odst. 1, byly poskytnuty Auditorovi v přijatelném standardu a v souladu s dohodnutým časovým harmonogramem. Auditor souhlasí s tím, že Společnost upozorní na jakékoli nedostatky, které zjistí při plnění tohoto požadavku. Pokud však nebude Společnost schopna daný nedostatek odstranit a Auditorovi vzniknou dodatečné náklady, má Auditor nárok na navýšení odměny ve výši takto vynaložených nákladů. Tato dodatečná odměna bude stanovena a fakturována okamžitě po dokončení dodatečné práce.</w:t>
      </w:r>
    </w:p>
    <w:p w14:paraId="109C4D13" w14:textId="32AAA3AE" w:rsidR="00DC2239" w:rsidRDefault="0063788F">
      <w:pPr>
        <w:pStyle w:val="Lev2Copy1"/>
        <w:numPr>
          <w:ilvl w:val="0"/>
          <w:numId w:val="29"/>
        </w:numPr>
        <w:outlineLvl w:val="2"/>
      </w:pPr>
      <w:bookmarkStart w:id="16" w:name="bookmark-name-1065_122143489"/>
      <w:bookmarkEnd w:id="16"/>
      <w:r>
        <w:t>Při plánování auditu stanoví Auditor jak auditorské činnosti, tak počet hodin potřebných na realizaci prací definovaných v Článku I, a před zahájením auditu se na nich dohodne se Společností. Rozsah služeb lze rozšířit na základě žádosti Společnosti (učiněné písemně, e-mailem, faxem, ústně či jiným způsobem) o poskytnutí služby mimo rozsah stanovených Smlouvou. Auditor Společnosti potvrdí (písemně, e-mailem, faxem, ústně či jiným způsobem) poskytnutí takové služby, popř. takovou službu Společnosti rovnou poskytne. Rozšíření rozsahu prací, prodleva v předání informací Společností Auditorovi nebo neposkytování údajů v předepsaném formátu, nedostupnost klíčových zaměstnanců Společnosti nebo jiné události, které způsobí neefektivnost práce Auditora, povedou ke zvýšení odměny nutné k pokrytí nákladů spojených s dalšími nezbytnými pracemi v souladu s běžnými sazbami účtovanými Auditorem. Společnost prohlašuje, že tyto jsou jim známy a že s nimi souhlasí. Tyto sazby jsou platné pro kalendářní rok, ve kterém byla Smlouva uzavřena</w:t>
      </w:r>
      <w:r w:rsidR="006F4FD6">
        <w:t>.</w:t>
      </w:r>
      <w:r w:rsidR="00E02E63" w:rsidRPr="00E02E63">
        <w:t xml:space="preserve"> Každá taková úprava odměny může být provedena pouze po předchozím odsouhlasení smluvními stranami, v hodinové sazbě 2 300 Kč/hod. bez DPH.  </w:t>
      </w:r>
    </w:p>
    <w:p w14:paraId="22767C44" w14:textId="3AC0BD7A" w:rsidR="00DC2239" w:rsidRDefault="0063788F">
      <w:pPr>
        <w:pStyle w:val="Lev2Copy1"/>
        <w:numPr>
          <w:ilvl w:val="0"/>
          <w:numId w:val="29"/>
        </w:numPr>
        <w:outlineLvl w:val="2"/>
      </w:pPr>
      <w:bookmarkStart w:id="17" w:name="bookmark-name-1102_122143525"/>
      <w:bookmarkEnd w:id="17"/>
      <w:r>
        <w:t xml:space="preserve">Dále pokud jakýkoli nedostatek </w:t>
      </w:r>
      <w:r w:rsidR="00E5200F">
        <w:t xml:space="preserve">způsobený Společností </w:t>
      </w:r>
      <w:r>
        <w:t>uvedený výše způsobí prodlevu v dodržování časového harmonogramu uvedeného v Článku II, odst. 1, nebude Auditor odpovědný za jakékoli nároky vznesené na základě Smlouvy, způsobené přímo nebo nepřímo takovým prodlením.</w:t>
      </w:r>
    </w:p>
    <w:p w14:paraId="3689EFCE" w14:textId="77777777" w:rsidR="00DC2239" w:rsidRDefault="0063788F">
      <w:pPr>
        <w:pStyle w:val="Lev2Copy1"/>
        <w:numPr>
          <w:ilvl w:val="0"/>
          <w:numId w:val="29"/>
        </w:numPr>
        <w:outlineLvl w:val="2"/>
      </w:pPr>
      <w:bookmarkStart w:id="18" w:name="bookmark-name-1104_122143527"/>
      <w:bookmarkEnd w:id="18"/>
      <w:r>
        <w:t>Pokud to bude nezbytné, sjednají smluvní strany dodatečnou platbu za dodatečné služby nebo za poradenské práce poskytnuté Auditorem.</w:t>
      </w:r>
    </w:p>
    <w:p w14:paraId="64C18707" w14:textId="4D4D89EA" w:rsidR="00DC2239" w:rsidRDefault="0063788F">
      <w:pPr>
        <w:pStyle w:val="Lev2Copy1"/>
        <w:numPr>
          <w:ilvl w:val="0"/>
          <w:numId w:val="29"/>
        </w:numPr>
        <w:outlineLvl w:val="2"/>
      </w:pPr>
      <w:bookmarkStart w:id="19" w:name="bookmark-name-1106_122143529"/>
      <w:bookmarkEnd w:id="19"/>
      <w:r>
        <w:lastRenderedPageBreak/>
        <w:t>V případě, že Společnost neuhradí jakoukoli platbu uvedenou v Článku III, odst. 2 ve sjednaném termínu</w:t>
      </w:r>
      <w:r w:rsidR="00B1392C">
        <w:t>, ani do pěti pracovních dnů po písemném upozornění</w:t>
      </w:r>
      <w:r>
        <w:t>, bude Auditor oprávněn (bez újmy na ostatních právech) zastavit veškeré práce, které se mají podle Smlouvy provádět, nebo od Smlouvy odstoupit a žádat od Společnosti náhradu za čas a náklady, které Auditor vynaložil při výkonu auditorských prací do data odstoupení od Smlouvy, i včetně tohoto data. Nárok Auditora na náhradu škody není tímto dotčen.</w:t>
      </w:r>
    </w:p>
    <w:p w14:paraId="722FB17B" w14:textId="77777777" w:rsidR="00DC2239" w:rsidRDefault="0063788F">
      <w:pPr>
        <w:pStyle w:val="Body1"/>
        <w:jc w:val="center"/>
      </w:pPr>
      <w:r>
        <w:t>Článek IV</w:t>
      </w:r>
    </w:p>
    <w:p w14:paraId="2AB8A8EE" w14:textId="77777777" w:rsidR="00DC2239" w:rsidRDefault="0063788F">
      <w:pPr>
        <w:pStyle w:val="Body1"/>
        <w:jc w:val="center"/>
      </w:pPr>
      <w:r>
        <w:t>Závěrečná ustanovení</w:t>
      </w:r>
    </w:p>
    <w:p w14:paraId="09358602" w14:textId="77777777" w:rsidR="00DC2239" w:rsidRDefault="0063788F">
      <w:pPr>
        <w:pStyle w:val="Lev2Copy2"/>
        <w:numPr>
          <w:ilvl w:val="0"/>
          <w:numId w:val="31"/>
        </w:numPr>
        <w:outlineLvl w:val="2"/>
      </w:pPr>
      <w:bookmarkStart w:id="20" w:name="bookmark-name-1132_122143554"/>
      <w:bookmarkEnd w:id="20"/>
      <w:r>
        <w:t>Společnost prohlašuje, že Auditor byl určen nejvyšším orgánem Společnosti, případně dozorčím orgánem Společnosti, v souladu s § 17 zákona o auditorech, a že Společnost je oprávněna Smlouvu s Auditorem uzavřít.</w:t>
      </w:r>
    </w:p>
    <w:p w14:paraId="6562C282" w14:textId="77777777" w:rsidR="00DC2239" w:rsidRDefault="0063788F">
      <w:pPr>
        <w:pStyle w:val="Lev2Copy2"/>
        <w:numPr>
          <w:ilvl w:val="0"/>
          <w:numId w:val="31"/>
        </w:numPr>
        <w:outlineLvl w:val="2"/>
      </w:pPr>
      <w:bookmarkStart w:id="21" w:name="bookmark-name-1145_122143567"/>
      <w:bookmarkEnd w:id="21"/>
      <w:r>
        <w:t>Obchodní podmínky tvoří nedílnou součást Smlouvy.</w:t>
      </w:r>
    </w:p>
    <w:p w14:paraId="18CCCF85" w14:textId="77777777" w:rsidR="00DC2239" w:rsidRDefault="0063788F">
      <w:pPr>
        <w:pStyle w:val="Lev2Copy2"/>
        <w:numPr>
          <w:ilvl w:val="0"/>
          <w:numId w:val="31"/>
        </w:numPr>
        <w:outlineLvl w:val="2"/>
      </w:pPr>
      <w:bookmarkStart w:id="22" w:name="bookmark-name-1147_122143569"/>
      <w:bookmarkEnd w:id="22"/>
      <w:r>
        <w:t>Strany si jsou vědomy, že intenzita různých narušení souvisejících s onemocněním COVID-19 se nadále nepředvídatelně mění. V této souvislosti příslušné orgány rozhodly (nebo v budoucnu mohou rozhodnout) o restriktivních opatřeních nebo doporučily (nebo v budoucnu mohou doporučit) opatření, která mohou ovlivnit poskytování služeb podle této smlouvy. Strany se budou v dobré víře snažit minimalizovat dopad těchto opatření na plnění svých povinností z této smlouvy, včetně, avšak nikoliv výlučně, termínů, a budou se vzájemně informovat o možných dopadech na smluvní povinnosti, dají-li se takové dopady rozumně očekávat.</w:t>
      </w:r>
    </w:p>
    <w:p w14:paraId="0441D013" w14:textId="77777777" w:rsidR="00DC2239" w:rsidRDefault="0063788F">
      <w:pPr>
        <w:pStyle w:val="Body2"/>
      </w:pPr>
      <w:r>
        <w:t>Aniž by tím byla dotčena ostatní ustanovení této smlouvy, jsou si strany vědomy, že v důsledku překážek kladených jejich činnosti v souvislosti s onemocněním COVID-19 může být nezbytné odchýlit se od lhůt pro splnění jednotlivých povinností sjednaných v této smlouvě, přičemž v takovém případě nebude příslušná strana odpovědná za případné důsledky takového prodlení a příslušné termíny a lhůty budou přiměřeně prodlouženy. Nastane-li taková situace, bude ovlivněná strana informovat bez zbytečného odkladu druhou stranu.</w:t>
      </w:r>
    </w:p>
    <w:p w14:paraId="6BD82990" w14:textId="77777777" w:rsidR="00DC2239" w:rsidRDefault="0063788F">
      <w:pPr>
        <w:pStyle w:val="Lev2Copy2"/>
        <w:numPr>
          <w:ilvl w:val="0"/>
          <w:numId w:val="31"/>
        </w:numPr>
        <w:outlineLvl w:val="2"/>
      </w:pPr>
      <w:bookmarkStart w:id="23" w:name="bookmark-name-1157_122143576"/>
      <w:bookmarkEnd w:id="23"/>
      <w:r>
        <w:t>V případě jakýchkoliv rozporů mezi Smlouvou a Obchodními podmínkami mají přednost ustanovení Smlouvy.</w:t>
      </w:r>
    </w:p>
    <w:p w14:paraId="5EBF7026" w14:textId="77777777" w:rsidR="00DC2239" w:rsidRDefault="0063788F">
      <w:pPr>
        <w:pStyle w:val="Lev2Copy2"/>
        <w:numPr>
          <w:ilvl w:val="0"/>
          <w:numId w:val="31"/>
        </w:numPr>
        <w:outlineLvl w:val="2"/>
      </w:pPr>
      <w:bookmarkStart w:id="24" w:name="bookmark-name-1159_122143578"/>
      <w:bookmarkEnd w:id="24"/>
      <w:r>
        <w:t>Jakékoliv změny Smlouvy musí být provedeny písemnou formou a podepsány oběma smluvními stranami.</w:t>
      </w:r>
    </w:p>
    <w:p w14:paraId="713E3EF0" w14:textId="77777777" w:rsidR="00DC2239" w:rsidRDefault="0063788F">
      <w:pPr>
        <w:pStyle w:val="Lev2Copy2"/>
        <w:numPr>
          <w:ilvl w:val="0"/>
          <w:numId w:val="31"/>
        </w:numPr>
        <w:outlineLvl w:val="2"/>
      </w:pPr>
      <w:bookmarkStart w:id="25" w:name="bookmark-name-1161_122143580"/>
      <w:bookmarkEnd w:id="25"/>
      <w:r>
        <w:t>Pokud se smluvní strany nedohodnou písemně jinak, bude se poskytování jakýchkoliv dodatečných prací, které si Společnost od Auditora vyžádá, řídit ustanoveními Smlouvy.</w:t>
      </w:r>
    </w:p>
    <w:p w14:paraId="7C0174EB" w14:textId="77777777" w:rsidR="00DC2239" w:rsidRDefault="0063788F">
      <w:pPr>
        <w:pStyle w:val="Lev2Copy2"/>
        <w:numPr>
          <w:ilvl w:val="0"/>
          <w:numId w:val="31"/>
        </w:numPr>
        <w:outlineLvl w:val="2"/>
      </w:pPr>
      <w:bookmarkStart w:id="26" w:name="bookmark-name-1185_122143603"/>
      <w:bookmarkEnd w:id="26"/>
      <w:r>
        <w:t>Smluvní strany prohlašují, že si před podpisem Smlouvu přečetly, celému znění rozumí a uzavřely ji v dobré víře podle jejich svobodné a vážné vůle, na důkaz čehož k ní připojují své podpisy.</w:t>
      </w:r>
    </w:p>
    <w:p w14:paraId="5EEF65C3" w14:textId="77777777" w:rsidR="00DC2239" w:rsidRDefault="0063788F">
      <w:pPr>
        <w:pStyle w:val="Lev2Copy2"/>
        <w:numPr>
          <w:ilvl w:val="0"/>
          <w:numId w:val="31"/>
        </w:numPr>
        <w:outlineLvl w:val="2"/>
      </w:pPr>
      <w:bookmarkStart w:id="27" w:name="bookmark-name-1187_122143605"/>
      <w:bookmarkEnd w:id="27"/>
      <w:r>
        <w:t>Pokud se stane zřejmým, že některé ustanovení nebo část ustanovení Smlouvy je neplatné nebo neúčinné, ostatní ustanovení Smlouvy zůstávají v platnosti a účinnosti. V takovém případě zahájí smluvní strany jednání v dobré víře, jehož cílem bude dohodnout se na platných a vymahatelných ustanoveních, která se budou v maximální možné míře blížit významu a účelu Smlouvy.</w:t>
      </w:r>
    </w:p>
    <w:p w14:paraId="211FD690" w14:textId="6A2958AF" w:rsidR="00DC2239" w:rsidRDefault="0063788F">
      <w:pPr>
        <w:pStyle w:val="Lev2Copy2"/>
        <w:numPr>
          <w:ilvl w:val="0"/>
          <w:numId w:val="31"/>
        </w:numPr>
        <w:outlineLvl w:val="2"/>
      </w:pPr>
      <w:bookmarkStart w:id="28" w:name="bookmark-name-1190_122143608"/>
      <w:bookmarkEnd w:id="28"/>
      <w:r>
        <w:t>Ustanovení Smlouvy se řídí a budou vykládána podle českého práva v platném znění. Smluvní strany se dohodly, že veškeré spory, které by mohly ze Smlouvy vyplynout, urovnají dohodou jako primární volbou způsobu řešení sporů. Pokud nebudou smluvní strany schopné dosáhnout dohody do 60 dnů (nebo jiná lhůta dohodnutá oběma smluvními stranami), budou spory, které by mohly ze Smlouvy vyplynout, předloženy českým soudům.</w:t>
      </w:r>
    </w:p>
    <w:p w14:paraId="253B64C4" w14:textId="77777777" w:rsidR="00FB2B1F" w:rsidRDefault="00FB2B1F" w:rsidP="00FB2B1F">
      <w:pPr>
        <w:pStyle w:val="Lev2Copy2"/>
        <w:numPr>
          <w:ilvl w:val="0"/>
          <w:numId w:val="31"/>
        </w:numPr>
        <w:outlineLvl w:val="2"/>
      </w:pPr>
      <w: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6B3A343B" w14:textId="77777777" w:rsidR="00FB2B1F" w:rsidRDefault="00FB2B1F" w:rsidP="00FB2B1F">
      <w:pPr>
        <w:pStyle w:val="Lev2Copy2"/>
        <w:numPr>
          <w:ilvl w:val="0"/>
          <w:numId w:val="31"/>
        </w:numPr>
      </w:pPr>
      <w:r>
        <w:t>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ethics@suez.com.</w:t>
      </w:r>
    </w:p>
    <w:p w14:paraId="22634D00" w14:textId="77777777" w:rsidR="00FB2B1F" w:rsidRDefault="00FB2B1F" w:rsidP="00FB2B1F">
      <w:pPr>
        <w:pStyle w:val="Lev2Copy2"/>
        <w:numPr>
          <w:ilvl w:val="0"/>
          <w:numId w:val="31"/>
        </w:numPr>
      </w:pPr>
      <w:r>
        <w:t>Auditor bere na vědomí, že společnost Brněnské vodárny a kanalizace, a.s. je povinným subjektem dle zákona č. 106/1999 Sb., o svobodném přístupu k informacím, ve znění pozdějších předpisů.</w:t>
      </w:r>
    </w:p>
    <w:p w14:paraId="4F3C10E2" w14:textId="562EEF48" w:rsidR="00FB2B1F" w:rsidRDefault="00FB2B1F" w:rsidP="00FB2B1F">
      <w:pPr>
        <w:pStyle w:val="Lev2Copy2"/>
        <w:numPr>
          <w:ilvl w:val="0"/>
          <w:numId w:val="31"/>
        </w:numPr>
      </w:pPr>
      <w:r>
        <w:lastRenderedPageBreak/>
        <w:t>Tato smlouva byla uzavřena v běžném obchodním styku právnickou osobou, která byla založena za účelem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(dále jako „zákon o registru smluv“), pro naplnění zásady transparentnosti při uzavírání smlouvy se smluvní strany dohodly, že Brněnské vodárny a kanalizace, a.s. zajistí zveřejnění smlouvy v registru smluv. Smluvní strany prohlašují, že skutečnosti uvedené v této smlouvě nepovažují za obchodní tajemství ve smyslu ustanovení § 504 občanského zákoníku a udělují svolení k jejich užití a zveřejnění bez stanovení jakýchkoliv dalších podmínek.</w:t>
      </w:r>
    </w:p>
    <w:p w14:paraId="5D771B4B" w14:textId="77777777" w:rsidR="00DC2239" w:rsidRDefault="0063788F">
      <w:pPr>
        <w:pStyle w:val="Lev2Copy2"/>
        <w:numPr>
          <w:ilvl w:val="0"/>
          <w:numId w:val="31"/>
        </w:numPr>
        <w:outlineLvl w:val="2"/>
      </w:pPr>
      <w:bookmarkStart w:id="29" w:name="bookmark-name-1192_122143610"/>
      <w:bookmarkEnd w:id="29"/>
      <w:r>
        <w:t>Smlouva byla vypracována v českém jazyce. Každá smluvní strana obdrží jedno vyhotovení.</w:t>
      </w:r>
    </w:p>
    <w:p w14:paraId="161212BE" w14:textId="77777777" w:rsidR="00DC2239" w:rsidRDefault="0063788F">
      <w:pPr>
        <w:pStyle w:val="Lev2Copy2like"/>
        <w:numPr>
          <w:ilvl w:val="0"/>
          <w:numId w:val="31"/>
        </w:numPr>
        <w:outlineLvl w:val="2"/>
      </w:pPr>
      <w:bookmarkStart w:id="30" w:name="bookmark-name-1208_122144017"/>
      <w:bookmarkEnd w:id="30"/>
      <w:r>
        <w:t>Smlouva nabývá účinnosti dnem jejího podpisu oběma smluvními stranami.</w:t>
      </w:r>
    </w:p>
    <w:p w14:paraId="4E65C197" w14:textId="77777777" w:rsidR="00DC2239" w:rsidRDefault="0063788F">
      <w:pPr>
        <w:pStyle w:val="Body2"/>
      </w:pPr>
      <w:r>
        <w:t> </w:t>
      </w:r>
    </w:p>
    <w:tbl>
      <w:tblPr>
        <w:tblStyle w:val="TableGridPHPDOCX"/>
        <w:tblOverlap w:val="never"/>
        <w:tblW w:w="9297" w:type="dxa"/>
        <w:tblBorders>
          <w:top w:val="none" w:sz="6" w:space="0" w:color="auto"/>
          <w:left w:val="none" w:sz="6" w:space="0" w:color="auto"/>
          <w:bottom w:val="none" w:sz="6" w:space="0" w:color="auto"/>
          <w:right w:val="none" w:sz="6" w:space="0" w:color="auto"/>
          <w:insideH w:val="none" w:sz="6" w:space="0" w:color="auto"/>
          <w:insideV w:val="none" w:sz="6" w:space="0" w:color="auto"/>
        </w:tblBorders>
        <w:tblLook w:val="04A0" w:firstRow="1" w:lastRow="0" w:firstColumn="1" w:lastColumn="0" w:noHBand="0" w:noVBand="1"/>
      </w:tblPr>
      <w:tblGrid>
        <w:gridCol w:w="4582"/>
        <w:gridCol w:w="4715"/>
      </w:tblGrid>
      <w:tr w:rsidR="00DC2239" w14:paraId="285C2A1D" w14:textId="77777777">
        <w:tc>
          <w:tcPr>
            <w:tcW w:w="0" w:type="auto"/>
          </w:tcPr>
          <w:p w14:paraId="30C08B08" w14:textId="77777777" w:rsidR="00DC2239" w:rsidRDefault="0063788F">
            <w:pPr>
              <w:pStyle w:val="table2"/>
              <w:ind w:left="-113"/>
            </w:pPr>
            <w:r>
              <w:t>V Brně dne ________</w:t>
            </w:r>
          </w:p>
        </w:tc>
        <w:tc>
          <w:tcPr>
            <w:tcW w:w="0" w:type="auto"/>
          </w:tcPr>
          <w:p w14:paraId="65A28F31" w14:textId="77777777" w:rsidR="00DC2239" w:rsidRDefault="0063788F">
            <w:pPr>
              <w:pStyle w:val="table2"/>
              <w:ind w:left="-113"/>
            </w:pPr>
            <w:r>
              <w:t>V Brně dne ________</w:t>
            </w:r>
          </w:p>
        </w:tc>
      </w:tr>
      <w:tr w:rsidR="00DC2239" w14:paraId="7088F1C1" w14:textId="77777777">
        <w:tc>
          <w:tcPr>
            <w:tcW w:w="0" w:type="auto"/>
          </w:tcPr>
          <w:p w14:paraId="72C84FCE" w14:textId="77777777" w:rsidR="00DC2239" w:rsidRDefault="0063788F">
            <w:pPr>
              <w:pStyle w:val="table1"/>
            </w:pPr>
            <w:r>
              <w:t> </w:t>
            </w:r>
          </w:p>
        </w:tc>
        <w:tc>
          <w:tcPr>
            <w:tcW w:w="0" w:type="auto"/>
          </w:tcPr>
          <w:p w14:paraId="09AA97A9" w14:textId="77777777" w:rsidR="00DC2239" w:rsidRDefault="0063788F">
            <w:pPr>
              <w:pStyle w:val="table1"/>
            </w:pPr>
            <w:r>
              <w:t> </w:t>
            </w:r>
          </w:p>
        </w:tc>
      </w:tr>
      <w:tr w:rsidR="00DC2239" w14:paraId="535507AF" w14:textId="77777777">
        <w:tc>
          <w:tcPr>
            <w:tcW w:w="0" w:type="auto"/>
          </w:tcPr>
          <w:p w14:paraId="50AF5E44" w14:textId="77777777" w:rsidR="00DC2239" w:rsidRDefault="0063788F">
            <w:pPr>
              <w:pStyle w:val="table1"/>
            </w:pPr>
            <w:r>
              <w:t> </w:t>
            </w:r>
          </w:p>
        </w:tc>
        <w:tc>
          <w:tcPr>
            <w:tcW w:w="0" w:type="auto"/>
          </w:tcPr>
          <w:p w14:paraId="72C038EE" w14:textId="77777777" w:rsidR="00DC2239" w:rsidRDefault="0063788F">
            <w:pPr>
              <w:pStyle w:val="table1"/>
            </w:pPr>
            <w:r>
              <w:t> </w:t>
            </w:r>
          </w:p>
        </w:tc>
      </w:tr>
      <w:tr w:rsidR="00DC2239" w14:paraId="448EEA4A" w14:textId="77777777">
        <w:tc>
          <w:tcPr>
            <w:tcW w:w="0" w:type="auto"/>
          </w:tcPr>
          <w:p w14:paraId="00149CEB" w14:textId="77777777" w:rsidR="00DC2239" w:rsidRDefault="0063788F">
            <w:pPr>
              <w:pStyle w:val="table1"/>
            </w:pPr>
            <w:r>
              <w:t> </w:t>
            </w:r>
          </w:p>
        </w:tc>
        <w:tc>
          <w:tcPr>
            <w:tcW w:w="0" w:type="auto"/>
          </w:tcPr>
          <w:p w14:paraId="31D49CC4" w14:textId="77777777" w:rsidR="00DC2239" w:rsidRDefault="0063788F">
            <w:pPr>
              <w:pStyle w:val="table1"/>
            </w:pPr>
            <w:r>
              <w:t> </w:t>
            </w:r>
          </w:p>
        </w:tc>
      </w:tr>
      <w:tr w:rsidR="00DC2239" w14:paraId="68E6831B" w14:textId="77777777">
        <w:tc>
          <w:tcPr>
            <w:tcW w:w="0" w:type="auto"/>
          </w:tcPr>
          <w:p w14:paraId="39BEED41" w14:textId="77777777" w:rsidR="00DC2239" w:rsidRDefault="0063788F">
            <w:pPr>
              <w:pStyle w:val="table1"/>
            </w:pPr>
            <w:r>
              <w:t> </w:t>
            </w:r>
          </w:p>
        </w:tc>
        <w:tc>
          <w:tcPr>
            <w:tcW w:w="0" w:type="auto"/>
          </w:tcPr>
          <w:p w14:paraId="6CA09E51" w14:textId="77777777" w:rsidR="00DC2239" w:rsidRDefault="0063788F">
            <w:pPr>
              <w:pStyle w:val="table1"/>
            </w:pPr>
            <w:r>
              <w:t> </w:t>
            </w:r>
          </w:p>
        </w:tc>
      </w:tr>
      <w:tr w:rsidR="00DC2239" w14:paraId="5AF77241" w14:textId="77777777">
        <w:tc>
          <w:tcPr>
            <w:tcW w:w="0" w:type="auto"/>
          </w:tcPr>
          <w:p w14:paraId="6E40A269" w14:textId="77777777" w:rsidR="00DC2239" w:rsidRDefault="0063788F">
            <w:pPr>
              <w:pStyle w:val="table1"/>
            </w:pPr>
            <w:r>
              <w:t>........................................................</w:t>
            </w:r>
          </w:p>
        </w:tc>
        <w:tc>
          <w:tcPr>
            <w:tcW w:w="0" w:type="auto"/>
          </w:tcPr>
          <w:p w14:paraId="40A37CCC" w14:textId="77777777" w:rsidR="00DC2239" w:rsidRDefault="0063788F">
            <w:pPr>
              <w:pStyle w:val="table1"/>
            </w:pPr>
            <w:r>
              <w:t>........................................................</w:t>
            </w:r>
          </w:p>
        </w:tc>
      </w:tr>
      <w:tr w:rsidR="00DC2239" w14:paraId="39599BF0" w14:textId="77777777">
        <w:tc>
          <w:tcPr>
            <w:tcW w:w="0" w:type="auto"/>
          </w:tcPr>
          <w:p w14:paraId="61E700C7" w14:textId="766F3B55" w:rsidR="00DC2239" w:rsidRDefault="00CC4CDC">
            <w:pPr>
              <w:pStyle w:val="table1"/>
            </w:pPr>
            <w:r>
              <w:t>XXX</w:t>
            </w:r>
          </w:p>
        </w:tc>
        <w:tc>
          <w:tcPr>
            <w:tcW w:w="0" w:type="auto"/>
          </w:tcPr>
          <w:p w14:paraId="7615B1F9" w14:textId="229AC92B" w:rsidR="00DC2239" w:rsidRDefault="00CC4CDC">
            <w:pPr>
              <w:pStyle w:val="table1"/>
            </w:pPr>
            <w:r>
              <w:t>XXX</w:t>
            </w:r>
          </w:p>
        </w:tc>
      </w:tr>
      <w:tr w:rsidR="00DC2239" w14:paraId="0A89233E" w14:textId="77777777">
        <w:tc>
          <w:tcPr>
            <w:tcW w:w="0" w:type="auto"/>
          </w:tcPr>
          <w:p w14:paraId="3DC0110B" w14:textId="3E63F6A2" w:rsidR="00DC2239" w:rsidRDefault="00DC2239">
            <w:pPr>
              <w:pStyle w:val="table1"/>
            </w:pPr>
          </w:p>
        </w:tc>
        <w:tc>
          <w:tcPr>
            <w:tcW w:w="0" w:type="auto"/>
          </w:tcPr>
          <w:p w14:paraId="0C5A9815" w14:textId="50E7786A" w:rsidR="00DC2239" w:rsidRDefault="00DC2239">
            <w:pPr>
              <w:pStyle w:val="table1"/>
            </w:pPr>
          </w:p>
        </w:tc>
      </w:tr>
      <w:tr w:rsidR="00DC2239" w14:paraId="1B9C7A33" w14:textId="77777777">
        <w:tc>
          <w:tcPr>
            <w:tcW w:w="0" w:type="auto"/>
          </w:tcPr>
          <w:p w14:paraId="4A19AB2F" w14:textId="77777777" w:rsidR="00DC2239" w:rsidRDefault="0063788F">
            <w:pPr>
              <w:pStyle w:val="table1"/>
            </w:pPr>
            <w:r>
              <w:t>Brněnské vodárny a kanalizace, a.s.</w:t>
            </w:r>
          </w:p>
        </w:tc>
        <w:tc>
          <w:tcPr>
            <w:tcW w:w="0" w:type="auto"/>
          </w:tcPr>
          <w:p w14:paraId="55C9039D" w14:textId="77777777" w:rsidR="00DC2239" w:rsidRDefault="0063788F">
            <w:pPr>
              <w:pStyle w:val="table1"/>
            </w:pPr>
            <w:proofErr w:type="spellStart"/>
            <w:r>
              <w:t>PricewaterhouseCoopers</w:t>
            </w:r>
            <w:proofErr w:type="spellEnd"/>
            <w:r>
              <w:t xml:space="preserve"> Audit, s.r.o.</w:t>
            </w:r>
          </w:p>
        </w:tc>
      </w:tr>
    </w:tbl>
    <w:p w14:paraId="737E4246" w14:textId="77777777" w:rsidR="0063788F" w:rsidRDefault="0063788F">
      <w:bookmarkStart w:id="31" w:name="_GoBack"/>
      <w:bookmarkEnd w:id="31"/>
    </w:p>
    <w:sectPr w:rsidR="0063788F" w:rsidSect="00D44993">
      <w:footerReference w:type="default" r:id="rId8"/>
      <w:footerReference w:type="first" r:id="rId9"/>
      <w:pgSz w:w="11906" w:h="16838"/>
      <w:pgMar w:top="1701" w:right="1021" w:bottom="1021" w:left="1588"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2DD71" w14:textId="77777777" w:rsidR="00F76576" w:rsidRDefault="00F76576">
      <w:r>
        <w:separator/>
      </w:r>
    </w:p>
  </w:endnote>
  <w:endnote w:type="continuationSeparator" w:id="0">
    <w:p w14:paraId="4C650454" w14:textId="77777777" w:rsidR="00F76576" w:rsidRDefault="00F76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raggadocio">
    <w:altName w:val="Courier New"/>
    <w:charset w:val="00"/>
    <w:family w:val="decorativ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7DA7C" w14:textId="77777777" w:rsidR="00D13469" w:rsidRDefault="00D13469" w:rsidP="00B046CA">
    <w:pPr>
      <w:pStyle w:val="Zpat"/>
      <w:jc w:val="right"/>
      <w:rPr>
        <w:rFonts w:asciiTheme="minorHAnsi" w:hAnsiTheme="minorHAnsi" w:cstheme="minorHAnsi"/>
        <w:szCs w:val="17"/>
      </w:rPr>
    </w:pPr>
  </w:p>
  <w:p w14:paraId="3CE51AD5" w14:textId="50621CCE" w:rsidR="00B046CA" w:rsidRDefault="00B046CA" w:rsidP="00B046CA">
    <w:pPr>
      <w:pStyle w:val="Zpat"/>
      <w:jc w:val="right"/>
      <w:rPr>
        <w:rFonts w:asciiTheme="minorHAnsi" w:hAnsiTheme="minorHAnsi" w:cstheme="minorHAnsi"/>
        <w:szCs w:val="17"/>
      </w:rPr>
    </w:pPr>
    <w:r>
      <w:rPr>
        <w:noProof/>
      </w:rPr>
      <w:drawing>
        <wp:anchor distT="0" distB="0" distL="114300" distR="114300" simplePos="0" relativeHeight="251661312" behindDoc="0" locked="0" layoutInCell="1" allowOverlap="1" wp14:anchorId="508A5076" wp14:editId="653DAAD6">
          <wp:simplePos x="0" y="0"/>
          <wp:positionH relativeFrom="margin">
            <wp:posOffset>0</wp:posOffset>
          </wp:positionH>
          <wp:positionV relativeFrom="paragraph">
            <wp:posOffset>12065</wp:posOffset>
          </wp:positionV>
          <wp:extent cx="899795" cy="680085"/>
          <wp:effectExtent l="0" t="0" r="1905" b="5715"/>
          <wp:wrapNone/>
          <wp:docPr id="2" name="Picture 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10;&#10;Description automatically generated with low confidence"/>
                  <pic:cNvPicPr/>
                </pic:nvPicPr>
                <pic:blipFill rotWithShape="1">
                  <a:blip r:embed="rId1">
                    <a:extLst>
                      <a:ext uri="{28A0092B-C50C-407E-A947-70E740481C1C}">
                        <a14:useLocalDpi xmlns:a14="http://schemas.microsoft.com/office/drawing/2010/main" val="0"/>
                      </a:ext>
                    </a:extLst>
                  </a:blip>
                  <a:srcRect t="4924" b="5605"/>
                  <a:stretch/>
                </pic:blipFill>
                <pic:spPr bwMode="auto">
                  <a:xfrm>
                    <a:off x="0" y="0"/>
                    <a:ext cx="899795" cy="6800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434109" w14:textId="77777777" w:rsidR="00B046CA" w:rsidRDefault="00B046CA" w:rsidP="00B046CA">
    <w:pPr>
      <w:pStyle w:val="Zpat"/>
      <w:jc w:val="right"/>
      <w:rPr>
        <w:rFonts w:asciiTheme="minorHAnsi" w:hAnsiTheme="minorHAnsi" w:cstheme="minorHAnsi"/>
        <w:szCs w:val="17"/>
      </w:rPr>
    </w:pPr>
  </w:p>
  <w:p w14:paraId="7B22C012" w14:textId="77777777" w:rsidR="00B046CA" w:rsidRDefault="00B046CA" w:rsidP="00B046CA">
    <w:pPr>
      <w:pStyle w:val="Zpat"/>
      <w:jc w:val="right"/>
      <w:rPr>
        <w:rFonts w:asciiTheme="minorHAnsi" w:hAnsiTheme="minorHAnsi" w:cstheme="minorHAnsi"/>
        <w:szCs w:val="17"/>
      </w:rPr>
    </w:pPr>
  </w:p>
  <w:p w14:paraId="7F2F6F84" w14:textId="77777777" w:rsidR="00B046CA" w:rsidRDefault="00B046CA" w:rsidP="00B046CA">
    <w:pPr>
      <w:pStyle w:val="Zpat"/>
      <w:jc w:val="right"/>
      <w:rPr>
        <w:rFonts w:asciiTheme="minorHAnsi" w:hAnsiTheme="minorHAnsi" w:cstheme="minorHAnsi"/>
        <w:szCs w:val="17"/>
      </w:rPr>
    </w:pPr>
  </w:p>
  <w:p w14:paraId="59D61A41" w14:textId="77777777" w:rsidR="00B046CA" w:rsidRDefault="00B046CA" w:rsidP="00B046CA">
    <w:pPr>
      <w:pStyle w:val="Zpat"/>
      <w:jc w:val="right"/>
      <w:rPr>
        <w:rFonts w:asciiTheme="minorHAnsi" w:hAnsiTheme="minorHAnsi" w:cstheme="minorHAnsi"/>
        <w:szCs w:val="17"/>
      </w:rPr>
    </w:pPr>
  </w:p>
  <w:p w14:paraId="49ADB8BB" w14:textId="2C446FD7" w:rsidR="00D44993" w:rsidRPr="00D44993" w:rsidRDefault="00B046CA" w:rsidP="00B046CA">
    <w:pPr>
      <w:pStyle w:val="Zpat"/>
      <w:jc w:val="right"/>
      <w:rPr>
        <w:rFonts w:ascii="Georgia" w:hAnsi="Georgia"/>
        <w:sz w:val="16"/>
        <w:szCs w:val="16"/>
      </w:rPr>
    </w:pPr>
    <w:r w:rsidRPr="005021A5">
      <w:rPr>
        <w:rFonts w:asciiTheme="minorHAnsi" w:hAnsiTheme="minorHAnsi" w:cstheme="minorHAnsi"/>
        <w:szCs w:val="17"/>
      </w:rPr>
      <w:t>Ne SEC v1/202</w:t>
    </w:r>
    <w:r w:rsidR="000925A1">
      <w:rPr>
        <w:rFonts w:asciiTheme="minorHAnsi" w:hAnsiTheme="minorHAnsi" w:cstheme="minorHAnsi"/>
        <w:szCs w:val="17"/>
      </w:rPr>
      <w:t>3</w:t>
    </w:r>
    <w:r w:rsidRPr="005021A5">
      <w:rPr>
        <w:rFonts w:asciiTheme="minorHAnsi" w:hAnsiTheme="minorHAnsi" w:cstheme="minorHAnsi"/>
        <w:szCs w:val="17"/>
      </w:rPr>
      <w:t xml:space="preserve"> </w:t>
    </w:r>
    <w:r w:rsidRPr="005021A5">
      <w:rPr>
        <w:rFonts w:asciiTheme="minorHAnsi" w:hAnsiTheme="minorHAnsi" w:cstheme="minorHAnsi"/>
        <w:szCs w:val="17"/>
        <w:lang w:val="en-GB"/>
      </w:rPr>
      <w:t xml:space="preserve"> | </w:t>
    </w:r>
    <w:r w:rsidRPr="005021A5">
      <w:rPr>
        <w:rFonts w:asciiTheme="minorHAnsi" w:hAnsiTheme="minorHAnsi" w:cstheme="minorHAnsi"/>
        <w:szCs w:val="17"/>
      </w:rPr>
      <w:t xml:space="preserve"> </w:t>
    </w:r>
    <w:r w:rsidR="00D44993" w:rsidRPr="00D44993">
      <w:rPr>
        <w:rFonts w:ascii="Georgia" w:hAnsi="Georgia"/>
        <w:sz w:val="16"/>
        <w:szCs w:val="16"/>
      </w:rPr>
      <w:fldChar w:fldCharType="begin"/>
    </w:r>
    <w:r w:rsidR="00D44993" w:rsidRPr="00D44993">
      <w:rPr>
        <w:rFonts w:ascii="Georgia" w:hAnsi="Georgia"/>
        <w:sz w:val="16"/>
        <w:szCs w:val="16"/>
      </w:rPr>
      <w:instrText xml:space="preserve"> PAGE   \* MERGEFORMAT </w:instrText>
    </w:r>
    <w:r w:rsidR="00D44993" w:rsidRPr="00D44993">
      <w:rPr>
        <w:rFonts w:ascii="Georgia" w:hAnsi="Georgia"/>
        <w:sz w:val="16"/>
        <w:szCs w:val="16"/>
      </w:rPr>
      <w:fldChar w:fldCharType="separate"/>
    </w:r>
    <w:r w:rsidR="00CC4CDC">
      <w:rPr>
        <w:rFonts w:ascii="Georgia" w:hAnsi="Georgia"/>
        <w:noProof/>
        <w:sz w:val="16"/>
        <w:szCs w:val="16"/>
      </w:rPr>
      <w:t>4</w:t>
    </w:r>
    <w:r w:rsidR="00D44993" w:rsidRPr="00D44993">
      <w:rPr>
        <w:rFonts w:ascii="Georgia" w:hAnsi="Georgia"/>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AA436" w14:textId="77777777" w:rsidR="00B046CA" w:rsidRPr="005021A5" w:rsidRDefault="00B046CA" w:rsidP="00B046CA">
    <w:pPr>
      <w:pStyle w:val="Disclaimer"/>
      <w:spacing w:after="0"/>
      <w:ind w:left="1985"/>
      <w:rPr>
        <w:iCs/>
        <w:sz w:val="14"/>
        <w:szCs w:val="14"/>
      </w:rPr>
    </w:pPr>
  </w:p>
  <w:p w14:paraId="6F1A7F76" w14:textId="77777777" w:rsidR="00B046CA" w:rsidRPr="005021A5" w:rsidRDefault="00B046CA" w:rsidP="00B046CA">
    <w:pPr>
      <w:pStyle w:val="Disclaimer"/>
      <w:spacing w:after="0"/>
      <w:ind w:left="1985"/>
      <w:rPr>
        <w:iCs/>
        <w:sz w:val="14"/>
        <w:szCs w:val="14"/>
      </w:rPr>
    </w:pPr>
  </w:p>
  <w:p w14:paraId="6698B585" w14:textId="77777777" w:rsidR="00B046CA" w:rsidRPr="00CA1DC9" w:rsidRDefault="00B046CA" w:rsidP="00B046CA">
    <w:pPr>
      <w:pStyle w:val="Disclaimer"/>
      <w:spacing w:after="0"/>
      <w:ind w:left="1985"/>
      <w:rPr>
        <w:rFonts w:asciiTheme="majorHAnsi" w:hAnsiTheme="majorHAnsi"/>
        <w:iCs/>
        <w:sz w:val="18"/>
        <w:szCs w:val="18"/>
      </w:rPr>
    </w:pPr>
    <w:r w:rsidRPr="00CA1DC9">
      <w:rPr>
        <w:rFonts w:asciiTheme="majorHAnsi" w:hAnsiTheme="majorHAnsi"/>
        <w:iCs/>
        <w:sz w:val="18"/>
        <w:szCs w:val="18"/>
      </w:rPr>
      <w:t>PricewaterhouseCoopers Audit, s.r.o., Hvězdova 1734/2c, 140 00  Praha 4, Česká republika</w:t>
    </w:r>
  </w:p>
  <w:p w14:paraId="0B789FA3" w14:textId="77777777" w:rsidR="00B046CA" w:rsidRPr="00CA1DC9" w:rsidRDefault="00B046CA" w:rsidP="00B046CA">
    <w:pPr>
      <w:pStyle w:val="Disclaimer"/>
      <w:spacing w:after="0"/>
      <w:ind w:left="1985"/>
      <w:rPr>
        <w:rFonts w:asciiTheme="majorHAnsi" w:hAnsiTheme="majorHAnsi"/>
        <w:iCs/>
        <w:sz w:val="18"/>
        <w:szCs w:val="18"/>
      </w:rPr>
    </w:pPr>
    <w:r w:rsidRPr="00CA1DC9">
      <w:rPr>
        <w:rFonts w:asciiTheme="majorHAnsi" w:hAnsiTheme="majorHAnsi"/>
        <w:iCs/>
        <w:sz w:val="18"/>
        <w:szCs w:val="18"/>
      </w:rPr>
      <w:t>T: +420 251 151 111, www.pwc.com/cz</w:t>
    </w:r>
  </w:p>
  <w:p w14:paraId="2D90EE68" w14:textId="27574F78" w:rsidR="00B046CA" w:rsidRPr="00CA1DC9" w:rsidRDefault="00B046CA" w:rsidP="00B046CA">
    <w:pPr>
      <w:pStyle w:val="Disclaimer"/>
      <w:spacing w:after="0"/>
      <w:ind w:left="1985"/>
      <w:rPr>
        <w:sz w:val="18"/>
        <w:szCs w:val="18"/>
      </w:rPr>
    </w:pPr>
    <w:r w:rsidRPr="00CA1DC9">
      <w:rPr>
        <w:sz w:val="18"/>
        <w:szCs w:val="18"/>
        <w:lang w:val="cs-CZ"/>
      </w:rPr>
      <w:drawing>
        <wp:anchor distT="0" distB="0" distL="114300" distR="114300" simplePos="0" relativeHeight="251659264" behindDoc="0" locked="0" layoutInCell="1" allowOverlap="1" wp14:anchorId="39B2B6F8" wp14:editId="18221B7E">
          <wp:simplePos x="0" y="0"/>
          <wp:positionH relativeFrom="margin">
            <wp:posOffset>-144780</wp:posOffset>
          </wp:positionH>
          <wp:positionV relativeFrom="margin">
            <wp:posOffset>8357235</wp:posOffset>
          </wp:positionV>
          <wp:extent cx="1079500" cy="816610"/>
          <wp:effectExtent l="0" t="0" r="0" b="0"/>
          <wp:wrapNone/>
          <wp:docPr id="11" name="image2.png" descr="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 name="image2.png" descr="Logo&#10;&#10;Description automatically generated with low confidence"/>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079500" cy="816610"/>
                  </a:xfrm>
                  <a:prstGeom prst="rect">
                    <a:avLst/>
                  </a:prstGeom>
                  <a:ln/>
                </pic:spPr>
              </pic:pic>
            </a:graphicData>
          </a:graphic>
          <wp14:sizeRelH relativeFrom="page">
            <wp14:pctWidth>0</wp14:pctWidth>
          </wp14:sizeRelH>
          <wp14:sizeRelV relativeFrom="page">
            <wp14:pctHeight>0</wp14:pctHeight>
          </wp14:sizeRelV>
        </wp:anchor>
      </w:drawing>
    </w:r>
  </w:p>
  <w:p w14:paraId="2C16DC7B" w14:textId="77777777" w:rsidR="00B046CA" w:rsidRPr="00CA1DC9" w:rsidRDefault="00B046CA" w:rsidP="00B046CA">
    <w:pPr>
      <w:pStyle w:val="Disclaimer"/>
      <w:spacing w:after="0"/>
      <w:ind w:left="1985"/>
      <w:rPr>
        <w:sz w:val="12"/>
        <w:szCs w:val="12"/>
      </w:rPr>
    </w:pPr>
    <w:r w:rsidRPr="00CA1DC9">
      <w:rPr>
        <w:sz w:val="12"/>
        <w:szCs w:val="12"/>
      </w:rPr>
      <w:t>PricewaterhouseCoopers Audit, s.r.o., se sídlem Hvězdova 1734/2c, 140 00  Praha 4, IČ: 40765521, zapsaná v obchodním rejstříku vedeném Městským soudem v Praze, oddíl C, vložka 3637 a v seznamu auditorských společností u Komory auditorů České republiky pod evidenčním číslem 021.</w:t>
    </w:r>
  </w:p>
  <w:p w14:paraId="04152637" w14:textId="3271EAE1" w:rsidR="00B046CA" w:rsidRPr="00CA1DC9" w:rsidRDefault="00B046CA" w:rsidP="00B046CA">
    <w:pPr>
      <w:pStyle w:val="Disclaimer"/>
      <w:spacing w:after="0"/>
      <w:ind w:left="1985"/>
      <w:rPr>
        <w:sz w:val="18"/>
        <w:szCs w:val="18"/>
      </w:rPr>
    </w:pPr>
  </w:p>
  <w:p w14:paraId="18969D93" w14:textId="54175E8B" w:rsidR="006A7C48" w:rsidRPr="00B046CA" w:rsidRDefault="00B046CA" w:rsidP="00B046CA">
    <w:pPr>
      <w:pStyle w:val="Disclaimer"/>
      <w:ind w:left="1985"/>
      <w:rPr>
        <w:sz w:val="12"/>
        <w:szCs w:val="12"/>
      </w:rPr>
    </w:pPr>
    <w:r w:rsidRPr="00E22C89">
      <w:rPr>
        <w:sz w:val="12"/>
        <w:szCs w:val="12"/>
      </w:rPr>
      <w:sym w:font="Symbol" w:char="F0E3"/>
    </w:r>
    <w:r w:rsidRPr="00E22C89">
      <w:rPr>
        <w:sz w:val="12"/>
        <w:szCs w:val="12"/>
      </w:rPr>
      <w:t xml:space="preserve"> 202</w:t>
    </w:r>
    <w:r w:rsidR="0038618B">
      <w:rPr>
        <w:sz w:val="12"/>
        <w:szCs w:val="12"/>
      </w:rPr>
      <w:t>3</w:t>
    </w:r>
    <w:r w:rsidRPr="00E22C89">
      <w:rPr>
        <w:sz w:val="12"/>
        <w:szCs w:val="12"/>
      </w:rPr>
      <w:t xml:space="preserve"> PricewaterhouseCoopers Audit, s.r.o. Všechna práva vyhrazena. “PwC” je značka, pod níž členské společnosti PricewaterhouseCoopers International Limited (PwCIL) podnikají a poskytují své služby. Společně tvoří světovou síť společností PwC. Každá společnost je samostatným právním subjektem a jednotlivé společnosti nezastupují síť PwCIL ani žádnou jinou členskou společnost. PwCIL neposkytuje žádné služby klientům. PwCIL neodpovídá za jednání či opomenutí jednotlivých společností sítě PwC, ani</w:t>
    </w:r>
    <w:r>
      <w:rPr>
        <w:sz w:val="12"/>
        <w:szCs w:val="12"/>
      </w:rPr>
      <w:t> </w:t>
    </w:r>
    <w:r w:rsidRPr="00E22C89">
      <w:rPr>
        <w:sz w:val="12"/>
        <w:szCs w:val="12"/>
      </w:rPr>
      <w:t>nemůže kontrolovat výkon jejich profesionální činnosti či je jakýmkoli způsobem ovlivňovat.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03D73" w14:textId="77777777" w:rsidR="00F76576" w:rsidRDefault="00F76576">
      <w:r>
        <w:separator/>
      </w:r>
    </w:p>
  </w:footnote>
  <w:footnote w:type="continuationSeparator" w:id="0">
    <w:p w14:paraId="76821CCF" w14:textId="77777777" w:rsidR="00F76576" w:rsidRDefault="00F765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195C532A"/>
    <w:lvl w:ilvl="0">
      <w:start w:val="1"/>
      <w:numFmt w:val="bullet"/>
      <w:pStyle w:val="Seznamsodrkami4"/>
      <w:lvlText w:val=""/>
      <w:lvlJc w:val="left"/>
      <w:pPr>
        <w:tabs>
          <w:tab w:val="num" w:pos="1209"/>
        </w:tabs>
        <w:ind w:left="1209" w:hanging="360"/>
      </w:pPr>
      <w:rPr>
        <w:rFonts w:ascii="Symbol" w:hAnsi="Symbol" w:hint="default"/>
      </w:rPr>
    </w:lvl>
  </w:abstractNum>
  <w:abstractNum w:abstractNumId="1" w15:restartNumberingAfterBreak="0">
    <w:nsid w:val="06522D82"/>
    <w:multiLevelType w:val="hybridMultilevel"/>
    <w:tmpl w:val="232E0E54"/>
    <w:lvl w:ilvl="0" w:tplc="4DE60408">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64F96"/>
    <w:multiLevelType w:val="hybridMultilevel"/>
    <w:tmpl w:val="CC5208B6"/>
    <w:lvl w:ilvl="0" w:tplc="7AB88B8E">
      <w:start w:val="1"/>
      <w:numFmt w:val="none"/>
      <w:lvlText w:val=""/>
      <w:lvlJc w:val="left"/>
    </w:lvl>
    <w:lvl w:ilvl="1" w:tplc="29CE2812">
      <w:start w:val="1"/>
      <w:numFmt w:val="decimal"/>
      <w:lvlRestart w:val="0"/>
      <w:lvlText w:val="%2"/>
      <w:lvlJc w:val="left"/>
    </w:lvl>
    <w:lvl w:ilvl="2" w:tplc="C3448AA8">
      <w:start w:val="1"/>
      <w:numFmt w:val="upperRoman"/>
      <w:lvlText w:val="%3"/>
      <w:lvlJc w:val="left"/>
    </w:lvl>
    <w:lvl w:ilvl="3" w:tplc="B5A86996">
      <w:start w:val="1"/>
      <w:numFmt w:val="lowerLetter"/>
      <w:lvlText w:val="%4"/>
      <w:lvlJc w:val="left"/>
    </w:lvl>
    <w:lvl w:ilvl="4" w:tplc="FD5E9E52">
      <w:numFmt w:val="bullet"/>
      <w:lvlText w:val="●"/>
      <w:lvlJc w:val="left"/>
    </w:lvl>
    <w:lvl w:ilvl="5" w:tplc="5F42C146">
      <w:numFmt w:val="decimal"/>
      <w:lvlText w:val=""/>
      <w:lvlJc w:val="left"/>
    </w:lvl>
    <w:lvl w:ilvl="6" w:tplc="40A21774">
      <w:numFmt w:val="decimal"/>
      <w:lvlText w:val=""/>
      <w:lvlJc w:val="left"/>
    </w:lvl>
    <w:lvl w:ilvl="7" w:tplc="41826526">
      <w:numFmt w:val="decimal"/>
      <w:lvlText w:val=""/>
      <w:lvlJc w:val="left"/>
    </w:lvl>
    <w:lvl w:ilvl="8" w:tplc="C546997C">
      <w:numFmt w:val="decimal"/>
      <w:lvlText w:val=""/>
      <w:lvlJc w:val="left"/>
    </w:lvl>
  </w:abstractNum>
  <w:abstractNum w:abstractNumId="3" w15:restartNumberingAfterBreak="0">
    <w:nsid w:val="16D10FCF"/>
    <w:multiLevelType w:val="multilevel"/>
    <w:tmpl w:val="09742482"/>
    <w:lvl w:ilvl="0">
      <w:start w:val="1"/>
      <w:numFmt w:val="decimal"/>
      <w:lvlText w:val="%1."/>
      <w:lvlJc w:val="left"/>
      <w:pPr>
        <w:ind w:left="567" w:hanging="567"/>
      </w:pPr>
      <w:rPr>
        <w:rFonts w:hint="default"/>
      </w:rPr>
    </w:lvl>
    <w:lvl w:ilvl="1">
      <w:start w:val="1"/>
      <w:numFmt w:val="decimal"/>
      <w:pStyle w:val="Level2"/>
      <w:lvlText w:val="%2."/>
      <w:lvlJc w:val="left"/>
      <w:pPr>
        <w:ind w:left="567"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7B8212C"/>
    <w:multiLevelType w:val="hybridMultilevel"/>
    <w:tmpl w:val="BEAAF326"/>
    <w:lvl w:ilvl="0" w:tplc="B67A17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E678B1"/>
    <w:multiLevelType w:val="hybridMultilevel"/>
    <w:tmpl w:val="EB8AC03E"/>
    <w:lvl w:ilvl="0" w:tplc="34451326">
      <w:start w:val="1"/>
      <w:numFmt w:val="decimal"/>
      <w:lvlText w:val="%1."/>
      <w:lvlJc w:val="left"/>
      <w:pPr>
        <w:ind w:left="720" w:hanging="360"/>
      </w:pPr>
    </w:lvl>
    <w:lvl w:ilvl="1" w:tplc="34451326" w:tentative="1">
      <w:start w:val="1"/>
      <w:numFmt w:val="lowerLetter"/>
      <w:lvlText w:val="%2."/>
      <w:lvlJc w:val="left"/>
      <w:pPr>
        <w:ind w:left="1440" w:hanging="360"/>
      </w:pPr>
    </w:lvl>
    <w:lvl w:ilvl="2" w:tplc="34451326" w:tentative="1">
      <w:start w:val="1"/>
      <w:numFmt w:val="lowerRoman"/>
      <w:lvlText w:val="%3."/>
      <w:lvlJc w:val="right"/>
      <w:pPr>
        <w:ind w:left="2160" w:hanging="180"/>
      </w:pPr>
    </w:lvl>
    <w:lvl w:ilvl="3" w:tplc="34451326" w:tentative="1">
      <w:start w:val="1"/>
      <w:numFmt w:val="decimal"/>
      <w:lvlText w:val="%4."/>
      <w:lvlJc w:val="left"/>
      <w:pPr>
        <w:ind w:left="2880" w:hanging="360"/>
      </w:pPr>
    </w:lvl>
    <w:lvl w:ilvl="4" w:tplc="34451326" w:tentative="1">
      <w:start w:val="1"/>
      <w:numFmt w:val="lowerLetter"/>
      <w:lvlText w:val="%5."/>
      <w:lvlJc w:val="left"/>
      <w:pPr>
        <w:ind w:left="3600" w:hanging="360"/>
      </w:pPr>
    </w:lvl>
    <w:lvl w:ilvl="5" w:tplc="34451326" w:tentative="1">
      <w:start w:val="1"/>
      <w:numFmt w:val="lowerRoman"/>
      <w:lvlText w:val="%6."/>
      <w:lvlJc w:val="right"/>
      <w:pPr>
        <w:ind w:left="4320" w:hanging="180"/>
      </w:pPr>
    </w:lvl>
    <w:lvl w:ilvl="6" w:tplc="34451326" w:tentative="1">
      <w:start w:val="1"/>
      <w:numFmt w:val="decimal"/>
      <w:lvlText w:val="%7."/>
      <w:lvlJc w:val="left"/>
      <w:pPr>
        <w:ind w:left="5040" w:hanging="360"/>
      </w:pPr>
    </w:lvl>
    <w:lvl w:ilvl="7" w:tplc="34451326" w:tentative="1">
      <w:start w:val="1"/>
      <w:numFmt w:val="lowerLetter"/>
      <w:lvlText w:val="%8."/>
      <w:lvlJc w:val="left"/>
      <w:pPr>
        <w:ind w:left="5760" w:hanging="360"/>
      </w:pPr>
    </w:lvl>
    <w:lvl w:ilvl="8" w:tplc="34451326" w:tentative="1">
      <w:start w:val="1"/>
      <w:numFmt w:val="lowerRoman"/>
      <w:lvlText w:val="%9."/>
      <w:lvlJc w:val="right"/>
      <w:pPr>
        <w:ind w:left="6480" w:hanging="180"/>
      </w:pPr>
    </w:lvl>
  </w:abstractNum>
  <w:abstractNum w:abstractNumId="6" w15:restartNumberingAfterBreak="0">
    <w:nsid w:val="21FA2FAF"/>
    <w:multiLevelType w:val="hybridMultilevel"/>
    <w:tmpl w:val="F20A23A6"/>
    <w:lvl w:ilvl="0" w:tplc="7726892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3D61AB"/>
    <w:multiLevelType w:val="hybridMultilevel"/>
    <w:tmpl w:val="6F8CEAF4"/>
    <w:lvl w:ilvl="0" w:tplc="849816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4D23C2A"/>
    <w:multiLevelType w:val="hybridMultilevel"/>
    <w:tmpl w:val="6F9656B4"/>
    <w:lvl w:ilvl="0" w:tplc="D382BC6A">
      <w:start w:val="1"/>
      <w:numFmt w:val="decimal"/>
      <w:pStyle w:val="Level2-Legito2"/>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3B02A6"/>
    <w:multiLevelType w:val="hybridMultilevel"/>
    <w:tmpl w:val="2488F36C"/>
    <w:lvl w:ilvl="0" w:tplc="2C80B284">
      <w:start w:val="1"/>
      <w:numFmt w:val="decimal"/>
      <w:lvlText w:val="%1."/>
      <w:lvlJc w:val="left"/>
      <w:pPr>
        <w:tabs>
          <w:tab w:val="num" w:pos="567"/>
        </w:tabs>
        <w:ind w:left="567" w:hanging="567"/>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5272EB"/>
    <w:multiLevelType w:val="hybridMultilevel"/>
    <w:tmpl w:val="E49CEEDE"/>
    <w:lvl w:ilvl="0" w:tplc="184C5D42">
      <w:start w:val="1"/>
      <w:numFmt w:val="lowerRoman"/>
      <w:lvlText w:val="(%1)"/>
      <w:lvlJc w:val="left"/>
      <w:pPr>
        <w:tabs>
          <w:tab w:val="num" w:pos="720"/>
        </w:tabs>
        <w:ind w:left="720" w:hanging="720"/>
      </w:pPr>
      <w:rPr>
        <w:rFonts w:hint="default"/>
      </w:rPr>
    </w:lvl>
    <w:lvl w:ilvl="1" w:tplc="6F940DA6">
      <w:start w:val="2"/>
      <w:numFmt w:val="decimal"/>
      <w:lvlText w:val="(%2)"/>
      <w:lvlJc w:val="left"/>
      <w:pPr>
        <w:tabs>
          <w:tab w:val="num" w:pos="1498"/>
        </w:tabs>
        <w:ind w:left="1498" w:hanging="570"/>
      </w:pPr>
      <w:rPr>
        <w:rFonts w:hint="default"/>
      </w:rPr>
    </w:lvl>
    <w:lvl w:ilvl="2" w:tplc="0809001B" w:tentative="1">
      <w:start w:val="1"/>
      <w:numFmt w:val="lowerRoman"/>
      <w:lvlText w:val="%3."/>
      <w:lvlJc w:val="right"/>
      <w:pPr>
        <w:tabs>
          <w:tab w:val="num" w:pos="2008"/>
        </w:tabs>
        <w:ind w:left="2008" w:hanging="180"/>
      </w:pPr>
    </w:lvl>
    <w:lvl w:ilvl="3" w:tplc="0809000F" w:tentative="1">
      <w:start w:val="1"/>
      <w:numFmt w:val="decimal"/>
      <w:lvlText w:val="%4."/>
      <w:lvlJc w:val="left"/>
      <w:pPr>
        <w:tabs>
          <w:tab w:val="num" w:pos="2728"/>
        </w:tabs>
        <w:ind w:left="2728" w:hanging="360"/>
      </w:pPr>
    </w:lvl>
    <w:lvl w:ilvl="4" w:tplc="08090019" w:tentative="1">
      <w:start w:val="1"/>
      <w:numFmt w:val="lowerLetter"/>
      <w:lvlText w:val="%5."/>
      <w:lvlJc w:val="left"/>
      <w:pPr>
        <w:tabs>
          <w:tab w:val="num" w:pos="3448"/>
        </w:tabs>
        <w:ind w:left="3448" w:hanging="360"/>
      </w:pPr>
    </w:lvl>
    <w:lvl w:ilvl="5" w:tplc="0809001B" w:tentative="1">
      <w:start w:val="1"/>
      <w:numFmt w:val="lowerRoman"/>
      <w:lvlText w:val="%6."/>
      <w:lvlJc w:val="right"/>
      <w:pPr>
        <w:tabs>
          <w:tab w:val="num" w:pos="4168"/>
        </w:tabs>
        <w:ind w:left="4168" w:hanging="180"/>
      </w:pPr>
    </w:lvl>
    <w:lvl w:ilvl="6" w:tplc="0809000F" w:tentative="1">
      <w:start w:val="1"/>
      <w:numFmt w:val="decimal"/>
      <w:lvlText w:val="%7."/>
      <w:lvlJc w:val="left"/>
      <w:pPr>
        <w:tabs>
          <w:tab w:val="num" w:pos="4888"/>
        </w:tabs>
        <w:ind w:left="4888" w:hanging="360"/>
      </w:pPr>
    </w:lvl>
    <w:lvl w:ilvl="7" w:tplc="08090019" w:tentative="1">
      <w:start w:val="1"/>
      <w:numFmt w:val="lowerLetter"/>
      <w:lvlText w:val="%8."/>
      <w:lvlJc w:val="left"/>
      <w:pPr>
        <w:tabs>
          <w:tab w:val="num" w:pos="5608"/>
        </w:tabs>
        <w:ind w:left="5608" w:hanging="360"/>
      </w:pPr>
    </w:lvl>
    <w:lvl w:ilvl="8" w:tplc="0809001B" w:tentative="1">
      <w:start w:val="1"/>
      <w:numFmt w:val="lowerRoman"/>
      <w:lvlText w:val="%9."/>
      <w:lvlJc w:val="right"/>
      <w:pPr>
        <w:tabs>
          <w:tab w:val="num" w:pos="6328"/>
        </w:tabs>
        <w:ind w:left="6328" w:hanging="180"/>
      </w:pPr>
    </w:lvl>
  </w:abstractNum>
  <w:abstractNum w:abstractNumId="11" w15:restartNumberingAfterBreak="0">
    <w:nsid w:val="3D5A68AA"/>
    <w:multiLevelType w:val="hybridMultilevel"/>
    <w:tmpl w:val="251CF5EE"/>
    <w:lvl w:ilvl="0" w:tplc="669074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14E1401"/>
    <w:multiLevelType w:val="hybridMultilevel"/>
    <w:tmpl w:val="33828486"/>
    <w:lvl w:ilvl="0" w:tplc="9F089A80">
      <w:start w:val="1"/>
      <w:numFmt w:val="lowerRoman"/>
      <w:pStyle w:val="Level3"/>
      <w:lvlText w:val="(%1)"/>
      <w:lvlJc w:val="left"/>
      <w:pPr>
        <w:tabs>
          <w:tab w:val="num" w:pos="567"/>
        </w:tabs>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091C5A"/>
    <w:multiLevelType w:val="hybridMultilevel"/>
    <w:tmpl w:val="C32AD86C"/>
    <w:lvl w:ilvl="0" w:tplc="EE28378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9A263D"/>
    <w:multiLevelType w:val="hybridMultilevel"/>
    <w:tmpl w:val="987C755E"/>
    <w:lvl w:ilvl="0" w:tplc="0B064A7A">
      <w:start w:val="1"/>
      <w:numFmt w:val="decimal"/>
      <w:pStyle w:val="Lev2Copy2"/>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E37A3A"/>
    <w:multiLevelType w:val="hybridMultilevel"/>
    <w:tmpl w:val="A3F8E800"/>
    <w:lvl w:ilvl="0" w:tplc="15470723">
      <w:start w:val="1"/>
      <w:numFmt w:val="decimal"/>
      <w:lvlText w:val="%1."/>
      <w:lvlJc w:val="left"/>
      <w:pPr>
        <w:ind w:left="720" w:hanging="360"/>
      </w:pPr>
    </w:lvl>
    <w:lvl w:ilvl="1" w:tplc="15470723" w:tentative="1">
      <w:start w:val="1"/>
      <w:numFmt w:val="lowerLetter"/>
      <w:lvlText w:val="%2."/>
      <w:lvlJc w:val="left"/>
      <w:pPr>
        <w:ind w:left="1440" w:hanging="360"/>
      </w:pPr>
    </w:lvl>
    <w:lvl w:ilvl="2" w:tplc="15470723" w:tentative="1">
      <w:start w:val="1"/>
      <w:numFmt w:val="lowerRoman"/>
      <w:lvlText w:val="%3."/>
      <w:lvlJc w:val="right"/>
      <w:pPr>
        <w:ind w:left="2160" w:hanging="180"/>
      </w:pPr>
    </w:lvl>
    <w:lvl w:ilvl="3" w:tplc="15470723" w:tentative="1">
      <w:start w:val="1"/>
      <w:numFmt w:val="decimal"/>
      <w:lvlText w:val="%4."/>
      <w:lvlJc w:val="left"/>
      <w:pPr>
        <w:ind w:left="2880" w:hanging="360"/>
      </w:pPr>
    </w:lvl>
    <w:lvl w:ilvl="4" w:tplc="15470723" w:tentative="1">
      <w:start w:val="1"/>
      <w:numFmt w:val="lowerLetter"/>
      <w:lvlText w:val="%5."/>
      <w:lvlJc w:val="left"/>
      <w:pPr>
        <w:ind w:left="3600" w:hanging="360"/>
      </w:pPr>
    </w:lvl>
    <w:lvl w:ilvl="5" w:tplc="15470723" w:tentative="1">
      <w:start w:val="1"/>
      <w:numFmt w:val="lowerRoman"/>
      <w:lvlText w:val="%6."/>
      <w:lvlJc w:val="right"/>
      <w:pPr>
        <w:ind w:left="4320" w:hanging="180"/>
      </w:pPr>
    </w:lvl>
    <w:lvl w:ilvl="6" w:tplc="15470723" w:tentative="1">
      <w:start w:val="1"/>
      <w:numFmt w:val="decimal"/>
      <w:lvlText w:val="%7."/>
      <w:lvlJc w:val="left"/>
      <w:pPr>
        <w:ind w:left="5040" w:hanging="360"/>
      </w:pPr>
    </w:lvl>
    <w:lvl w:ilvl="7" w:tplc="15470723" w:tentative="1">
      <w:start w:val="1"/>
      <w:numFmt w:val="lowerLetter"/>
      <w:lvlText w:val="%8."/>
      <w:lvlJc w:val="left"/>
      <w:pPr>
        <w:ind w:left="5760" w:hanging="360"/>
      </w:pPr>
    </w:lvl>
    <w:lvl w:ilvl="8" w:tplc="15470723" w:tentative="1">
      <w:start w:val="1"/>
      <w:numFmt w:val="lowerRoman"/>
      <w:lvlText w:val="%9."/>
      <w:lvlJc w:val="right"/>
      <w:pPr>
        <w:ind w:left="6480" w:hanging="180"/>
      </w:pPr>
    </w:lvl>
  </w:abstractNum>
  <w:abstractNum w:abstractNumId="16" w15:restartNumberingAfterBreak="0">
    <w:nsid w:val="57D00381"/>
    <w:multiLevelType w:val="hybridMultilevel"/>
    <w:tmpl w:val="2EB40340"/>
    <w:lvl w:ilvl="0" w:tplc="43990501">
      <w:start w:val="1"/>
      <w:numFmt w:val="decimal"/>
      <w:lvlText w:val="%1."/>
      <w:lvlJc w:val="left"/>
      <w:pPr>
        <w:ind w:left="720" w:hanging="360"/>
      </w:pPr>
    </w:lvl>
    <w:lvl w:ilvl="1" w:tplc="43990501" w:tentative="1">
      <w:start w:val="1"/>
      <w:numFmt w:val="lowerLetter"/>
      <w:lvlText w:val="%2."/>
      <w:lvlJc w:val="left"/>
      <w:pPr>
        <w:ind w:left="1440" w:hanging="360"/>
      </w:pPr>
    </w:lvl>
    <w:lvl w:ilvl="2" w:tplc="43990501" w:tentative="1">
      <w:start w:val="1"/>
      <w:numFmt w:val="lowerRoman"/>
      <w:lvlText w:val="%3."/>
      <w:lvlJc w:val="right"/>
      <w:pPr>
        <w:ind w:left="2160" w:hanging="180"/>
      </w:pPr>
    </w:lvl>
    <w:lvl w:ilvl="3" w:tplc="43990501" w:tentative="1">
      <w:start w:val="1"/>
      <w:numFmt w:val="decimal"/>
      <w:lvlText w:val="%4."/>
      <w:lvlJc w:val="left"/>
      <w:pPr>
        <w:ind w:left="2880" w:hanging="360"/>
      </w:pPr>
    </w:lvl>
    <w:lvl w:ilvl="4" w:tplc="43990501" w:tentative="1">
      <w:start w:val="1"/>
      <w:numFmt w:val="lowerLetter"/>
      <w:lvlText w:val="%5."/>
      <w:lvlJc w:val="left"/>
      <w:pPr>
        <w:ind w:left="3600" w:hanging="360"/>
      </w:pPr>
    </w:lvl>
    <w:lvl w:ilvl="5" w:tplc="43990501" w:tentative="1">
      <w:start w:val="1"/>
      <w:numFmt w:val="lowerRoman"/>
      <w:lvlText w:val="%6."/>
      <w:lvlJc w:val="right"/>
      <w:pPr>
        <w:ind w:left="4320" w:hanging="180"/>
      </w:pPr>
    </w:lvl>
    <w:lvl w:ilvl="6" w:tplc="43990501" w:tentative="1">
      <w:start w:val="1"/>
      <w:numFmt w:val="decimal"/>
      <w:lvlText w:val="%7."/>
      <w:lvlJc w:val="left"/>
      <w:pPr>
        <w:ind w:left="5040" w:hanging="360"/>
      </w:pPr>
    </w:lvl>
    <w:lvl w:ilvl="7" w:tplc="43990501" w:tentative="1">
      <w:start w:val="1"/>
      <w:numFmt w:val="lowerLetter"/>
      <w:lvlText w:val="%8."/>
      <w:lvlJc w:val="left"/>
      <w:pPr>
        <w:ind w:left="5760" w:hanging="360"/>
      </w:pPr>
    </w:lvl>
    <w:lvl w:ilvl="8" w:tplc="43990501" w:tentative="1">
      <w:start w:val="1"/>
      <w:numFmt w:val="lowerRoman"/>
      <w:lvlText w:val="%9."/>
      <w:lvlJc w:val="right"/>
      <w:pPr>
        <w:ind w:left="6480" w:hanging="180"/>
      </w:pPr>
    </w:lvl>
  </w:abstractNum>
  <w:abstractNum w:abstractNumId="17" w15:restartNumberingAfterBreak="0">
    <w:nsid w:val="5A470E8D"/>
    <w:multiLevelType w:val="hybridMultilevel"/>
    <w:tmpl w:val="E2B27AFC"/>
    <w:lvl w:ilvl="0" w:tplc="B49A286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E60475"/>
    <w:multiLevelType w:val="hybridMultilevel"/>
    <w:tmpl w:val="478E6418"/>
    <w:lvl w:ilvl="0" w:tplc="F5F8ED5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8161AB"/>
    <w:multiLevelType w:val="multilevel"/>
    <w:tmpl w:val="818C4BA0"/>
    <w:lvl w:ilvl="0">
      <w:start w:val="1"/>
      <w:numFmt w:val="decimal"/>
      <w:lvlText w:val="%1."/>
      <w:lvlJc w:val="left"/>
      <w:pPr>
        <w:ind w:left="567" w:hanging="567"/>
      </w:pPr>
      <w:rPr>
        <w:rFonts w:hint="default"/>
      </w:rPr>
    </w:lvl>
    <w:lvl w:ilvl="1">
      <w:start w:val="3"/>
      <w:numFmt w:val="decimal"/>
      <w:lvlText w:val="%2."/>
      <w:lvlJc w:val="left"/>
      <w:pPr>
        <w:ind w:left="567"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6A21F94"/>
    <w:multiLevelType w:val="hybridMultilevel"/>
    <w:tmpl w:val="9AD6AF94"/>
    <w:lvl w:ilvl="0" w:tplc="3222BB14">
      <w:start w:val="1"/>
      <w:numFmt w:val="decimal"/>
      <w:pStyle w:val="Lev2Copy1"/>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974F21"/>
    <w:multiLevelType w:val="hybridMultilevel"/>
    <w:tmpl w:val="C96E34CC"/>
    <w:lvl w:ilvl="0" w:tplc="432256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85847BC"/>
    <w:multiLevelType w:val="hybridMultilevel"/>
    <w:tmpl w:val="817AC282"/>
    <w:lvl w:ilvl="0" w:tplc="5C5A6B1E">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673D3C"/>
    <w:multiLevelType w:val="hybridMultilevel"/>
    <w:tmpl w:val="96AE23CA"/>
    <w:lvl w:ilvl="0" w:tplc="67045D0A">
      <w:start w:val="1"/>
      <w:numFmt w:val="lowerLetter"/>
      <w:pStyle w:val="Level4"/>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0"/>
  </w:num>
  <w:num w:numId="3">
    <w:abstractNumId w:val="4"/>
  </w:num>
  <w:num w:numId="4">
    <w:abstractNumId w:val="12"/>
  </w:num>
  <w:num w:numId="5">
    <w:abstractNumId w:val="18"/>
  </w:num>
  <w:num w:numId="6">
    <w:abstractNumId w:val="1"/>
  </w:num>
  <w:num w:numId="7">
    <w:abstractNumId w:val="6"/>
  </w:num>
  <w:num w:numId="8">
    <w:abstractNumId w:val="9"/>
  </w:num>
  <w:num w:numId="9">
    <w:abstractNumId w:val="10"/>
  </w:num>
  <w:num w:numId="10">
    <w:abstractNumId w:val="17"/>
  </w:num>
  <w:num w:numId="11">
    <w:abstractNumId w:val="18"/>
    <w:lvlOverride w:ilvl="0">
      <w:startOverride w:val="1"/>
    </w:lvlOverride>
  </w:num>
  <w:num w:numId="12">
    <w:abstractNumId w:val="13"/>
  </w:num>
  <w:num w:numId="13">
    <w:abstractNumId w:val="8"/>
  </w:num>
  <w:num w:numId="14">
    <w:abstractNumId w:val="22"/>
  </w:num>
  <w:num w:numId="15">
    <w:abstractNumId w:val="19"/>
  </w:num>
  <w:num w:numId="16">
    <w:abstractNumId w:val="3"/>
  </w:num>
  <w:num w:numId="17">
    <w:abstractNumId w:val="11"/>
  </w:num>
  <w:num w:numId="18">
    <w:abstractNumId w:val="5"/>
  </w:num>
  <w:num w:numId="19">
    <w:abstractNumId w:val="7"/>
  </w:num>
  <w:num w:numId="20">
    <w:abstractNumId w:val="15"/>
  </w:num>
  <w:num w:numId="21">
    <w:abstractNumId w:val="21"/>
  </w:num>
  <w:num w:numId="22">
    <w:abstractNumId w:val="16"/>
  </w:num>
  <w:num w:numId="23">
    <w:abstractNumId w:val="20"/>
  </w:num>
  <w:num w:numId="24">
    <w:abstractNumId w:val="14"/>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26">
    <w:abstractNumId w:val="12"/>
    <w:lvlOverride w:ilvl="0">
      <w:startOverride w:val="1"/>
    </w:lvlOverride>
    <w:lvlOverride w:ilvl="1">
      <w:startOverride w:val="1"/>
    </w:lvlOverride>
    <w:lvlOverride w:ilvl="2">
      <w:startOverride w:val="2"/>
    </w:lvlOverride>
    <w:lvlOverride w:ilvl="3">
      <w:startOverride w:val="1"/>
    </w:lvlOverride>
    <w:lvlOverride w:ilvl="4">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28">
    <w:abstractNumId w:val="2"/>
  </w:num>
  <w:num w:numId="29">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num>
  <w:num w:numId="30">
    <w:abstractNumId w:val="23"/>
    <w:lvlOverride w:ilvl="0">
      <w:startOverride w:val="1"/>
    </w:lvlOverride>
    <w:lvlOverride w:ilvl="1">
      <w:startOverride w:val="1"/>
    </w:lvlOverride>
    <w:lvlOverride w:ilvl="2">
      <w:startOverride w:val="1"/>
    </w:lvlOverride>
    <w:lvlOverride w:ilvl="3">
      <w:startOverride w:val="2"/>
    </w:lvlOverride>
    <w:lvlOverride w:ilvl="4">
      <w:startOverride w:val="1"/>
    </w:lvlOverride>
  </w:num>
  <w:num w:numId="31">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num>
  <w:num w:numId="32">
    <w:abstractNumId w:val="23"/>
    <w:lvlOverride w:ilvl="0">
      <w:startOverride w:val="1"/>
    </w:lvlOverride>
  </w:num>
  <w:num w:numId="33">
    <w:abstractNumId w:val="2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F8EF" w:allStyles="1" w:customStyles="1" w:latentStyles="1" w:stylesInUse="1" w:headingStyles="1" w:numberingStyles="1" w:tableStyles="1" w:directFormattingOnRuns="0" w:directFormattingOnParagraphs="0" w:directFormattingOnNumbering="0" w:directFormattingOnTables="1" w:clearFormatting="1" w:top3HeadingStyles="1" w:visibleStyles="1" w:alternateStyleNames="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E45"/>
    <w:rsid w:val="000078F1"/>
    <w:rsid w:val="000206D1"/>
    <w:rsid w:val="0003657F"/>
    <w:rsid w:val="00040DF8"/>
    <w:rsid w:val="00040E40"/>
    <w:rsid w:val="00044F49"/>
    <w:rsid w:val="000507DD"/>
    <w:rsid w:val="000519DF"/>
    <w:rsid w:val="000642DE"/>
    <w:rsid w:val="00077E6A"/>
    <w:rsid w:val="0008767B"/>
    <w:rsid w:val="000925A1"/>
    <w:rsid w:val="000C1148"/>
    <w:rsid w:val="000E14F9"/>
    <w:rsid w:val="000E28DD"/>
    <w:rsid w:val="000F6FBB"/>
    <w:rsid w:val="001231AE"/>
    <w:rsid w:val="00126877"/>
    <w:rsid w:val="0015725D"/>
    <w:rsid w:val="001806AD"/>
    <w:rsid w:val="00180AAA"/>
    <w:rsid w:val="00184519"/>
    <w:rsid w:val="001868AC"/>
    <w:rsid w:val="0019722E"/>
    <w:rsid w:val="001A34BC"/>
    <w:rsid w:val="001A5448"/>
    <w:rsid w:val="001B0114"/>
    <w:rsid w:val="001C6CA0"/>
    <w:rsid w:val="001D2D95"/>
    <w:rsid w:val="001F0E57"/>
    <w:rsid w:val="001F1B82"/>
    <w:rsid w:val="001F2304"/>
    <w:rsid w:val="001F61DB"/>
    <w:rsid w:val="00202434"/>
    <w:rsid w:val="00245776"/>
    <w:rsid w:val="002636CB"/>
    <w:rsid w:val="0027208D"/>
    <w:rsid w:val="00277C71"/>
    <w:rsid w:val="00280757"/>
    <w:rsid w:val="00295D22"/>
    <w:rsid w:val="002A4E89"/>
    <w:rsid w:val="002B0985"/>
    <w:rsid w:val="002B2BD2"/>
    <w:rsid w:val="002D0581"/>
    <w:rsid w:val="002D3BBC"/>
    <w:rsid w:val="002D6E57"/>
    <w:rsid w:val="002D778A"/>
    <w:rsid w:val="002F0F79"/>
    <w:rsid w:val="002F7E4B"/>
    <w:rsid w:val="0030189A"/>
    <w:rsid w:val="00310A54"/>
    <w:rsid w:val="00310B09"/>
    <w:rsid w:val="0031158E"/>
    <w:rsid w:val="00316A97"/>
    <w:rsid w:val="00326127"/>
    <w:rsid w:val="00341C5A"/>
    <w:rsid w:val="00363DE0"/>
    <w:rsid w:val="00377ECF"/>
    <w:rsid w:val="003813AE"/>
    <w:rsid w:val="0038618B"/>
    <w:rsid w:val="00392518"/>
    <w:rsid w:val="003B2BB7"/>
    <w:rsid w:val="003B37F3"/>
    <w:rsid w:val="003C159F"/>
    <w:rsid w:val="003C3AB3"/>
    <w:rsid w:val="003E3459"/>
    <w:rsid w:val="003E65CE"/>
    <w:rsid w:val="003F1679"/>
    <w:rsid w:val="0040288F"/>
    <w:rsid w:val="004040A4"/>
    <w:rsid w:val="00413BD1"/>
    <w:rsid w:val="00417647"/>
    <w:rsid w:val="00431665"/>
    <w:rsid w:val="00435B8F"/>
    <w:rsid w:val="0045124F"/>
    <w:rsid w:val="004A068A"/>
    <w:rsid w:val="004A3809"/>
    <w:rsid w:val="004C50BD"/>
    <w:rsid w:val="004C50F4"/>
    <w:rsid w:val="00507595"/>
    <w:rsid w:val="00532F2D"/>
    <w:rsid w:val="005419DB"/>
    <w:rsid w:val="0056181C"/>
    <w:rsid w:val="00571242"/>
    <w:rsid w:val="005739D0"/>
    <w:rsid w:val="00575E10"/>
    <w:rsid w:val="0059498A"/>
    <w:rsid w:val="005B1D84"/>
    <w:rsid w:val="005C05E2"/>
    <w:rsid w:val="005E3A4C"/>
    <w:rsid w:val="005F60C0"/>
    <w:rsid w:val="00602826"/>
    <w:rsid w:val="00611309"/>
    <w:rsid w:val="00632A57"/>
    <w:rsid w:val="0063788F"/>
    <w:rsid w:val="00651CEC"/>
    <w:rsid w:val="00654C8F"/>
    <w:rsid w:val="00672CA0"/>
    <w:rsid w:val="0068452B"/>
    <w:rsid w:val="00693327"/>
    <w:rsid w:val="006A7C48"/>
    <w:rsid w:val="006B0919"/>
    <w:rsid w:val="006B3B1E"/>
    <w:rsid w:val="006D3DA3"/>
    <w:rsid w:val="006E666A"/>
    <w:rsid w:val="006F00F9"/>
    <w:rsid w:val="006F4FD6"/>
    <w:rsid w:val="0071397F"/>
    <w:rsid w:val="00715C62"/>
    <w:rsid w:val="007235CF"/>
    <w:rsid w:val="00733621"/>
    <w:rsid w:val="007348C7"/>
    <w:rsid w:val="007416F5"/>
    <w:rsid w:val="007455FE"/>
    <w:rsid w:val="00745CD9"/>
    <w:rsid w:val="007609F0"/>
    <w:rsid w:val="00771910"/>
    <w:rsid w:val="00775589"/>
    <w:rsid w:val="007770AB"/>
    <w:rsid w:val="0077730F"/>
    <w:rsid w:val="00791349"/>
    <w:rsid w:val="007A5916"/>
    <w:rsid w:val="007B19B0"/>
    <w:rsid w:val="007B4F01"/>
    <w:rsid w:val="007E3FF8"/>
    <w:rsid w:val="007F7EE4"/>
    <w:rsid w:val="0081250F"/>
    <w:rsid w:val="00815BE4"/>
    <w:rsid w:val="0082755F"/>
    <w:rsid w:val="0084055F"/>
    <w:rsid w:val="00843D60"/>
    <w:rsid w:val="00845E3B"/>
    <w:rsid w:val="00846C56"/>
    <w:rsid w:val="00850B30"/>
    <w:rsid w:val="00862543"/>
    <w:rsid w:val="00865E49"/>
    <w:rsid w:val="00886882"/>
    <w:rsid w:val="0089289F"/>
    <w:rsid w:val="00897073"/>
    <w:rsid w:val="00900810"/>
    <w:rsid w:val="00902FE5"/>
    <w:rsid w:val="00903742"/>
    <w:rsid w:val="00911C3C"/>
    <w:rsid w:val="00912160"/>
    <w:rsid w:val="00917F4E"/>
    <w:rsid w:val="00940600"/>
    <w:rsid w:val="0094758C"/>
    <w:rsid w:val="00952E45"/>
    <w:rsid w:val="00954EA9"/>
    <w:rsid w:val="00955C6A"/>
    <w:rsid w:val="0095782F"/>
    <w:rsid w:val="009617DA"/>
    <w:rsid w:val="009656DC"/>
    <w:rsid w:val="00966899"/>
    <w:rsid w:val="00970654"/>
    <w:rsid w:val="00973DBF"/>
    <w:rsid w:val="0098358D"/>
    <w:rsid w:val="00983FE1"/>
    <w:rsid w:val="00991D43"/>
    <w:rsid w:val="0099369B"/>
    <w:rsid w:val="00995919"/>
    <w:rsid w:val="009A3FCB"/>
    <w:rsid w:val="009B7ED6"/>
    <w:rsid w:val="009D6DC6"/>
    <w:rsid w:val="00A00680"/>
    <w:rsid w:val="00A04BC1"/>
    <w:rsid w:val="00A36A04"/>
    <w:rsid w:val="00A44166"/>
    <w:rsid w:val="00A52861"/>
    <w:rsid w:val="00A60176"/>
    <w:rsid w:val="00A7086B"/>
    <w:rsid w:val="00A73194"/>
    <w:rsid w:val="00A86830"/>
    <w:rsid w:val="00A97C82"/>
    <w:rsid w:val="00AB376C"/>
    <w:rsid w:val="00AC2AF1"/>
    <w:rsid w:val="00AC3DCF"/>
    <w:rsid w:val="00AC65A3"/>
    <w:rsid w:val="00AD0A59"/>
    <w:rsid w:val="00AE3E4A"/>
    <w:rsid w:val="00AE5F94"/>
    <w:rsid w:val="00AF2396"/>
    <w:rsid w:val="00B046CA"/>
    <w:rsid w:val="00B1392C"/>
    <w:rsid w:val="00B221FD"/>
    <w:rsid w:val="00B2727E"/>
    <w:rsid w:val="00B3678B"/>
    <w:rsid w:val="00B44052"/>
    <w:rsid w:val="00B47624"/>
    <w:rsid w:val="00B5753F"/>
    <w:rsid w:val="00B67414"/>
    <w:rsid w:val="00B75D85"/>
    <w:rsid w:val="00BA00A1"/>
    <w:rsid w:val="00BA69E8"/>
    <w:rsid w:val="00BC3EED"/>
    <w:rsid w:val="00BC7DBC"/>
    <w:rsid w:val="00BE667B"/>
    <w:rsid w:val="00BE7CBE"/>
    <w:rsid w:val="00BF4BB3"/>
    <w:rsid w:val="00C0539C"/>
    <w:rsid w:val="00C05FC2"/>
    <w:rsid w:val="00C07DD3"/>
    <w:rsid w:val="00C1282E"/>
    <w:rsid w:val="00C12F6B"/>
    <w:rsid w:val="00C135AB"/>
    <w:rsid w:val="00C13FC4"/>
    <w:rsid w:val="00C15950"/>
    <w:rsid w:val="00C16A29"/>
    <w:rsid w:val="00C26FD1"/>
    <w:rsid w:val="00C6119B"/>
    <w:rsid w:val="00C900F9"/>
    <w:rsid w:val="00CA1DC9"/>
    <w:rsid w:val="00CA6B32"/>
    <w:rsid w:val="00CC4CDC"/>
    <w:rsid w:val="00CE5275"/>
    <w:rsid w:val="00CE7486"/>
    <w:rsid w:val="00D13469"/>
    <w:rsid w:val="00D165C5"/>
    <w:rsid w:val="00D205A8"/>
    <w:rsid w:val="00D25790"/>
    <w:rsid w:val="00D267F8"/>
    <w:rsid w:val="00D3181E"/>
    <w:rsid w:val="00D333A5"/>
    <w:rsid w:val="00D40668"/>
    <w:rsid w:val="00D42985"/>
    <w:rsid w:val="00D44993"/>
    <w:rsid w:val="00D5415F"/>
    <w:rsid w:val="00D6756C"/>
    <w:rsid w:val="00DA1A0F"/>
    <w:rsid w:val="00DC04C8"/>
    <w:rsid w:val="00DC1388"/>
    <w:rsid w:val="00DC2239"/>
    <w:rsid w:val="00DC2CAB"/>
    <w:rsid w:val="00DC4B3A"/>
    <w:rsid w:val="00DC631C"/>
    <w:rsid w:val="00DC64A4"/>
    <w:rsid w:val="00DF494A"/>
    <w:rsid w:val="00E02E63"/>
    <w:rsid w:val="00E038B4"/>
    <w:rsid w:val="00E113DE"/>
    <w:rsid w:val="00E40A2C"/>
    <w:rsid w:val="00E43522"/>
    <w:rsid w:val="00E5200F"/>
    <w:rsid w:val="00E5385D"/>
    <w:rsid w:val="00E84E71"/>
    <w:rsid w:val="00E87981"/>
    <w:rsid w:val="00EA0186"/>
    <w:rsid w:val="00EA3AEB"/>
    <w:rsid w:val="00EA4F99"/>
    <w:rsid w:val="00EB1B8A"/>
    <w:rsid w:val="00EC3544"/>
    <w:rsid w:val="00ED0DF0"/>
    <w:rsid w:val="00ED5E17"/>
    <w:rsid w:val="00EE442A"/>
    <w:rsid w:val="00F011BC"/>
    <w:rsid w:val="00F0617D"/>
    <w:rsid w:val="00F20326"/>
    <w:rsid w:val="00F337CF"/>
    <w:rsid w:val="00F56C26"/>
    <w:rsid w:val="00F713BF"/>
    <w:rsid w:val="00F719B7"/>
    <w:rsid w:val="00F76576"/>
    <w:rsid w:val="00F77608"/>
    <w:rsid w:val="00F82203"/>
    <w:rsid w:val="00F95A34"/>
    <w:rsid w:val="00FB2B1F"/>
    <w:rsid w:val="00FC51AA"/>
    <w:rsid w:val="00FD6D8F"/>
    <w:rsid w:val="00FD7BD4"/>
    <w:rsid w:val="00FE16A4"/>
    <w:rsid w:val="00FF27C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AB4215"/>
  <w15:chartTrackingRefBased/>
  <w15:docId w15:val="{39E50B20-0A65-49D9-9E02-75EFDDEC8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46CA"/>
    <w:pPr>
      <w:spacing w:after="0" w:line="240" w:lineRule="auto"/>
    </w:pPr>
    <w:rPr>
      <w:rFonts w:ascii="Arial" w:eastAsia="Times New Roman" w:hAnsi="Arial" w:cs="Times New Roman"/>
      <w:sz w:val="17"/>
      <w:szCs w:val="24"/>
    </w:rPr>
  </w:style>
  <w:style w:type="paragraph" w:styleId="Nadpis3">
    <w:name w:val="heading 3"/>
    <w:basedOn w:val="Normln"/>
    <w:next w:val="Normln"/>
    <w:link w:val="Nadpis3Char"/>
    <w:uiPriority w:val="9"/>
    <w:semiHidden/>
    <w:unhideWhenUsed/>
    <w:qFormat/>
    <w:rsid w:val="00277C71"/>
    <w:pPr>
      <w:keepNext/>
      <w:keepLines/>
      <w:spacing w:before="40"/>
      <w:outlineLvl w:val="2"/>
    </w:pPr>
    <w:rPr>
      <w:rFonts w:asciiTheme="majorHAnsi" w:eastAsiaTheme="majorEastAsia" w:hAnsiTheme="majorHAnsi" w:cstheme="majorBidi"/>
      <w:color w:val="6D330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715C62"/>
    <w:pPr>
      <w:tabs>
        <w:tab w:val="center" w:pos="4536"/>
        <w:tab w:val="right" w:pos="9072"/>
      </w:tabs>
    </w:pPr>
  </w:style>
  <w:style w:type="character" w:customStyle="1" w:styleId="ZhlavChar">
    <w:name w:val="Záhlaví Char"/>
    <w:basedOn w:val="Standardnpsmoodstavce"/>
    <w:link w:val="Zhlav"/>
    <w:rsid w:val="00715C62"/>
    <w:rPr>
      <w:rFonts w:ascii="Times New Roman" w:eastAsia="Times New Roman" w:hAnsi="Times New Roman" w:cs="Times New Roman"/>
      <w:sz w:val="24"/>
      <w:szCs w:val="24"/>
      <w:lang w:val="cs-CZ" w:eastAsia="cs-CZ"/>
    </w:rPr>
  </w:style>
  <w:style w:type="paragraph" w:customStyle="1" w:styleId="PwCAddress">
    <w:name w:val="PwC Address"/>
    <w:basedOn w:val="Normln"/>
    <w:link w:val="PwCAddressChar"/>
    <w:qFormat/>
    <w:rsid w:val="00B046CA"/>
    <w:pPr>
      <w:spacing w:line="200" w:lineRule="atLeast"/>
    </w:pPr>
    <w:rPr>
      <w:rFonts w:eastAsiaTheme="minorHAnsi" w:cstheme="minorBidi"/>
      <w:i/>
      <w:noProof/>
      <w:szCs w:val="22"/>
      <w:lang w:val="en-GB" w:eastAsia="en-GB"/>
    </w:rPr>
  </w:style>
  <w:style w:type="character" w:customStyle="1" w:styleId="PwCAddressChar">
    <w:name w:val="PwC Address Char"/>
    <w:basedOn w:val="Standardnpsmoodstavce"/>
    <w:link w:val="PwCAddress"/>
    <w:rsid w:val="00B046CA"/>
    <w:rPr>
      <w:rFonts w:ascii="Arial" w:hAnsi="Arial"/>
      <w:i/>
      <w:noProof/>
      <w:sz w:val="17"/>
      <w:lang w:val="en-GB" w:eastAsia="en-GB"/>
    </w:rPr>
  </w:style>
  <w:style w:type="paragraph" w:customStyle="1" w:styleId="Reportdoc">
    <w:name w:val="Report doc"/>
    <w:link w:val="ReportdocChar"/>
    <w:rsid w:val="00715C62"/>
    <w:pPr>
      <w:widowControl w:val="0"/>
      <w:tabs>
        <w:tab w:val="left" w:pos="-720"/>
      </w:tabs>
      <w:suppressAutoHyphens/>
      <w:spacing w:after="0" w:line="287" w:lineRule="auto"/>
    </w:pPr>
    <w:rPr>
      <w:rFonts w:ascii="Braggadocio" w:eastAsia="Times New Roman" w:hAnsi="Braggadocio" w:cs="Times New Roman"/>
      <w:sz w:val="19"/>
      <w:szCs w:val="20"/>
    </w:rPr>
  </w:style>
  <w:style w:type="character" w:customStyle="1" w:styleId="ReportdocChar">
    <w:name w:val="Report doc Char"/>
    <w:basedOn w:val="Standardnpsmoodstavce"/>
    <w:link w:val="Reportdoc"/>
    <w:rsid w:val="00715C62"/>
    <w:rPr>
      <w:rFonts w:ascii="Braggadocio" w:eastAsia="Times New Roman" w:hAnsi="Braggadocio" w:cs="Times New Roman"/>
      <w:sz w:val="19"/>
      <w:szCs w:val="20"/>
    </w:rPr>
  </w:style>
  <w:style w:type="character" w:styleId="slostrnky">
    <w:name w:val="page number"/>
    <w:basedOn w:val="Standardnpsmoodstavce"/>
    <w:rsid w:val="00715C62"/>
  </w:style>
  <w:style w:type="character" w:styleId="Zdraznnintenzivn">
    <w:name w:val="Intense Emphasis"/>
    <w:basedOn w:val="Standardnpsmoodstavce"/>
    <w:uiPriority w:val="21"/>
    <w:qFormat/>
    <w:rsid w:val="00715C62"/>
    <w:rPr>
      <w:i/>
      <w:iCs/>
      <w:color w:val="DC6900" w:themeColor="accent1"/>
    </w:rPr>
  </w:style>
  <w:style w:type="paragraph" w:customStyle="1" w:styleId="mybody">
    <w:name w:val="mybody"/>
    <w:basedOn w:val="Normln"/>
    <w:qFormat/>
    <w:rsid w:val="00B046CA"/>
    <w:pPr>
      <w:autoSpaceDE w:val="0"/>
      <w:autoSpaceDN w:val="0"/>
      <w:adjustRightInd w:val="0"/>
      <w:ind w:left="709" w:hanging="709"/>
    </w:pPr>
    <w:rPr>
      <w:rFonts w:cs="Arial"/>
      <w:iCs/>
      <w:color w:val="000000"/>
      <w:szCs w:val="20"/>
      <w:lang w:eastAsia="en-GB"/>
    </w:rPr>
  </w:style>
  <w:style w:type="paragraph" w:customStyle="1" w:styleId="Body1">
    <w:name w:val="Body 1"/>
    <w:basedOn w:val="Reportdoc"/>
    <w:link w:val="Body1Char"/>
    <w:qFormat/>
    <w:rsid w:val="00B046CA"/>
    <w:pPr>
      <w:keepNext/>
      <w:widowControl/>
      <w:spacing w:after="240" w:line="240" w:lineRule="auto"/>
      <w:contextualSpacing/>
    </w:pPr>
    <w:rPr>
      <w:rFonts w:ascii="Arial" w:hAnsi="Arial"/>
      <w:b/>
      <w:color w:val="000000" w:themeColor="text1"/>
      <w:sz w:val="17"/>
    </w:rPr>
  </w:style>
  <w:style w:type="paragraph" w:customStyle="1" w:styleId="Body2">
    <w:name w:val="Body 2"/>
    <w:basedOn w:val="Body1"/>
    <w:link w:val="Body2Char"/>
    <w:qFormat/>
    <w:rsid w:val="00CA6B32"/>
    <w:pPr>
      <w:ind w:left="567"/>
    </w:pPr>
    <w:rPr>
      <w:b w:val="0"/>
    </w:rPr>
  </w:style>
  <w:style w:type="paragraph" w:customStyle="1" w:styleId="Body3">
    <w:name w:val="Body 3"/>
    <w:basedOn w:val="Reportdoc"/>
    <w:link w:val="Body3Char"/>
    <w:qFormat/>
    <w:rsid w:val="00B046CA"/>
    <w:pPr>
      <w:keepLines/>
      <w:widowControl/>
      <w:spacing w:before="480" w:after="480" w:line="240" w:lineRule="auto"/>
    </w:pPr>
    <w:rPr>
      <w:rFonts w:ascii="Arial" w:hAnsi="Arial"/>
      <w:sz w:val="17"/>
    </w:rPr>
  </w:style>
  <w:style w:type="paragraph" w:customStyle="1" w:styleId="Level1">
    <w:name w:val="Level 1"/>
    <w:basedOn w:val="Reportdoc"/>
    <w:link w:val="Level1Char"/>
    <w:qFormat/>
    <w:rsid w:val="00B046CA"/>
    <w:pPr>
      <w:keepNext/>
      <w:widowControl/>
      <w:spacing w:before="400" w:after="400" w:line="240" w:lineRule="auto"/>
    </w:pPr>
    <w:rPr>
      <w:rFonts w:ascii="Arial" w:hAnsi="Arial"/>
      <w:sz w:val="17"/>
    </w:rPr>
  </w:style>
  <w:style w:type="character" w:customStyle="1" w:styleId="Body1Char">
    <w:name w:val="Body 1 Char"/>
    <w:basedOn w:val="Standardnpsmoodstavce"/>
    <w:link w:val="Body1"/>
    <w:rsid w:val="00B046CA"/>
    <w:rPr>
      <w:rFonts w:ascii="Arial" w:eastAsia="Times New Roman" w:hAnsi="Arial" w:cs="Times New Roman"/>
      <w:b/>
      <w:color w:val="000000" w:themeColor="text1"/>
      <w:sz w:val="17"/>
      <w:szCs w:val="20"/>
    </w:rPr>
  </w:style>
  <w:style w:type="character" w:customStyle="1" w:styleId="Body2Char">
    <w:name w:val="Body 2 Char"/>
    <w:basedOn w:val="Body1Char"/>
    <w:link w:val="Body2"/>
    <w:rsid w:val="00CA6B32"/>
    <w:rPr>
      <w:rFonts w:ascii="Georgia" w:eastAsia="Times New Roman" w:hAnsi="Georgia" w:cs="Times New Roman"/>
      <w:b w:val="0"/>
      <w:color w:val="000000" w:themeColor="text1"/>
      <w:sz w:val="20"/>
      <w:szCs w:val="20"/>
    </w:rPr>
  </w:style>
  <w:style w:type="character" w:customStyle="1" w:styleId="Body3Char">
    <w:name w:val="Body 3 Char"/>
    <w:basedOn w:val="Body2Char"/>
    <w:link w:val="Body3"/>
    <w:rsid w:val="00B046CA"/>
    <w:rPr>
      <w:rFonts w:ascii="Arial" w:eastAsia="Times New Roman" w:hAnsi="Arial" w:cs="Times New Roman"/>
      <w:b w:val="0"/>
      <w:color w:val="000000" w:themeColor="text1"/>
      <w:sz w:val="17"/>
      <w:szCs w:val="20"/>
    </w:rPr>
  </w:style>
  <w:style w:type="paragraph" w:customStyle="1" w:styleId="Level2">
    <w:name w:val="Level 2"/>
    <w:basedOn w:val="Zkladntext"/>
    <w:link w:val="Level2Char"/>
    <w:qFormat/>
    <w:rsid w:val="00B046CA"/>
    <w:pPr>
      <w:keepLines/>
      <w:widowControl/>
      <w:numPr>
        <w:ilvl w:val="1"/>
        <w:numId w:val="16"/>
      </w:numPr>
      <w:spacing w:after="240"/>
    </w:pPr>
    <w:rPr>
      <w:color w:val="auto"/>
      <w:sz w:val="17"/>
    </w:rPr>
  </w:style>
  <w:style w:type="character" w:customStyle="1" w:styleId="Level1Char">
    <w:name w:val="Level 1 Char"/>
    <w:basedOn w:val="ReportdocChar"/>
    <w:link w:val="Level1"/>
    <w:rsid w:val="00B046CA"/>
    <w:rPr>
      <w:rFonts w:ascii="Arial" w:eastAsia="Times New Roman" w:hAnsi="Arial" w:cs="Times New Roman"/>
      <w:sz w:val="17"/>
      <w:szCs w:val="20"/>
    </w:rPr>
  </w:style>
  <w:style w:type="paragraph" w:customStyle="1" w:styleId="Level3">
    <w:name w:val="Level 3"/>
    <w:basedOn w:val="Level2"/>
    <w:qFormat/>
    <w:rsid w:val="00571242"/>
    <w:pPr>
      <w:numPr>
        <w:ilvl w:val="0"/>
        <w:numId w:val="4"/>
      </w:numPr>
    </w:pPr>
  </w:style>
  <w:style w:type="character" w:customStyle="1" w:styleId="Nadpis3Char">
    <w:name w:val="Nadpis 3 Char"/>
    <w:basedOn w:val="Standardnpsmoodstavce"/>
    <w:link w:val="Nadpis3"/>
    <w:uiPriority w:val="9"/>
    <w:semiHidden/>
    <w:rsid w:val="00277C71"/>
    <w:rPr>
      <w:rFonts w:asciiTheme="majorHAnsi" w:eastAsiaTheme="majorEastAsia" w:hAnsiTheme="majorHAnsi" w:cstheme="majorBidi"/>
      <w:color w:val="6D3300" w:themeColor="accent1" w:themeShade="7F"/>
      <w:sz w:val="24"/>
      <w:szCs w:val="24"/>
      <w:lang w:val="cs-CZ" w:eastAsia="cs-CZ"/>
    </w:rPr>
  </w:style>
  <w:style w:type="paragraph" w:customStyle="1" w:styleId="Level4">
    <w:name w:val="Level 4"/>
    <w:basedOn w:val="Seznam5"/>
    <w:qFormat/>
    <w:rsid w:val="00B046CA"/>
    <w:pPr>
      <w:keepLines/>
      <w:numPr>
        <w:numId w:val="1"/>
      </w:numPr>
      <w:spacing w:after="240"/>
      <w:ind w:left="992" w:hanging="425"/>
      <w:contextualSpacing w:val="0"/>
    </w:pPr>
  </w:style>
  <w:style w:type="paragraph" w:customStyle="1" w:styleId="Level5">
    <w:name w:val="Level 5"/>
    <w:basedOn w:val="Seznamsodrkami4"/>
    <w:qFormat/>
    <w:rsid w:val="00571242"/>
    <w:pPr>
      <w:keepLines/>
      <w:numPr>
        <w:numId w:val="0"/>
      </w:numPr>
      <w:spacing w:after="240"/>
    </w:pPr>
    <w:rPr>
      <w:rFonts w:ascii="Georgia" w:hAnsi="Georgia"/>
      <w:b/>
      <w:i/>
      <w:color w:val="000000" w:themeColor="text1"/>
      <w:sz w:val="36"/>
    </w:rPr>
  </w:style>
  <w:style w:type="paragraph" w:styleId="Seznam5">
    <w:name w:val="List 5"/>
    <w:basedOn w:val="Normln"/>
    <w:uiPriority w:val="99"/>
    <w:semiHidden/>
    <w:unhideWhenUsed/>
    <w:rsid w:val="0094758C"/>
    <w:pPr>
      <w:ind w:left="1415" w:hanging="283"/>
      <w:contextualSpacing/>
    </w:pPr>
  </w:style>
  <w:style w:type="paragraph" w:customStyle="1" w:styleId="Body4">
    <w:name w:val="Body 4"/>
    <w:basedOn w:val="Level4"/>
    <w:qFormat/>
    <w:rsid w:val="00B046CA"/>
    <w:pPr>
      <w:numPr>
        <w:numId w:val="0"/>
      </w:numPr>
      <w:ind w:left="567"/>
    </w:pPr>
  </w:style>
  <w:style w:type="paragraph" w:styleId="Seznamsodrkami4">
    <w:name w:val="List Bullet 4"/>
    <w:basedOn w:val="Normln"/>
    <w:uiPriority w:val="99"/>
    <w:semiHidden/>
    <w:unhideWhenUsed/>
    <w:rsid w:val="00C05FC2"/>
    <w:pPr>
      <w:numPr>
        <w:numId w:val="2"/>
      </w:numPr>
      <w:contextualSpacing/>
    </w:pPr>
  </w:style>
  <w:style w:type="paragraph" w:customStyle="1" w:styleId="Body5">
    <w:name w:val="Body 5"/>
    <w:basedOn w:val="Reportdoc"/>
    <w:link w:val="Body5Char"/>
    <w:qFormat/>
    <w:rsid w:val="00B046CA"/>
    <w:pPr>
      <w:keepLines/>
      <w:widowControl/>
      <w:spacing w:before="840" w:after="720" w:line="240" w:lineRule="auto"/>
      <w:contextualSpacing/>
      <w:jc w:val="center"/>
    </w:pPr>
    <w:rPr>
      <w:rFonts w:ascii="Georgia" w:hAnsi="Georgia"/>
      <w:color w:val="000000" w:themeColor="text1"/>
      <w:sz w:val="36"/>
    </w:rPr>
  </w:style>
  <w:style w:type="character" w:customStyle="1" w:styleId="Body5Char">
    <w:name w:val="Body 5 Char"/>
    <w:basedOn w:val="ReportdocChar"/>
    <w:link w:val="Body5"/>
    <w:rsid w:val="00B046CA"/>
    <w:rPr>
      <w:rFonts w:ascii="Georgia" w:eastAsia="Times New Roman" w:hAnsi="Georgia" w:cs="Times New Roman"/>
      <w:color w:val="000000" w:themeColor="text1"/>
      <w:sz w:val="36"/>
      <w:szCs w:val="20"/>
    </w:rPr>
  </w:style>
  <w:style w:type="paragraph" w:styleId="Zkladntext">
    <w:name w:val="Body Text"/>
    <w:basedOn w:val="Normln"/>
    <w:link w:val="ZkladntextChar"/>
    <w:rsid w:val="000519DF"/>
    <w:pPr>
      <w:widowControl w:val="0"/>
    </w:pPr>
    <w:rPr>
      <w:snapToGrid w:val="0"/>
      <w:color w:val="000000"/>
      <w:sz w:val="22"/>
      <w:szCs w:val="20"/>
      <w:lang w:val="en-GB" w:eastAsia="en-US"/>
    </w:rPr>
  </w:style>
  <w:style w:type="character" w:customStyle="1" w:styleId="ZkladntextChar">
    <w:name w:val="Základní text Char"/>
    <w:basedOn w:val="Standardnpsmoodstavce"/>
    <w:link w:val="Zkladntext"/>
    <w:rsid w:val="000519DF"/>
    <w:rPr>
      <w:rFonts w:ascii="Times New Roman" w:eastAsia="Times New Roman" w:hAnsi="Times New Roman" w:cs="Times New Roman"/>
      <w:snapToGrid w:val="0"/>
      <w:color w:val="000000"/>
      <w:szCs w:val="20"/>
      <w:lang w:val="en-GB"/>
    </w:rPr>
  </w:style>
  <w:style w:type="character" w:customStyle="1" w:styleId="Level2Char">
    <w:name w:val="Level 2 Char"/>
    <w:basedOn w:val="ZkladntextChar"/>
    <w:link w:val="Level2"/>
    <w:rsid w:val="00B046CA"/>
    <w:rPr>
      <w:rFonts w:ascii="Arial" w:eastAsia="Times New Roman" w:hAnsi="Arial" w:cs="Times New Roman"/>
      <w:snapToGrid w:val="0"/>
      <w:color w:val="000000"/>
      <w:sz w:val="17"/>
      <w:szCs w:val="20"/>
      <w:lang w:val="en-GB"/>
    </w:rPr>
  </w:style>
  <w:style w:type="paragraph" w:styleId="Zpat">
    <w:name w:val="footer"/>
    <w:basedOn w:val="Normln"/>
    <w:link w:val="ZpatChar"/>
    <w:uiPriority w:val="99"/>
    <w:unhideWhenUsed/>
    <w:rsid w:val="009B7ED6"/>
    <w:pPr>
      <w:tabs>
        <w:tab w:val="center" w:pos="4703"/>
        <w:tab w:val="right" w:pos="9406"/>
      </w:tabs>
    </w:pPr>
  </w:style>
  <w:style w:type="character" w:customStyle="1" w:styleId="ZpatChar">
    <w:name w:val="Zápatí Char"/>
    <w:basedOn w:val="Standardnpsmoodstavce"/>
    <w:link w:val="Zpat"/>
    <w:uiPriority w:val="99"/>
    <w:rsid w:val="009B7ED6"/>
    <w:rPr>
      <w:rFonts w:ascii="Times New Roman" w:eastAsia="Times New Roman" w:hAnsi="Times New Roman" w:cs="Times New Roman"/>
      <w:sz w:val="24"/>
      <w:szCs w:val="24"/>
      <w:lang w:val="cs-CZ" w:eastAsia="cs-CZ"/>
    </w:rPr>
  </w:style>
  <w:style w:type="paragraph" w:customStyle="1" w:styleId="table1">
    <w:name w:val="table1"/>
    <w:qFormat/>
    <w:rsid w:val="00B046CA"/>
    <w:pPr>
      <w:keepNext/>
      <w:spacing w:after="0" w:line="240" w:lineRule="auto"/>
      <w:ind w:left="-113"/>
    </w:pPr>
    <w:rPr>
      <w:rFonts w:ascii="Arial" w:eastAsia="Times New Roman" w:hAnsi="Arial" w:cs="Times New Roman"/>
      <w:color w:val="000000" w:themeColor="text1"/>
      <w:sz w:val="17"/>
      <w:szCs w:val="20"/>
    </w:rPr>
  </w:style>
  <w:style w:type="paragraph" w:customStyle="1" w:styleId="Disclaimer">
    <w:name w:val="Disclaimer"/>
    <w:link w:val="DisclaimerChar"/>
    <w:qFormat/>
    <w:rsid w:val="00D44993"/>
    <w:pPr>
      <w:spacing w:after="60" w:line="240" w:lineRule="auto"/>
    </w:pPr>
    <w:rPr>
      <w:rFonts w:ascii="Arial" w:eastAsia="Times New Roman" w:hAnsi="Arial" w:cs="Times New Roman"/>
      <w:noProof/>
      <w:sz w:val="10"/>
      <w:szCs w:val="20"/>
      <w:lang w:val="en-GB"/>
    </w:rPr>
  </w:style>
  <w:style w:type="character" w:customStyle="1" w:styleId="DisclaimerChar">
    <w:name w:val="Disclaimer Char"/>
    <w:basedOn w:val="Standardnpsmoodstavce"/>
    <w:link w:val="Disclaimer"/>
    <w:rsid w:val="00D44993"/>
    <w:rPr>
      <w:rFonts w:ascii="Arial" w:eastAsia="Times New Roman" w:hAnsi="Arial" w:cs="Times New Roman"/>
      <w:noProof/>
      <w:sz w:val="10"/>
      <w:szCs w:val="20"/>
      <w:lang w:val="en-GB"/>
    </w:rPr>
  </w:style>
  <w:style w:type="paragraph" w:customStyle="1" w:styleId="Address">
    <w:name w:val="Address"/>
    <w:basedOn w:val="Normln"/>
    <w:link w:val="AddressChar"/>
    <w:qFormat/>
    <w:rsid w:val="00B046CA"/>
    <w:pPr>
      <w:spacing w:line="200" w:lineRule="atLeast"/>
    </w:pPr>
    <w:rPr>
      <w:rFonts w:eastAsiaTheme="minorHAnsi" w:cstheme="minorBidi"/>
      <w:i/>
      <w:noProof/>
      <w:szCs w:val="22"/>
      <w:lang w:val="en-GB" w:eastAsia="en-GB"/>
    </w:rPr>
  </w:style>
  <w:style w:type="character" w:customStyle="1" w:styleId="AddressChar">
    <w:name w:val="Address Char"/>
    <w:basedOn w:val="Standardnpsmoodstavce"/>
    <w:link w:val="Address"/>
    <w:rsid w:val="00B046CA"/>
    <w:rPr>
      <w:rFonts w:ascii="Arial" w:hAnsi="Arial"/>
      <w:i/>
      <w:noProof/>
      <w:sz w:val="17"/>
      <w:lang w:val="en-GB" w:eastAsia="en-GB"/>
    </w:rPr>
  </w:style>
  <w:style w:type="paragraph" w:customStyle="1" w:styleId="table1-Legito2">
    <w:name w:val="table1-Legito2"/>
    <w:basedOn w:val="table1"/>
    <w:qFormat/>
    <w:rsid w:val="003B37F3"/>
  </w:style>
  <w:style w:type="paragraph" w:customStyle="1" w:styleId="Body1-Legito2">
    <w:name w:val="Body 1-Legito2"/>
    <w:basedOn w:val="Body1"/>
    <w:qFormat/>
    <w:rsid w:val="00AC65A3"/>
  </w:style>
  <w:style w:type="paragraph" w:customStyle="1" w:styleId="Body2-Legito2">
    <w:name w:val="Body 2-Legito2"/>
    <w:basedOn w:val="Body2"/>
    <w:qFormat/>
    <w:rsid w:val="00E40A2C"/>
  </w:style>
  <w:style w:type="paragraph" w:customStyle="1" w:styleId="Body3-Legito2">
    <w:name w:val="Body 3-Legito2"/>
    <w:basedOn w:val="Body3"/>
    <w:qFormat/>
    <w:rsid w:val="00AC65A3"/>
  </w:style>
  <w:style w:type="paragraph" w:customStyle="1" w:styleId="Body4-Legito2">
    <w:name w:val="Body 4-Legito2"/>
    <w:basedOn w:val="Body4"/>
    <w:qFormat/>
    <w:rsid w:val="003B37F3"/>
  </w:style>
  <w:style w:type="paragraph" w:customStyle="1" w:styleId="Body5-Legito2">
    <w:name w:val="Body 5-Legito2"/>
    <w:basedOn w:val="Body5"/>
    <w:qFormat/>
    <w:rsid w:val="00AC3DCF"/>
  </w:style>
  <w:style w:type="paragraph" w:customStyle="1" w:styleId="Level1-Legito2">
    <w:name w:val="Level 1-Legito2"/>
    <w:basedOn w:val="Level1"/>
    <w:qFormat/>
    <w:rsid w:val="003B37F3"/>
  </w:style>
  <w:style w:type="paragraph" w:customStyle="1" w:styleId="Level2-Legito2">
    <w:name w:val="Level 2-Legito2"/>
    <w:basedOn w:val="Level2"/>
    <w:link w:val="Level2-Legito2Char"/>
    <w:qFormat/>
    <w:rsid w:val="00E40A2C"/>
    <w:pPr>
      <w:numPr>
        <w:ilvl w:val="0"/>
        <w:numId w:val="13"/>
      </w:numPr>
    </w:pPr>
  </w:style>
  <w:style w:type="paragraph" w:customStyle="1" w:styleId="Level3-Legito2">
    <w:name w:val="Level 3-Legito2"/>
    <w:basedOn w:val="Level3"/>
    <w:qFormat/>
    <w:rsid w:val="003B37F3"/>
  </w:style>
  <w:style w:type="paragraph" w:customStyle="1" w:styleId="Level4-Legito2">
    <w:name w:val="Level 4-Legito2"/>
    <w:basedOn w:val="Level4"/>
    <w:qFormat/>
    <w:rsid w:val="003B37F3"/>
  </w:style>
  <w:style w:type="paragraph" w:customStyle="1" w:styleId="Level5-Legito2">
    <w:name w:val="Level 5-Legito2"/>
    <w:basedOn w:val="Level5"/>
    <w:qFormat/>
    <w:rsid w:val="00954EA9"/>
  </w:style>
  <w:style w:type="paragraph" w:customStyle="1" w:styleId="radek12">
    <w:name w:val="radek12"/>
    <w:qFormat/>
    <w:rsid w:val="00B046CA"/>
    <w:pPr>
      <w:spacing w:after="0" w:line="240" w:lineRule="auto"/>
    </w:pPr>
    <w:rPr>
      <w:rFonts w:ascii="Arial" w:eastAsia="Times New Roman" w:hAnsi="Arial" w:cs="Times New Roman"/>
      <w:color w:val="000000" w:themeColor="text1"/>
      <w:sz w:val="17"/>
      <w:szCs w:val="24"/>
    </w:rPr>
  </w:style>
  <w:style w:type="paragraph" w:customStyle="1" w:styleId="radek12-Legito2">
    <w:name w:val="radek12-Legito2"/>
    <w:basedOn w:val="radek12"/>
    <w:qFormat/>
    <w:rsid w:val="00431665"/>
  </w:style>
  <w:style w:type="paragraph" w:customStyle="1" w:styleId="spolecnosti">
    <w:name w:val="spolecnosti"/>
    <w:qFormat/>
    <w:rsid w:val="00B046CA"/>
    <w:pPr>
      <w:spacing w:after="0" w:line="240" w:lineRule="auto"/>
    </w:pPr>
    <w:rPr>
      <w:rFonts w:ascii="Arial" w:eastAsia="Times New Roman" w:hAnsi="Arial" w:cs="Times New Roman"/>
      <w:color w:val="000000" w:themeColor="text1"/>
      <w:sz w:val="17"/>
      <w:szCs w:val="24"/>
    </w:rPr>
  </w:style>
  <w:style w:type="paragraph" w:customStyle="1" w:styleId="spolecnosti-Legito2">
    <w:name w:val="spolecnosti-Legito2"/>
    <w:basedOn w:val="spolecnosti"/>
    <w:qFormat/>
    <w:rsid w:val="00431665"/>
  </w:style>
  <w:style w:type="paragraph" w:customStyle="1" w:styleId="Tabulka">
    <w:name w:val="Tabulka"/>
    <w:basedOn w:val="Body2"/>
    <w:link w:val="TabulkaChar"/>
    <w:qFormat/>
    <w:rsid w:val="00E5385D"/>
    <w:pPr>
      <w:ind w:left="556"/>
    </w:pPr>
  </w:style>
  <w:style w:type="paragraph" w:customStyle="1" w:styleId="Tabulka-Legito2">
    <w:name w:val="Tabulka-Legito2"/>
    <w:basedOn w:val="Tabulka"/>
    <w:link w:val="Tabulka-Legito2Char"/>
    <w:qFormat/>
    <w:rsid w:val="00E5385D"/>
  </w:style>
  <w:style w:type="character" w:customStyle="1" w:styleId="TabulkaChar">
    <w:name w:val="Tabulka Char"/>
    <w:basedOn w:val="Body2Char"/>
    <w:link w:val="Tabulka"/>
    <w:rsid w:val="00E5385D"/>
    <w:rPr>
      <w:rFonts w:ascii="Georgia" w:eastAsia="Times New Roman" w:hAnsi="Georgia" w:cs="Times New Roman"/>
      <w:b w:val="0"/>
      <w:color w:val="000000" w:themeColor="text1"/>
      <w:sz w:val="20"/>
      <w:szCs w:val="20"/>
    </w:rPr>
  </w:style>
  <w:style w:type="character" w:customStyle="1" w:styleId="Tabulka-Legito2Char">
    <w:name w:val="Tabulka-Legito2 Char"/>
    <w:basedOn w:val="TabulkaChar"/>
    <w:link w:val="Tabulka-Legito2"/>
    <w:rsid w:val="00E5385D"/>
    <w:rPr>
      <w:rFonts w:ascii="Georgia" w:eastAsia="Times New Roman" w:hAnsi="Georgia" w:cs="Times New Roman"/>
      <w:b w:val="0"/>
      <w:color w:val="000000" w:themeColor="text1"/>
      <w:sz w:val="20"/>
      <w:szCs w:val="20"/>
    </w:rPr>
  </w:style>
  <w:style w:type="paragraph" w:customStyle="1" w:styleId="table2">
    <w:name w:val="table2"/>
    <w:basedOn w:val="Body2"/>
    <w:link w:val="table2Char"/>
    <w:qFormat/>
    <w:rsid w:val="00B47624"/>
    <w:pPr>
      <w:ind w:left="454"/>
    </w:pPr>
  </w:style>
  <w:style w:type="character" w:customStyle="1" w:styleId="table2Char">
    <w:name w:val="table2 Char"/>
    <w:basedOn w:val="Body2Char"/>
    <w:link w:val="table2"/>
    <w:rsid w:val="00B47624"/>
    <w:rPr>
      <w:rFonts w:ascii="Georgia" w:eastAsia="Times New Roman" w:hAnsi="Georgia" w:cs="Times New Roman"/>
      <w:b w:val="0"/>
      <w:color w:val="000000" w:themeColor="text1"/>
      <w:sz w:val="20"/>
      <w:szCs w:val="20"/>
    </w:r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ormln"/>
    <w:uiPriority w:val="34"/>
    <w:semiHidden/>
    <w:unhideWhenUsed/>
    <w:qFormat/>
    <w:rsid w:val="00DF064E"/>
    <w:pPr>
      <w:ind w:left="720"/>
      <w:contextualSpacing/>
    </w:pPr>
  </w:style>
  <w:style w:type="paragraph" w:customStyle="1" w:styleId="TitlePHPDOCX">
    <w:name w:val="Title PHPDOCX"/>
    <w:basedOn w:val="Normln"/>
    <w:next w:val="Normln"/>
    <w:link w:val="TitleCarPHPDOCX"/>
    <w:uiPriority w:val="10"/>
    <w:semiHidden/>
    <w:unhideWhenUsed/>
    <w:qFormat/>
    <w:rsid w:val="00DF064E"/>
    <w:pPr>
      <w:pBdr>
        <w:bottom w:val="single" w:sz="8" w:space="4" w:color="DC6900" w:themeColor="accent1"/>
      </w:pBdr>
      <w:spacing w:after="300"/>
      <w:contextualSpacing/>
    </w:pPr>
    <w:rPr>
      <w:rFonts w:asciiTheme="majorHAnsi" w:eastAsiaTheme="majorEastAsia" w:hAnsiTheme="majorHAnsi" w:cstheme="majorBidi"/>
      <w:color w:val="A44E00" w:themeColor="text2" w:themeShade="BF"/>
      <w:spacing w:val="5"/>
      <w:kern w:val="28"/>
      <w:sz w:val="52"/>
      <w:szCs w:val="52"/>
    </w:rPr>
  </w:style>
  <w:style w:type="character" w:customStyle="1" w:styleId="TitleCarPHPDOCX0">
    <w:name w:val="Title Car PHPDOCX"/>
    <w:basedOn w:val="DefaultParagraphFontPHPDOCX"/>
    <w:uiPriority w:val="10"/>
    <w:semiHidden/>
    <w:unhideWhenUsed/>
    <w:rsid w:val="00DF064E"/>
    <w:rPr>
      <w:rFonts w:asciiTheme="majorHAnsi" w:eastAsiaTheme="majorEastAsia" w:hAnsiTheme="majorHAnsi" w:cstheme="majorBidi"/>
      <w:color w:val="A44E00" w:themeColor="text2" w:themeShade="BF"/>
      <w:spacing w:val="5"/>
      <w:kern w:val="28"/>
      <w:sz w:val="52"/>
      <w:szCs w:val="52"/>
    </w:rPr>
  </w:style>
  <w:style w:type="paragraph" w:customStyle="1" w:styleId="SubtitlePHPDOCX">
    <w:name w:val="Subtitle PHPDOCX"/>
    <w:basedOn w:val="Normln"/>
    <w:next w:val="Normln"/>
    <w:link w:val="SubtitleCarPHPDOCX"/>
    <w:uiPriority w:val="11"/>
    <w:semiHidden/>
    <w:unhideWhenUsed/>
    <w:qFormat/>
    <w:rsid w:val="00DF064E"/>
    <w:pPr>
      <w:numPr>
        <w:ilvl w:val="1"/>
      </w:numPr>
    </w:pPr>
    <w:rPr>
      <w:rFonts w:asciiTheme="majorHAnsi" w:eastAsiaTheme="majorEastAsia" w:hAnsiTheme="majorHAnsi" w:cstheme="majorBidi"/>
      <w:i/>
      <w:iCs/>
      <w:color w:val="DC6900" w:themeColor="accent1"/>
      <w:spacing w:val="15"/>
    </w:rPr>
  </w:style>
  <w:style w:type="character" w:customStyle="1" w:styleId="SubtitleCarPHPDOCX0">
    <w:name w:val="Subtitle Car PHPDOCX"/>
    <w:basedOn w:val="DefaultParagraphFontPHPDOCX"/>
    <w:uiPriority w:val="11"/>
    <w:semiHidden/>
    <w:unhideWhenUsed/>
    <w:rsid w:val="00DF064E"/>
    <w:rPr>
      <w:rFonts w:asciiTheme="majorHAnsi" w:eastAsiaTheme="majorEastAsia" w:hAnsiTheme="majorHAnsi" w:cstheme="majorBidi"/>
      <w:i/>
      <w:iCs/>
      <w:color w:val="DC6900"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semiHidden/>
    <w:unhideWhenUsed/>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ln"/>
    <w:link w:val="CommentTextCharPHPDOCX"/>
    <w:uiPriority w:val="99"/>
    <w:semiHidden/>
    <w:unhideWhenUsed/>
    <w:rsid w:val="00E139EA"/>
    <w:rPr>
      <w:sz w:val="20"/>
      <w:szCs w:val="20"/>
    </w:rPr>
  </w:style>
  <w:style w:type="character" w:customStyle="1" w:styleId="CommentTextCharPHPDOCX0">
    <w:name w:val="Comment Text Char PHPDOCX"/>
    <w:basedOn w:val="DefaultParagraphFontPHPDOCX"/>
    <w:uiPriority w:val="99"/>
    <w:semiHidden/>
    <w:unhideWhenUsed/>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0">
    <w:name w:val="Comment Subject Char PHPDOCX"/>
    <w:basedOn w:val="CommentTextCharPHPDOCX0"/>
    <w:uiPriority w:val="99"/>
    <w:semiHidden/>
    <w:unhideWhenUsed/>
    <w:rsid w:val="00E139EA"/>
    <w:rPr>
      <w:b/>
      <w:bCs/>
      <w:sz w:val="20"/>
      <w:szCs w:val="20"/>
    </w:rPr>
  </w:style>
  <w:style w:type="paragraph" w:customStyle="1" w:styleId="BalloonTextPHPDOCX">
    <w:name w:val="Balloon Text PHPDOCX"/>
    <w:basedOn w:val="Normln"/>
    <w:link w:val="BalloonTextCharPHPDOCX"/>
    <w:uiPriority w:val="99"/>
    <w:semiHidden/>
    <w:unhideWhenUsed/>
    <w:rsid w:val="00E139EA"/>
    <w:rPr>
      <w:rFonts w:ascii="Tahoma" w:hAnsi="Tahoma" w:cs="Tahoma"/>
      <w:sz w:val="16"/>
      <w:szCs w:val="16"/>
    </w:rPr>
  </w:style>
  <w:style w:type="character" w:customStyle="1" w:styleId="BalloonTextCharPHPDOCX0">
    <w:name w:val="Balloon Text Char PHPDOCX"/>
    <w:basedOn w:val="DefaultParagraphFontPHPDOCX"/>
    <w:uiPriority w:val="99"/>
    <w:semiHidden/>
    <w:unhideWhenUsed/>
    <w:rsid w:val="00E139EA"/>
    <w:rPr>
      <w:rFonts w:ascii="Tahoma" w:hAnsi="Tahoma" w:cs="Tahoma"/>
      <w:sz w:val="16"/>
      <w:szCs w:val="16"/>
    </w:rPr>
  </w:style>
  <w:style w:type="paragraph" w:customStyle="1" w:styleId="footnoteTextPHPDOCX">
    <w:name w:val="footnote Text PHPDOCX"/>
    <w:basedOn w:val="Normln"/>
    <w:link w:val="footnoteTextCarPHPDOCX"/>
    <w:uiPriority w:val="99"/>
    <w:semiHidden/>
    <w:unhideWhenUsed/>
    <w:rsid w:val="006E0FDA"/>
    <w:rPr>
      <w:sz w:val="20"/>
      <w:szCs w:val="20"/>
    </w:rPr>
  </w:style>
  <w:style w:type="character" w:customStyle="1" w:styleId="footnoteTextCarPHPDOCX0">
    <w:name w:val="footnote Text Car PHPDOCX"/>
    <w:basedOn w:val="DefaultParagraphFontPHPDOCX"/>
    <w:uiPriority w:val="99"/>
    <w:semiHidden/>
    <w:unhideWhenUsed/>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ln"/>
    <w:link w:val="endnoteTextCarPHPDOCX"/>
    <w:uiPriority w:val="99"/>
    <w:semiHidden/>
    <w:unhideWhenUsed/>
    <w:rsid w:val="006E0FDA"/>
    <w:rPr>
      <w:sz w:val="20"/>
      <w:szCs w:val="20"/>
    </w:rPr>
  </w:style>
  <w:style w:type="character" w:customStyle="1" w:styleId="endnoteTextCarPHPDOCX0">
    <w:name w:val="endnote Text Car PHPDOCX"/>
    <w:basedOn w:val="DefaultParagraphFon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paragraph" w:customStyle="1" w:styleId="Level2like">
    <w:name w:val="Level2like"/>
    <w:basedOn w:val="Level2"/>
    <w:link w:val="Level2likeChar"/>
    <w:qFormat/>
    <w:rsid w:val="000E28DD"/>
    <w:pPr>
      <w:keepNext/>
    </w:pPr>
  </w:style>
  <w:style w:type="paragraph" w:customStyle="1" w:styleId="Level2like-Legito2">
    <w:name w:val="Level2like-Legito2"/>
    <w:basedOn w:val="Level2-Legito2"/>
    <w:link w:val="Level2like-Legito2Char"/>
    <w:qFormat/>
    <w:rsid w:val="000E28DD"/>
  </w:style>
  <w:style w:type="character" w:customStyle="1" w:styleId="Level2likeChar">
    <w:name w:val="Level2like Char"/>
    <w:basedOn w:val="Level2Char"/>
    <w:link w:val="Level2like"/>
    <w:rsid w:val="000E28DD"/>
    <w:rPr>
      <w:rFonts w:ascii="Georgia" w:eastAsia="Times New Roman" w:hAnsi="Georgia" w:cs="Times New Roman"/>
      <w:snapToGrid w:val="0"/>
      <w:color w:val="000000"/>
      <w:sz w:val="20"/>
      <w:szCs w:val="20"/>
      <w:lang w:val="en-GB"/>
    </w:rPr>
  </w:style>
  <w:style w:type="paragraph" w:customStyle="1" w:styleId="Podpis1">
    <w:name w:val="Podpis1"/>
    <w:link w:val="PodpisChar"/>
    <w:qFormat/>
    <w:rsid w:val="00B046CA"/>
    <w:pPr>
      <w:keepNext/>
      <w:spacing w:after="0" w:line="240" w:lineRule="auto"/>
      <w:ind w:left="-113"/>
    </w:pPr>
    <w:rPr>
      <w:rFonts w:ascii="Arial" w:eastAsia="Times New Roman" w:hAnsi="Arial" w:cs="Times New Roman"/>
      <w:color w:val="000000" w:themeColor="text1"/>
      <w:sz w:val="17"/>
      <w:szCs w:val="20"/>
    </w:rPr>
  </w:style>
  <w:style w:type="character" w:customStyle="1" w:styleId="Level2-Legito2Char">
    <w:name w:val="Level 2-Legito2 Char"/>
    <w:basedOn w:val="Level2Char"/>
    <w:link w:val="Level2-Legito2"/>
    <w:rsid w:val="000E28DD"/>
    <w:rPr>
      <w:rFonts w:ascii="Georgia" w:eastAsia="Times New Roman" w:hAnsi="Georgia" w:cs="Times New Roman"/>
      <w:snapToGrid w:val="0"/>
      <w:color w:val="000000"/>
      <w:sz w:val="20"/>
      <w:szCs w:val="20"/>
      <w:lang w:val="en-GB"/>
    </w:rPr>
  </w:style>
  <w:style w:type="character" w:customStyle="1" w:styleId="Level2like-Legito2Char">
    <w:name w:val="Level2like-Legito2 Char"/>
    <w:basedOn w:val="Level2-Legito2Char"/>
    <w:link w:val="Level2like-Legito2"/>
    <w:rsid w:val="000E28DD"/>
    <w:rPr>
      <w:rFonts w:ascii="Georgia" w:eastAsia="Times New Roman" w:hAnsi="Georgia" w:cs="Times New Roman"/>
      <w:snapToGrid w:val="0"/>
      <w:color w:val="000000"/>
      <w:sz w:val="20"/>
      <w:szCs w:val="20"/>
      <w:lang w:val="en-GB"/>
    </w:rPr>
  </w:style>
  <w:style w:type="paragraph" w:customStyle="1" w:styleId="Podpis-Legito2">
    <w:name w:val="Podpis-Legito2"/>
    <w:basedOn w:val="Podpis1"/>
    <w:link w:val="Podpis-Legito2Char"/>
    <w:qFormat/>
    <w:rsid w:val="000E28DD"/>
  </w:style>
  <w:style w:type="character" w:customStyle="1" w:styleId="PodpisChar">
    <w:name w:val="Podpis Char"/>
    <w:basedOn w:val="Body2Char"/>
    <w:link w:val="Podpis1"/>
    <w:rsid w:val="00B046CA"/>
    <w:rPr>
      <w:rFonts w:ascii="Arial" w:eastAsia="Times New Roman" w:hAnsi="Arial" w:cs="Times New Roman"/>
      <w:b w:val="0"/>
      <w:color w:val="000000" w:themeColor="text1"/>
      <w:sz w:val="17"/>
      <w:szCs w:val="20"/>
    </w:rPr>
  </w:style>
  <w:style w:type="character" w:customStyle="1" w:styleId="Podpis-Legito2Char">
    <w:name w:val="Podpis-Legito2 Char"/>
    <w:basedOn w:val="PodpisChar"/>
    <w:link w:val="Podpis-Legito2"/>
    <w:rsid w:val="000E28DD"/>
    <w:rPr>
      <w:rFonts w:ascii="Georgia" w:eastAsia="Times New Roman" w:hAnsi="Georgia" w:cs="Times New Roman"/>
      <w:b w:val="0"/>
      <w:color w:val="000000" w:themeColor="text1"/>
      <w:sz w:val="20"/>
      <w:szCs w:val="20"/>
    </w:rPr>
  </w:style>
  <w:style w:type="character" w:customStyle="1" w:styleId="DefaultParagraphFontPHPDOCX0">
    <w:name w:val="Default Paragraph Font PHPDOCX"/>
    <w:uiPriority w:val="1"/>
    <w:semiHidden/>
    <w:unhideWhenUsed/>
  </w:style>
  <w:style w:type="paragraph" w:customStyle="1" w:styleId="ListParagraphPHPDOCX0">
    <w:name w:val="List Paragraph PHPDOCX"/>
    <w:basedOn w:val="Normln"/>
    <w:uiPriority w:val="34"/>
    <w:semiHidden/>
    <w:unhideWhenUsed/>
    <w:qFormat/>
    <w:rsid w:val="00DF064E"/>
    <w:pPr>
      <w:ind w:left="720"/>
      <w:contextualSpacing/>
    </w:pPr>
  </w:style>
  <w:style w:type="paragraph" w:customStyle="1" w:styleId="TitlePHPDOCX0">
    <w:name w:val="Title PHPDOCX"/>
    <w:basedOn w:val="Normln"/>
    <w:next w:val="Normln"/>
    <w:uiPriority w:val="10"/>
    <w:semiHidden/>
    <w:unhideWhenUsed/>
    <w:qFormat/>
    <w:rsid w:val="00DF064E"/>
    <w:pPr>
      <w:pBdr>
        <w:bottom w:val="single" w:sz="8" w:space="4" w:color="DC6900" w:themeColor="accent1"/>
      </w:pBdr>
      <w:spacing w:after="300"/>
      <w:contextualSpacing/>
    </w:pPr>
    <w:rPr>
      <w:rFonts w:asciiTheme="majorHAnsi" w:eastAsiaTheme="majorEastAsia" w:hAnsiTheme="majorHAnsi" w:cstheme="majorBidi"/>
      <w:color w:val="A44E00" w:themeColor="text2" w:themeShade="BF"/>
      <w:spacing w:val="5"/>
      <w:kern w:val="28"/>
      <w:sz w:val="52"/>
      <w:szCs w:val="52"/>
    </w:rPr>
  </w:style>
  <w:style w:type="character" w:customStyle="1" w:styleId="TitleCarPHPDOCX1">
    <w:name w:val="Title Car PHPDOCX"/>
    <w:basedOn w:val="DefaultParagraphFontPHPDOCX0"/>
    <w:uiPriority w:val="10"/>
    <w:semiHidden/>
    <w:unhideWhenUsed/>
    <w:rsid w:val="00DF064E"/>
    <w:rPr>
      <w:rFonts w:asciiTheme="majorHAnsi" w:eastAsiaTheme="majorEastAsia" w:hAnsiTheme="majorHAnsi" w:cstheme="majorBidi"/>
      <w:color w:val="A44E00" w:themeColor="text2" w:themeShade="BF"/>
      <w:spacing w:val="5"/>
      <w:kern w:val="28"/>
      <w:sz w:val="52"/>
      <w:szCs w:val="52"/>
    </w:rPr>
  </w:style>
  <w:style w:type="paragraph" w:customStyle="1" w:styleId="SubtitlePHPDOCX0">
    <w:name w:val="Subtitle PHPDOCX"/>
    <w:basedOn w:val="Normln"/>
    <w:next w:val="Normln"/>
    <w:uiPriority w:val="11"/>
    <w:semiHidden/>
    <w:unhideWhenUsed/>
    <w:qFormat/>
    <w:rsid w:val="00DF064E"/>
    <w:pPr>
      <w:numPr>
        <w:ilvl w:val="1"/>
      </w:numPr>
    </w:pPr>
    <w:rPr>
      <w:rFonts w:asciiTheme="majorHAnsi" w:eastAsiaTheme="majorEastAsia" w:hAnsiTheme="majorHAnsi" w:cstheme="majorBidi"/>
      <w:i/>
      <w:iCs/>
      <w:color w:val="DC6900" w:themeColor="accent1"/>
      <w:spacing w:val="15"/>
    </w:rPr>
  </w:style>
  <w:style w:type="character" w:customStyle="1" w:styleId="SubtitleCarPHPDOCX1">
    <w:name w:val="Subtitle Car PHPDOCX"/>
    <w:basedOn w:val="DefaultParagraphFontPHPDOCX0"/>
    <w:uiPriority w:val="11"/>
    <w:semiHidden/>
    <w:unhideWhenUsed/>
    <w:rsid w:val="00DF064E"/>
    <w:rPr>
      <w:rFonts w:asciiTheme="majorHAnsi" w:eastAsiaTheme="majorEastAsia" w:hAnsiTheme="majorHAnsi" w:cstheme="majorBidi"/>
      <w:i/>
      <w:iCs/>
      <w:color w:val="DC6900" w:themeColor="accent1"/>
      <w:spacing w:val="15"/>
      <w:sz w:val="24"/>
      <w:szCs w:val="24"/>
    </w:rPr>
  </w:style>
  <w:style w:type="table" w:customStyle="1" w:styleId="NormalTablePHPDOCX0">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0">
    <w:name w:val="Table Grid PHPDOCX"/>
    <w:uiPriority w:val="59"/>
    <w:semiHidden/>
    <w:unhideWhenUsed/>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0">
    <w:name w:val="annotation reference PHPDOCX"/>
    <w:basedOn w:val="DefaultParagraphFontPHPDOCX0"/>
    <w:uiPriority w:val="99"/>
    <w:semiHidden/>
    <w:unhideWhenUsed/>
    <w:rsid w:val="00E139EA"/>
    <w:rPr>
      <w:sz w:val="16"/>
      <w:szCs w:val="16"/>
    </w:rPr>
  </w:style>
  <w:style w:type="paragraph" w:customStyle="1" w:styleId="annotationtextPHPDOCX0">
    <w:name w:val="annotation text PHPDOCX"/>
    <w:basedOn w:val="Normln"/>
    <w:uiPriority w:val="99"/>
    <w:semiHidden/>
    <w:unhideWhenUsed/>
    <w:rsid w:val="00E139EA"/>
    <w:rPr>
      <w:sz w:val="20"/>
      <w:szCs w:val="20"/>
    </w:rPr>
  </w:style>
  <w:style w:type="character" w:customStyle="1" w:styleId="CommentTextCharPHPDOCX1">
    <w:name w:val="Comment Text Char PHPDOCX"/>
    <w:basedOn w:val="DefaultParagraphFontPHPDOCX0"/>
    <w:uiPriority w:val="99"/>
    <w:semiHidden/>
    <w:unhideWhenUsed/>
    <w:rsid w:val="00E139EA"/>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character" w:customStyle="1" w:styleId="CommentSubjectCharPHPDOCX1">
    <w:name w:val="Comment Subject Char PHPDOCX"/>
    <w:basedOn w:val="CommentTextCharPHPDOCX1"/>
    <w:uiPriority w:val="99"/>
    <w:semiHidden/>
    <w:unhideWhenUsed/>
    <w:rsid w:val="00E139EA"/>
    <w:rPr>
      <w:b/>
      <w:bCs/>
      <w:sz w:val="20"/>
      <w:szCs w:val="20"/>
    </w:rPr>
  </w:style>
  <w:style w:type="paragraph" w:customStyle="1" w:styleId="BalloonTextPHPDOCX0">
    <w:name w:val="Balloon Text PHPDOCX"/>
    <w:basedOn w:val="Normln"/>
    <w:uiPriority w:val="99"/>
    <w:semiHidden/>
    <w:unhideWhenUsed/>
    <w:rsid w:val="00E139EA"/>
    <w:rPr>
      <w:rFonts w:ascii="Tahoma" w:hAnsi="Tahoma" w:cs="Tahoma"/>
      <w:sz w:val="16"/>
      <w:szCs w:val="16"/>
    </w:rPr>
  </w:style>
  <w:style w:type="character" w:customStyle="1" w:styleId="BalloonTextCharPHPDOCX1">
    <w:name w:val="Balloon Text Char PHPDOCX"/>
    <w:basedOn w:val="DefaultParagraphFontPHPDOCX0"/>
    <w:uiPriority w:val="99"/>
    <w:semiHidden/>
    <w:unhideWhenUsed/>
    <w:rsid w:val="00E139EA"/>
    <w:rPr>
      <w:rFonts w:ascii="Tahoma" w:hAnsi="Tahoma" w:cs="Tahoma"/>
      <w:sz w:val="16"/>
      <w:szCs w:val="16"/>
    </w:rPr>
  </w:style>
  <w:style w:type="paragraph" w:customStyle="1" w:styleId="footnoteTextPHPDOCX0">
    <w:name w:val="footnote Text PHPDOCX"/>
    <w:basedOn w:val="Normln"/>
    <w:uiPriority w:val="99"/>
    <w:semiHidden/>
    <w:unhideWhenUsed/>
    <w:rsid w:val="006E0FDA"/>
    <w:rPr>
      <w:sz w:val="20"/>
      <w:szCs w:val="20"/>
    </w:rPr>
  </w:style>
  <w:style w:type="character" w:customStyle="1" w:styleId="footnoteTextCarPHPDOCX1">
    <w:name w:val="footnote Text Car PHPDOCX"/>
    <w:basedOn w:val="DefaultParagraphFontPHPDOCX0"/>
    <w:uiPriority w:val="99"/>
    <w:semiHidden/>
    <w:unhideWhenUsed/>
    <w:rsid w:val="006E0FDA"/>
    <w:rPr>
      <w:sz w:val="20"/>
      <w:szCs w:val="20"/>
    </w:rPr>
  </w:style>
  <w:style w:type="character" w:customStyle="1" w:styleId="footnoteReferencePHPDOCX0">
    <w:name w:val="footnote Reference PHPDOCX"/>
    <w:basedOn w:val="DefaultParagraphFontPHPDOCX0"/>
    <w:uiPriority w:val="99"/>
    <w:semiHidden/>
    <w:unhideWhenUsed/>
    <w:rsid w:val="006E0FDA"/>
    <w:rPr>
      <w:vertAlign w:val="superscript"/>
    </w:rPr>
  </w:style>
  <w:style w:type="paragraph" w:customStyle="1" w:styleId="endnoteTextPHPDOCX0">
    <w:name w:val="endnote Text PHPDOCX"/>
    <w:basedOn w:val="Normln"/>
    <w:uiPriority w:val="99"/>
    <w:semiHidden/>
    <w:unhideWhenUsed/>
    <w:rsid w:val="006E0FDA"/>
    <w:rPr>
      <w:sz w:val="20"/>
      <w:szCs w:val="20"/>
    </w:rPr>
  </w:style>
  <w:style w:type="character" w:customStyle="1" w:styleId="endnoteTextCarPHPDOCX1">
    <w:name w:val="endnote Text Car PHPDOCX"/>
    <w:basedOn w:val="DefaultParagraphFontPHPDOCX0"/>
    <w:uiPriority w:val="99"/>
    <w:semiHidden/>
    <w:rsid w:val="006E0FDA"/>
    <w:rPr>
      <w:sz w:val="20"/>
      <w:szCs w:val="20"/>
    </w:rPr>
  </w:style>
  <w:style w:type="character" w:customStyle="1" w:styleId="endnoteReferencePHPDOCX0">
    <w:name w:val="endnote Reference PHPDOCX"/>
    <w:basedOn w:val="DefaultParagraphFontPHPDOCX0"/>
    <w:uiPriority w:val="99"/>
    <w:semiHidden/>
    <w:unhideWhenUsed/>
    <w:rsid w:val="006E0FDA"/>
    <w:rPr>
      <w:vertAlign w:val="superscript"/>
    </w:rPr>
  </w:style>
  <w:style w:type="character" w:customStyle="1" w:styleId="DefaultParagraphFontPHPDOCX1">
    <w:name w:val="Default Paragraph Font PHPDOCX"/>
    <w:uiPriority w:val="1"/>
    <w:semiHidden/>
    <w:unhideWhenUsed/>
  </w:style>
  <w:style w:type="paragraph" w:customStyle="1" w:styleId="ListParagraphPHPDOCX1">
    <w:name w:val="List Paragraph PHPDOCX"/>
    <w:basedOn w:val="Normln"/>
    <w:uiPriority w:val="34"/>
    <w:semiHidden/>
    <w:unhideWhenUsed/>
    <w:qFormat/>
    <w:rsid w:val="00DF064E"/>
    <w:pPr>
      <w:ind w:left="720"/>
      <w:contextualSpacing/>
    </w:pPr>
  </w:style>
  <w:style w:type="paragraph" w:customStyle="1" w:styleId="TitlePHPDOCX1">
    <w:name w:val="Title PHPDOCX"/>
    <w:basedOn w:val="Normln"/>
    <w:next w:val="Normln"/>
    <w:uiPriority w:val="10"/>
    <w:semiHidden/>
    <w:unhideWhenUsed/>
    <w:qFormat/>
    <w:rsid w:val="00DF064E"/>
    <w:pPr>
      <w:pBdr>
        <w:bottom w:val="single" w:sz="8" w:space="4" w:color="DC6900" w:themeColor="accent1"/>
      </w:pBdr>
      <w:spacing w:after="300"/>
      <w:contextualSpacing/>
    </w:pPr>
    <w:rPr>
      <w:rFonts w:asciiTheme="majorHAnsi" w:eastAsiaTheme="majorEastAsia" w:hAnsiTheme="majorHAnsi" w:cstheme="majorBidi"/>
      <w:color w:val="A44E00" w:themeColor="text2" w:themeShade="BF"/>
      <w:spacing w:val="5"/>
      <w:kern w:val="28"/>
      <w:sz w:val="52"/>
      <w:szCs w:val="52"/>
    </w:rPr>
  </w:style>
  <w:style w:type="character" w:customStyle="1" w:styleId="TitleCarPHPDOCX">
    <w:name w:val="Title Car PHPDOCX"/>
    <w:basedOn w:val="DefaultParagraphFontPHPDOCX1"/>
    <w:link w:val="TitlePHPDOCX"/>
    <w:uiPriority w:val="10"/>
    <w:semiHidden/>
    <w:unhideWhenUsed/>
    <w:rsid w:val="00DF064E"/>
    <w:rPr>
      <w:rFonts w:asciiTheme="majorHAnsi" w:eastAsiaTheme="majorEastAsia" w:hAnsiTheme="majorHAnsi" w:cstheme="majorBidi"/>
      <w:color w:val="A44E00" w:themeColor="text2" w:themeShade="BF"/>
      <w:spacing w:val="5"/>
      <w:kern w:val="28"/>
      <w:sz w:val="52"/>
      <w:szCs w:val="52"/>
    </w:rPr>
  </w:style>
  <w:style w:type="paragraph" w:customStyle="1" w:styleId="SubtitlePHPDOCX1">
    <w:name w:val="Subtitle PHPDOCX"/>
    <w:basedOn w:val="Normln"/>
    <w:next w:val="Normln"/>
    <w:uiPriority w:val="11"/>
    <w:semiHidden/>
    <w:unhideWhenUsed/>
    <w:qFormat/>
    <w:rsid w:val="00DF064E"/>
    <w:pPr>
      <w:numPr>
        <w:ilvl w:val="1"/>
      </w:numPr>
    </w:pPr>
    <w:rPr>
      <w:rFonts w:asciiTheme="majorHAnsi" w:eastAsiaTheme="majorEastAsia" w:hAnsiTheme="majorHAnsi" w:cstheme="majorBidi"/>
      <w:i/>
      <w:iCs/>
      <w:color w:val="DC6900" w:themeColor="accent1"/>
      <w:spacing w:val="15"/>
    </w:rPr>
  </w:style>
  <w:style w:type="character" w:customStyle="1" w:styleId="SubtitleCarPHPDOCX">
    <w:name w:val="Subtitle Car PHPDOCX"/>
    <w:basedOn w:val="DefaultParagraphFontPHPDOCX1"/>
    <w:link w:val="SubtitlePHPDOCX"/>
    <w:uiPriority w:val="11"/>
    <w:semiHidden/>
    <w:unhideWhenUsed/>
    <w:rsid w:val="00DF064E"/>
    <w:rPr>
      <w:rFonts w:asciiTheme="majorHAnsi" w:eastAsiaTheme="majorEastAsia" w:hAnsiTheme="majorHAnsi" w:cstheme="majorBidi"/>
      <w:i/>
      <w:iCs/>
      <w:color w:val="DC6900" w:themeColor="accent1"/>
      <w:spacing w:val="15"/>
      <w:sz w:val="24"/>
      <w:szCs w:val="24"/>
    </w:rPr>
  </w:style>
  <w:style w:type="table" w:customStyle="1" w:styleId="NormalTablePHPDOCX1">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1">
    <w:name w:val="Table Grid PHPDOCX"/>
    <w:uiPriority w:val="59"/>
    <w:semiHidden/>
    <w:unhideWhenUsed/>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1">
    <w:name w:val="annotation reference PHPDOCX"/>
    <w:basedOn w:val="DefaultParagraphFontPHPDOCX1"/>
    <w:uiPriority w:val="99"/>
    <w:semiHidden/>
    <w:unhideWhenUsed/>
    <w:rsid w:val="00E139EA"/>
    <w:rPr>
      <w:sz w:val="16"/>
      <w:szCs w:val="16"/>
    </w:rPr>
  </w:style>
  <w:style w:type="paragraph" w:customStyle="1" w:styleId="annotationtextPHPDOCX1">
    <w:name w:val="annotation text PHPDOCX"/>
    <w:basedOn w:val="Normln"/>
    <w:uiPriority w:val="99"/>
    <w:semiHidden/>
    <w:unhideWhenUsed/>
    <w:rsid w:val="00E139EA"/>
    <w:rPr>
      <w:sz w:val="20"/>
      <w:szCs w:val="20"/>
    </w:rPr>
  </w:style>
  <w:style w:type="character" w:customStyle="1" w:styleId="CommentTextCharPHPDOCX">
    <w:name w:val="Comment Text Char PHPDOCX"/>
    <w:basedOn w:val="DefaultParagraphFontPHPDOCX1"/>
    <w:link w:val="annotationtextPHPDOCX"/>
    <w:uiPriority w:val="99"/>
    <w:semiHidden/>
    <w:unhideWhenUsed/>
    <w:rsid w:val="00E139EA"/>
    <w:rPr>
      <w:sz w:val="20"/>
      <w:szCs w:val="20"/>
    </w:rPr>
  </w:style>
  <w:style w:type="paragraph" w:customStyle="1" w:styleId="annotationsubjectPHPDOCX1">
    <w:name w:val="annotation subject PHPDOCX"/>
    <w:basedOn w:val="annotationtextPHPDOCX1"/>
    <w:next w:val="annotationtextPHPDOCX1"/>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unhideWhenUsed/>
    <w:rsid w:val="00E139EA"/>
    <w:rPr>
      <w:b/>
      <w:bCs/>
      <w:sz w:val="20"/>
      <w:szCs w:val="20"/>
    </w:rPr>
  </w:style>
  <w:style w:type="paragraph" w:customStyle="1" w:styleId="BalloonTextPHPDOCX1">
    <w:name w:val="Balloon Text PHPDOCX"/>
    <w:basedOn w:val="Normln"/>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1"/>
    <w:link w:val="BalloonTextPHPDOCX"/>
    <w:uiPriority w:val="99"/>
    <w:semiHidden/>
    <w:unhideWhenUsed/>
    <w:rsid w:val="00E139EA"/>
    <w:rPr>
      <w:rFonts w:ascii="Tahoma" w:hAnsi="Tahoma" w:cs="Tahoma"/>
      <w:sz w:val="16"/>
      <w:szCs w:val="16"/>
    </w:rPr>
  </w:style>
  <w:style w:type="paragraph" w:customStyle="1" w:styleId="footnoteTextPHPDOCX1">
    <w:name w:val="footnote Text PHPDOCX"/>
    <w:basedOn w:val="Normln"/>
    <w:uiPriority w:val="99"/>
    <w:semiHidden/>
    <w:unhideWhenUsed/>
    <w:rsid w:val="006E0FDA"/>
    <w:rPr>
      <w:sz w:val="20"/>
      <w:szCs w:val="20"/>
    </w:rPr>
  </w:style>
  <w:style w:type="character" w:customStyle="1" w:styleId="footnoteTextCarPHPDOCX">
    <w:name w:val="footnote Text Car PHPDOCX"/>
    <w:basedOn w:val="DefaultParagraphFontPHPDOCX1"/>
    <w:link w:val="footnoteTextPHPDOCX"/>
    <w:uiPriority w:val="99"/>
    <w:semiHidden/>
    <w:unhideWhenUsed/>
    <w:rsid w:val="006E0FDA"/>
    <w:rPr>
      <w:sz w:val="20"/>
      <w:szCs w:val="20"/>
    </w:rPr>
  </w:style>
  <w:style w:type="character" w:customStyle="1" w:styleId="footnoteReferencePHPDOCX1">
    <w:name w:val="footnote Reference PHPDOCX"/>
    <w:basedOn w:val="DefaultParagraphFontPHPDOCX1"/>
    <w:uiPriority w:val="99"/>
    <w:semiHidden/>
    <w:unhideWhenUsed/>
    <w:rsid w:val="006E0FDA"/>
    <w:rPr>
      <w:vertAlign w:val="superscript"/>
    </w:rPr>
  </w:style>
  <w:style w:type="paragraph" w:customStyle="1" w:styleId="endnoteTextPHPDOCX1">
    <w:name w:val="endnote Text PHPDOCX"/>
    <w:basedOn w:val="Normln"/>
    <w:uiPriority w:val="99"/>
    <w:semiHidden/>
    <w:unhideWhenUsed/>
    <w:rsid w:val="006E0FDA"/>
    <w:rPr>
      <w:sz w:val="20"/>
      <w:szCs w:val="20"/>
    </w:rPr>
  </w:style>
  <w:style w:type="character" w:customStyle="1" w:styleId="endnoteTextCarPHPDOCX">
    <w:name w:val="endnote Text Car PHPDOCX"/>
    <w:basedOn w:val="DefaultParagraphFontPHPDOCX1"/>
    <w:link w:val="endnoteTextPHPDOCX"/>
    <w:uiPriority w:val="99"/>
    <w:semiHidden/>
    <w:rsid w:val="006E0FDA"/>
    <w:rPr>
      <w:sz w:val="20"/>
      <w:szCs w:val="20"/>
    </w:rPr>
  </w:style>
  <w:style w:type="character" w:customStyle="1" w:styleId="endnoteReferencePHPDOCX1">
    <w:name w:val="endnote Reference PHPDOCX"/>
    <w:basedOn w:val="DefaultParagraphFontPHPDOCX1"/>
    <w:uiPriority w:val="99"/>
    <w:semiHidden/>
    <w:unhideWhenUsed/>
    <w:rsid w:val="006E0FDA"/>
    <w:rPr>
      <w:vertAlign w:val="superscript"/>
    </w:rPr>
  </w:style>
  <w:style w:type="paragraph" w:customStyle="1" w:styleId="Lev2Copy1">
    <w:name w:val="Lev2Copy1"/>
    <w:link w:val="Lev2Copy1Char"/>
    <w:qFormat/>
    <w:rsid w:val="00B046CA"/>
    <w:pPr>
      <w:keepLines/>
      <w:numPr>
        <w:numId w:val="23"/>
      </w:numPr>
      <w:spacing w:after="240" w:line="240" w:lineRule="auto"/>
    </w:pPr>
    <w:rPr>
      <w:rFonts w:ascii="Arial" w:eastAsia="Times New Roman" w:hAnsi="Arial" w:cs="Times New Roman"/>
      <w:color w:val="000000" w:themeColor="text1"/>
      <w:sz w:val="17"/>
      <w:szCs w:val="20"/>
    </w:rPr>
  </w:style>
  <w:style w:type="paragraph" w:customStyle="1" w:styleId="Lev2Copy2">
    <w:name w:val="Lev2Copy2"/>
    <w:link w:val="Lev2Copy2Char"/>
    <w:qFormat/>
    <w:rsid w:val="00B046CA"/>
    <w:pPr>
      <w:keepLines/>
      <w:numPr>
        <w:numId w:val="24"/>
      </w:numPr>
      <w:spacing w:after="240" w:line="240" w:lineRule="auto"/>
    </w:pPr>
    <w:rPr>
      <w:rFonts w:ascii="Arial" w:eastAsia="Times New Roman" w:hAnsi="Arial" w:cs="Times New Roman"/>
      <w:color w:val="000000" w:themeColor="text1"/>
      <w:sz w:val="17"/>
      <w:szCs w:val="20"/>
    </w:rPr>
  </w:style>
  <w:style w:type="character" w:customStyle="1" w:styleId="Lev2Copy1Char">
    <w:name w:val="Lev2Copy1 Char"/>
    <w:basedOn w:val="Podpis-Legito2Char"/>
    <w:link w:val="Lev2Copy1"/>
    <w:rsid w:val="00B046CA"/>
    <w:rPr>
      <w:rFonts w:ascii="Arial" w:eastAsia="Times New Roman" w:hAnsi="Arial" w:cs="Times New Roman"/>
      <w:b w:val="0"/>
      <w:color w:val="000000" w:themeColor="text1"/>
      <w:sz w:val="17"/>
      <w:szCs w:val="20"/>
    </w:rPr>
  </w:style>
  <w:style w:type="paragraph" w:customStyle="1" w:styleId="Lev2Copy1-Legito2">
    <w:name w:val="Lev2Copy1-Legito2"/>
    <w:basedOn w:val="Lev2Copy1"/>
    <w:link w:val="Lev2Copy1-Legito2Char"/>
    <w:qFormat/>
    <w:rsid w:val="00F0617D"/>
  </w:style>
  <w:style w:type="character" w:customStyle="1" w:styleId="Lev2Copy2Char">
    <w:name w:val="Lev2Copy2 Char"/>
    <w:basedOn w:val="Body2Char"/>
    <w:link w:val="Lev2Copy2"/>
    <w:rsid w:val="00B046CA"/>
    <w:rPr>
      <w:rFonts w:ascii="Arial" w:eastAsia="Times New Roman" w:hAnsi="Arial" w:cs="Times New Roman"/>
      <w:b w:val="0"/>
      <w:color w:val="000000" w:themeColor="text1"/>
      <w:sz w:val="17"/>
      <w:szCs w:val="20"/>
    </w:rPr>
  </w:style>
  <w:style w:type="paragraph" w:customStyle="1" w:styleId="Lev2Copy2-Legito2">
    <w:name w:val="Lev2Copy2-Legito2"/>
    <w:basedOn w:val="Lev2Copy2"/>
    <w:link w:val="Lev2Copy2-Legito2Char"/>
    <w:qFormat/>
    <w:rsid w:val="00F0617D"/>
  </w:style>
  <w:style w:type="character" w:customStyle="1" w:styleId="Lev2Copy1-Legito2Char">
    <w:name w:val="Lev2Copy1-Legito2 Char"/>
    <w:basedOn w:val="Lev2Copy1Char"/>
    <w:link w:val="Lev2Copy1-Legito2"/>
    <w:rsid w:val="00F0617D"/>
    <w:rPr>
      <w:rFonts w:ascii="Georgia" w:eastAsia="Times New Roman" w:hAnsi="Georgia" w:cs="Times New Roman"/>
      <w:b w:val="0"/>
      <w:color w:val="000000" w:themeColor="text1"/>
      <w:sz w:val="20"/>
      <w:szCs w:val="20"/>
    </w:rPr>
  </w:style>
  <w:style w:type="character" w:customStyle="1" w:styleId="Lev2Copy2-Legito2Char">
    <w:name w:val="Lev2Copy2-Legito2 Char"/>
    <w:basedOn w:val="Lev2Copy2Char"/>
    <w:link w:val="Lev2Copy2-Legito2"/>
    <w:rsid w:val="00F0617D"/>
    <w:rPr>
      <w:rFonts w:ascii="Georgia" w:eastAsia="Times New Roman" w:hAnsi="Georgia" w:cs="Times New Roman"/>
      <w:b w:val="0"/>
      <w:color w:val="000000" w:themeColor="text1"/>
      <w:sz w:val="20"/>
      <w:szCs w:val="20"/>
    </w:rPr>
  </w:style>
  <w:style w:type="paragraph" w:customStyle="1" w:styleId="Lev2Copy2like">
    <w:name w:val="Lev2Copy2like"/>
    <w:basedOn w:val="Lev2Copy2"/>
    <w:link w:val="Lev2Copy2likeChar"/>
    <w:qFormat/>
    <w:rsid w:val="00D40668"/>
    <w:pPr>
      <w:keepNext/>
    </w:pPr>
  </w:style>
  <w:style w:type="paragraph" w:customStyle="1" w:styleId="Lev2Copy2like-Legito2">
    <w:name w:val="Lev2Copy2like-Legito2"/>
    <w:basedOn w:val="Lev2Copy2-Legito2"/>
    <w:link w:val="Lev2Copy2like-Legito2Char"/>
    <w:qFormat/>
    <w:rsid w:val="00D40668"/>
    <w:pPr>
      <w:keepNext/>
    </w:pPr>
  </w:style>
  <w:style w:type="character" w:customStyle="1" w:styleId="Lev2Copy2likeChar">
    <w:name w:val="Lev2Copy2like Char"/>
    <w:basedOn w:val="Lev2Copy2Char"/>
    <w:link w:val="Lev2Copy2like"/>
    <w:rsid w:val="00D40668"/>
    <w:rPr>
      <w:rFonts w:ascii="Georgia" w:eastAsia="Times New Roman" w:hAnsi="Georgia" w:cs="Times New Roman"/>
      <w:b w:val="0"/>
      <w:color w:val="000000" w:themeColor="text1"/>
      <w:sz w:val="20"/>
      <w:szCs w:val="20"/>
    </w:rPr>
  </w:style>
  <w:style w:type="character" w:customStyle="1" w:styleId="Lev2Copy2like-Legito2Char">
    <w:name w:val="Lev2Copy2like-Legito2 Char"/>
    <w:basedOn w:val="Lev2Copy2-Legito2Char"/>
    <w:link w:val="Lev2Copy2like-Legito2"/>
    <w:rsid w:val="00D40668"/>
    <w:rPr>
      <w:rFonts w:ascii="Georgia" w:eastAsia="Times New Roman" w:hAnsi="Georgia" w:cs="Times New Roman"/>
      <w:b w:val="0"/>
      <w:color w:val="000000" w:themeColor="text1"/>
      <w:sz w:val="20"/>
      <w:szCs w:val="20"/>
    </w:rPr>
  </w:style>
  <w:style w:type="paragraph" w:customStyle="1" w:styleId="1start">
    <w:name w:val="1start"/>
    <w:link w:val="1startChar"/>
    <w:qFormat/>
    <w:rsid w:val="00B046CA"/>
    <w:pPr>
      <w:spacing w:line="240" w:lineRule="auto"/>
    </w:pPr>
    <w:rPr>
      <w:rFonts w:ascii="Arial" w:eastAsia="Times New Roman" w:hAnsi="Arial" w:cs="Times New Roman"/>
      <w:color w:val="000000" w:themeColor="text1"/>
      <w:sz w:val="20"/>
      <w:szCs w:val="20"/>
    </w:rPr>
  </w:style>
  <w:style w:type="character" w:customStyle="1" w:styleId="1startChar">
    <w:name w:val="1start Char"/>
    <w:basedOn w:val="table2Char"/>
    <w:link w:val="1start"/>
    <w:rsid w:val="00B046CA"/>
    <w:rPr>
      <w:rFonts w:ascii="Arial" w:eastAsia="Times New Roman" w:hAnsi="Arial" w:cs="Times New Roman"/>
      <w:b w:val="0"/>
      <w:color w:val="000000" w:themeColor="text1"/>
      <w:sz w:val="20"/>
      <w:szCs w:val="20"/>
    </w:rPr>
  </w:style>
  <w:style w:type="paragraph" w:styleId="Textkomente">
    <w:name w:val="annotation text"/>
    <w:basedOn w:val="Normln"/>
    <w:link w:val="TextkomenteChar"/>
    <w:uiPriority w:val="99"/>
    <w:semiHidden/>
    <w:unhideWhenUsed/>
    <w:rPr>
      <w:sz w:val="20"/>
      <w:szCs w:val="20"/>
    </w:rPr>
  </w:style>
  <w:style w:type="character" w:customStyle="1" w:styleId="TextkomenteChar">
    <w:name w:val="Text komentáře Char"/>
    <w:basedOn w:val="Standardnpsmoodstavce"/>
    <w:link w:val="Textkomente"/>
    <w:uiPriority w:val="99"/>
    <w:semiHidden/>
    <w:rPr>
      <w:rFonts w:ascii="Arial" w:eastAsia="Times New Roman" w:hAnsi="Arial" w:cs="Times New Roman"/>
      <w:sz w:val="20"/>
      <w:szCs w:val="20"/>
    </w:rPr>
  </w:style>
  <w:style w:type="character" w:styleId="Odkaznakoment">
    <w:name w:val="annotation reference"/>
    <w:basedOn w:val="Standardnpsmoodstavce"/>
    <w:uiPriority w:val="99"/>
    <w:semiHidden/>
    <w:unhideWhenUsed/>
    <w:rPr>
      <w:sz w:val="16"/>
      <w:szCs w:val="16"/>
    </w:rPr>
  </w:style>
  <w:style w:type="paragraph" w:styleId="Pedmtkomente">
    <w:name w:val="annotation subject"/>
    <w:basedOn w:val="Textkomente"/>
    <w:next w:val="Textkomente"/>
    <w:link w:val="PedmtkomenteChar"/>
    <w:uiPriority w:val="99"/>
    <w:semiHidden/>
    <w:unhideWhenUsed/>
    <w:rsid w:val="00E02E63"/>
    <w:rPr>
      <w:b/>
      <w:bCs/>
    </w:rPr>
  </w:style>
  <w:style w:type="character" w:customStyle="1" w:styleId="PedmtkomenteChar">
    <w:name w:val="Předmět komentáře Char"/>
    <w:basedOn w:val="TextkomenteChar"/>
    <w:link w:val="Pedmtkomente"/>
    <w:uiPriority w:val="99"/>
    <w:semiHidden/>
    <w:rsid w:val="00E02E63"/>
    <w:rPr>
      <w:rFonts w:ascii="Arial" w:eastAsia="Times New Roman" w:hAnsi="Arial" w:cs="Times New Roman"/>
      <w:b/>
      <w:bCs/>
      <w:sz w:val="20"/>
      <w:szCs w:val="20"/>
    </w:rPr>
  </w:style>
  <w:style w:type="paragraph" w:styleId="Revize">
    <w:name w:val="Revision"/>
    <w:hidden/>
    <w:uiPriority w:val="99"/>
    <w:semiHidden/>
    <w:rsid w:val="001A34BC"/>
    <w:pPr>
      <w:spacing w:after="0" w:line="240" w:lineRule="auto"/>
    </w:pPr>
    <w:rPr>
      <w:rFonts w:ascii="Arial" w:eastAsia="Times New Roman" w:hAnsi="Arial" w:cs="Times New Roman"/>
      <w:sz w:val="17"/>
      <w:szCs w:val="24"/>
    </w:rPr>
  </w:style>
  <w:style w:type="paragraph" w:styleId="Textbubliny">
    <w:name w:val="Balloon Text"/>
    <w:basedOn w:val="Normln"/>
    <w:link w:val="TextbublinyChar"/>
    <w:uiPriority w:val="99"/>
    <w:semiHidden/>
    <w:unhideWhenUsed/>
    <w:rsid w:val="001C6CA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C6CA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AFD01-35CB-497C-8724-F7E7338DC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2044</Words>
  <Characters>12063</Characters>
  <Application>Microsoft Office Word</Application>
  <DocSecurity>0</DocSecurity>
  <Lines>100</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CZ-ASR-Engagement Contract_v1 for the period ending:</vt:lpstr>
      <vt:lpstr>CZ-ASR-Engagement Contract_v1 for the period ending:</vt:lpstr>
    </vt:vector>
  </TitlesOfParts>
  <Company>PricewaterhouseCoopers</Company>
  <LinksUpToDate>false</LinksUpToDate>
  <CharactersWithSpaces>14079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CZ-ASR-Engagement Contract_v1 for the period ending:</dc:title>
  <dc:subject/>
  <dc:creator>Legito</dc:creator>
  <cp:keywords/>
  <dc:description/>
  <cp:lastModifiedBy>Michaela Pechová</cp:lastModifiedBy>
  <cp:revision>4</cp:revision>
  <dcterms:created xsi:type="dcterms:W3CDTF">2023-10-17T06:00:00Z</dcterms:created>
  <dcterms:modified xsi:type="dcterms:W3CDTF">2023-10-25T08:04:00Z</dcterms:modified>
</cp:coreProperties>
</file>